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5C39" w14:textId="77777777" w:rsidR="00E028FD" w:rsidRPr="00E028FD" w:rsidRDefault="00E028FD" w:rsidP="00E028FD"/>
    <w:p w14:paraId="2D4AEA9F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2E17AF9A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5DB8789E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08F81ECB" w14:textId="77777777" w:rsidR="00C87036" w:rsidRPr="00C87036" w:rsidRDefault="00C87036" w:rsidP="00C87036"/>
    <w:p w14:paraId="31C1F99C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7991A16C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8421C4">
        <w:rPr>
          <w:rFonts w:ascii="Calibri" w:hAnsi="Calibri"/>
          <w:sz w:val="22"/>
          <w:szCs w:val="22"/>
        </w:rPr>
        <w:t>Daliborova 380/9, Praha 10, PSČ 102 00</w:t>
      </w:r>
    </w:p>
    <w:p w14:paraId="62EA9E93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5DD24E6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6817DAC7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7630F80E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4FA92347" w14:textId="7777777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14:paraId="26BB2DBE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75D6886B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423C6C21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230D0030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44CCEEE1" w14:textId="77777777" w:rsid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33207C58" w14:textId="4B071012" w:rsidR="001B4687" w:rsidRPr="00C87036" w:rsidRDefault="001B4687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Úřad pro technickou normalizaci, metrologii a státní zkušebnictví, organizační složka státu</w:t>
      </w:r>
    </w:p>
    <w:p w14:paraId="46E00E0F" w14:textId="1792C5C9" w:rsidR="008658F8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se sídlem:           </w:t>
      </w:r>
      <w:r w:rsidR="001B4687">
        <w:rPr>
          <w:rFonts w:ascii="Calibri" w:hAnsi="Calibri"/>
          <w:bCs/>
          <w:sz w:val="22"/>
          <w:szCs w:val="22"/>
        </w:rPr>
        <w:tab/>
        <w:t>Biskupský dvůr 1148/5, 110 00 Praha 1</w:t>
      </w:r>
    </w:p>
    <w:p w14:paraId="1C882F24" w14:textId="6EA5C8FC" w:rsidR="00BA7E87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BA7E87" w:rsidRPr="00F34C7B">
        <w:rPr>
          <w:rFonts w:ascii="Calibri" w:hAnsi="Calibri"/>
          <w:bCs/>
          <w:sz w:val="22"/>
          <w:szCs w:val="22"/>
        </w:rPr>
        <w:tab/>
      </w:r>
      <w:r w:rsidR="001B4687">
        <w:rPr>
          <w:rFonts w:ascii="Calibri" w:hAnsi="Calibri"/>
          <w:bCs/>
          <w:sz w:val="22"/>
          <w:szCs w:val="22"/>
        </w:rPr>
        <w:tab/>
        <w:t>48135267</w:t>
      </w:r>
    </w:p>
    <w:p w14:paraId="2F853BD1" w14:textId="7455B095" w:rsidR="00F93927" w:rsidRPr="00F34C7B" w:rsidRDefault="00F93927" w:rsidP="00F9392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Pr="00F34C7B">
        <w:rPr>
          <w:rFonts w:ascii="Calibri" w:hAnsi="Calibri"/>
          <w:bCs/>
          <w:sz w:val="22"/>
          <w:szCs w:val="22"/>
        </w:rPr>
        <w:t xml:space="preserve">IČ: </w:t>
      </w:r>
      <w:r w:rsidRPr="00F34C7B">
        <w:rPr>
          <w:rFonts w:ascii="Calibri" w:hAnsi="Calibri"/>
          <w:bCs/>
          <w:sz w:val="22"/>
          <w:szCs w:val="22"/>
        </w:rPr>
        <w:tab/>
      </w:r>
      <w:r w:rsidRPr="00F34C7B">
        <w:rPr>
          <w:rFonts w:ascii="Calibri" w:hAnsi="Calibri"/>
          <w:bCs/>
          <w:sz w:val="22"/>
          <w:szCs w:val="22"/>
        </w:rPr>
        <w:tab/>
      </w:r>
      <w:r w:rsidR="001B4687">
        <w:rPr>
          <w:rFonts w:ascii="Calibri" w:hAnsi="Calibri"/>
          <w:bCs/>
          <w:sz w:val="22"/>
          <w:szCs w:val="22"/>
        </w:rPr>
        <w:tab/>
        <w:t>není plátce DPH</w:t>
      </w:r>
      <w:r w:rsidR="001B4687" w:rsidRPr="00F34C7B">
        <w:rPr>
          <w:rFonts w:ascii="Calibri" w:hAnsi="Calibri"/>
          <w:bCs/>
          <w:sz w:val="22"/>
          <w:szCs w:val="22"/>
        </w:rPr>
        <w:t xml:space="preserve"> </w:t>
      </w:r>
    </w:p>
    <w:p w14:paraId="25547C32" w14:textId="6C23C3EE" w:rsidR="00EF1525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Zastoupená </w:t>
      </w:r>
      <w:r w:rsidRPr="00F34C7B">
        <w:rPr>
          <w:rFonts w:ascii="Calibri" w:hAnsi="Calibri"/>
          <w:bCs/>
          <w:sz w:val="22"/>
          <w:szCs w:val="22"/>
        </w:rPr>
        <w:tab/>
        <w:t xml:space="preserve">  </w:t>
      </w:r>
      <w:r w:rsidR="001B4687">
        <w:rPr>
          <w:rFonts w:ascii="Calibri" w:hAnsi="Calibri"/>
          <w:bCs/>
          <w:sz w:val="22"/>
          <w:szCs w:val="22"/>
        </w:rPr>
        <w:tab/>
        <w:t>Mgr. Viktorem Pokorným, předsedou Úřadu</w:t>
      </w:r>
      <w:r w:rsidR="001B4687" w:rsidRPr="00F34C7B">
        <w:rPr>
          <w:rFonts w:ascii="Calibri" w:hAnsi="Calibri"/>
          <w:bCs/>
          <w:sz w:val="22"/>
          <w:szCs w:val="22"/>
        </w:rPr>
        <w:t xml:space="preserve"> </w:t>
      </w:r>
    </w:p>
    <w:p w14:paraId="352D57A4" w14:textId="77777777"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27880160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27A98EB4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2ED4462A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20948AA2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7D97265D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2AA7C2DC" w14:textId="54022761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, zákona o účetnictví č. 563/1991 Sb. včetně příslušných vyhlášek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</w:t>
      </w:r>
      <w:r w:rsidR="00AB6ACB">
        <w:rPr>
          <w:rFonts w:ascii="Calibri" w:hAnsi="Calibri"/>
          <w:sz w:val="22"/>
          <w:szCs w:val="22"/>
        </w:rPr>
        <w:t xml:space="preserve"> účetní závěrky za rok 2016</w:t>
      </w:r>
      <w:r w:rsidR="008E0336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</w:t>
      </w:r>
      <w:r w:rsidR="008E0336">
        <w:rPr>
          <w:rFonts w:ascii="Calibri" w:hAnsi="Calibri"/>
          <w:sz w:val="22"/>
          <w:szCs w:val="22"/>
        </w:rPr>
        <w:t>, především standardem ISAE 3000 – Ověřovací zakázky, které nejsou audity ani prověrkami historických finančních informací</w:t>
      </w:r>
      <w:r w:rsidR="00B445C9">
        <w:rPr>
          <w:rFonts w:ascii="Calibri" w:hAnsi="Calibri"/>
          <w:sz w:val="22"/>
          <w:szCs w:val="22"/>
        </w:rPr>
        <w:t xml:space="preserve"> a souvisejícími aplikačními doložkami Komory auditorů České republiky.</w:t>
      </w:r>
      <w:r w:rsidR="008E0336">
        <w:rPr>
          <w:rFonts w:ascii="Calibri" w:hAnsi="Calibri"/>
          <w:sz w:val="22"/>
          <w:szCs w:val="22"/>
        </w:rPr>
        <w:t xml:space="preserve"> </w:t>
      </w:r>
    </w:p>
    <w:p w14:paraId="00EB3C2E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5B706469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01C8F6BA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15ADEFB3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4CD16D5C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195D5045" w14:textId="77777777" w:rsidR="008E0336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</w:t>
      </w:r>
      <w:r w:rsidR="008E0336">
        <w:rPr>
          <w:rFonts w:ascii="Calibri" w:hAnsi="Calibri" w:cs="Calibri"/>
          <w:sz w:val="22"/>
          <w:szCs w:val="22"/>
        </w:rPr>
        <w:t xml:space="preserve">prováděny v souladu se standardem ISAE 3000, předmětem ověření je </w:t>
      </w:r>
      <w:r w:rsidR="00D87D35">
        <w:rPr>
          <w:rFonts w:ascii="Calibri" w:hAnsi="Calibri" w:cs="Calibri"/>
          <w:sz w:val="22"/>
          <w:szCs w:val="22"/>
        </w:rPr>
        <w:t>ověření účetní závěrky za auditované období</w:t>
      </w:r>
      <w:r w:rsidR="008E0336">
        <w:rPr>
          <w:rFonts w:ascii="Calibri" w:hAnsi="Calibri" w:cs="Calibri"/>
          <w:sz w:val="22"/>
          <w:szCs w:val="22"/>
        </w:rPr>
        <w:t>.</w:t>
      </w:r>
    </w:p>
    <w:p w14:paraId="2BDD257C" w14:textId="77777777" w:rsidR="008E0336" w:rsidRDefault="008E0336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F3C549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BE4670C" w14:textId="77777777" w:rsidR="008E0336" w:rsidRDefault="008E033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Ověření bude provedeno na vzorku položek, kdy při výběru auditor použije relevantní auditorské předpisy.</w:t>
      </w:r>
    </w:p>
    <w:p w14:paraId="345215EC" w14:textId="77777777" w:rsidR="008E0336" w:rsidRDefault="008E033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C1FBB33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785D83C4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694FA27" w14:textId="79F3A7F5" w:rsidR="008E033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</w:t>
      </w:r>
      <w:r w:rsidR="008E0336">
        <w:rPr>
          <w:rFonts w:ascii="Calibri" w:hAnsi="Calibri" w:cs="Calibri"/>
          <w:sz w:val="22"/>
          <w:szCs w:val="22"/>
        </w:rPr>
        <w:t>provede ověření poskytující</w:t>
      </w:r>
      <w:r w:rsidR="00D566C6">
        <w:rPr>
          <w:rFonts w:ascii="Calibri" w:hAnsi="Calibri" w:cs="Calibri"/>
          <w:sz w:val="22"/>
          <w:szCs w:val="22"/>
        </w:rPr>
        <w:t xml:space="preserve"> přiměřenou</w:t>
      </w:r>
      <w:r w:rsidR="008E0336">
        <w:rPr>
          <w:rFonts w:ascii="Calibri" w:hAnsi="Calibri"/>
          <w:sz w:val="22"/>
          <w:szCs w:val="22"/>
        </w:rPr>
        <w:t xml:space="preserve"> </w:t>
      </w:r>
      <w:r w:rsidR="008E0336">
        <w:rPr>
          <w:rFonts w:ascii="Calibri" w:hAnsi="Calibri" w:cs="Calibri"/>
          <w:sz w:val="22"/>
          <w:szCs w:val="22"/>
        </w:rPr>
        <w:t>jistotu</w:t>
      </w:r>
      <w:r w:rsidR="00D87D35">
        <w:rPr>
          <w:rFonts w:ascii="Calibri" w:hAnsi="Calibri" w:cs="Calibri"/>
          <w:sz w:val="22"/>
          <w:szCs w:val="22"/>
        </w:rPr>
        <w:t xml:space="preserve"> (</w:t>
      </w:r>
      <w:r w:rsidR="00D87D35" w:rsidRPr="00D87D35">
        <w:rPr>
          <w:rFonts w:ascii="Calibri" w:hAnsi="Calibri" w:cs="Calibri"/>
          <w:sz w:val="22"/>
          <w:szCs w:val="22"/>
        </w:rPr>
        <w:t>pozitivní forma výroku</w:t>
      </w:r>
      <w:r w:rsidR="00D87D35">
        <w:rPr>
          <w:rFonts w:ascii="Calibri" w:hAnsi="Calibri" w:cs="Calibri"/>
          <w:sz w:val="22"/>
          <w:szCs w:val="22"/>
        </w:rPr>
        <w:t>).</w:t>
      </w:r>
    </w:p>
    <w:p w14:paraId="0C4D7F11" w14:textId="77777777" w:rsidR="00B20F0E" w:rsidRDefault="00B20F0E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4105AF0" w14:textId="77777777" w:rsidR="008E0336" w:rsidRDefault="008E033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27D5FA9" w14:textId="77777777" w:rsidR="008E0336" w:rsidRDefault="008E033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vydá zprávu obsahující náležitosti stanovené standardem ISAE 3000</w:t>
      </w:r>
    </w:p>
    <w:p w14:paraId="2ECBB242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 zprávy</w:t>
      </w:r>
    </w:p>
    <w:p w14:paraId="57825BFA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Identifikace příjemce</w:t>
      </w:r>
    </w:p>
    <w:p w14:paraId="3F0F6308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Určení předmětu zakázky</w:t>
      </w:r>
    </w:p>
    <w:p w14:paraId="4C57023F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Auditovaný subjekt</w:t>
      </w:r>
    </w:p>
    <w:p w14:paraId="40FE0AA5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Auditovaná částka a období</w:t>
      </w:r>
    </w:p>
    <w:p w14:paraId="6CEB3B06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Kritéria</w:t>
      </w:r>
    </w:p>
    <w:p w14:paraId="17444247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Přirozená omezení</w:t>
      </w:r>
    </w:p>
    <w:p w14:paraId="30AF6341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Rozsah prací</w:t>
      </w:r>
    </w:p>
    <w:p w14:paraId="537F76B3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Odpovědnosti auditora</w:t>
      </w:r>
    </w:p>
    <w:p w14:paraId="5BF992CF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Odpovědnosti účetní jednotky</w:t>
      </w:r>
    </w:p>
    <w:p w14:paraId="1081EA9D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Prohlášení o použití standardů</w:t>
      </w:r>
    </w:p>
    <w:p w14:paraId="63125396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Přehled provedených prací</w:t>
      </w:r>
    </w:p>
    <w:p w14:paraId="511D976E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Závěr auditora</w:t>
      </w:r>
    </w:p>
    <w:p w14:paraId="77472D0D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zprávy</w:t>
      </w:r>
    </w:p>
    <w:p w14:paraId="0098409D" w14:textId="77777777" w:rsidR="008E0336" w:rsidRDefault="008E0336" w:rsidP="008E0336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Identifikace auditora a auditorské společnosti</w:t>
      </w:r>
    </w:p>
    <w:p w14:paraId="6BF3884C" w14:textId="77777777" w:rsidR="008E0336" w:rsidRDefault="008E0336" w:rsidP="008E0336">
      <w:pPr>
        <w:pStyle w:val="Normln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14:paraId="78C0AD77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12CB9C27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283249A1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2C3F6794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17755430" w14:textId="77777777" w:rsidR="001D4AC4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</w:t>
      </w:r>
      <w:r w:rsidR="001D4AC4">
        <w:rPr>
          <w:rFonts w:ascii="Calibri" w:hAnsi="Calibri" w:cs="Calibri"/>
          <w:sz w:val="22"/>
          <w:szCs w:val="22"/>
        </w:rPr>
        <w:t xml:space="preserve"> účtům a dokumentům objednatele. Poskytne </w:t>
      </w:r>
      <w:r w:rsidR="00D87D35">
        <w:rPr>
          <w:rFonts w:ascii="Calibri" w:hAnsi="Calibri" w:cs="Calibri"/>
          <w:sz w:val="22"/>
          <w:szCs w:val="22"/>
        </w:rPr>
        <w:t>prohlášení účetní jednotky</w:t>
      </w:r>
      <w:r w:rsidR="001D4AC4">
        <w:rPr>
          <w:rFonts w:ascii="Calibri" w:hAnsi="Calibri" w:cs="Calibri"/>
          <w:sz w:val="22"/>
          <w:szCs w:val="22"/>
        </w:rPr>
        <w:t xml:space="preserve"> dle specifikace auditora.</w:t>
      </w:r>
    </w:p>
    <w:p w14:paraId="0B2B6A7E" w14:textId="77777777" w:rsidR="001D4AC4" w:rsidRDefault="001D4AC4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1BA107F7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0BBB5E4F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E1DAC6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436CC67C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F076AAC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1A942A58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 xml:space="preserve"> Závěrečné zprávy</w:t>
      </w:r>
    </w:p>
    <w:p w14:paraId="41292DFD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3D60957" w14:textId="77777777" w:rsidR="001D4AC4" w:rsidRDefault="001D4AC4" w:rsidP="001D4AC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vydá na základě provedeného auditu Zprávu se závěrem v pozitivní formě.</w:t>
      </w:r>
    </w:p>
    <w:p w14:paraId="253144EB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E2DBDF1" w14:textId="77777777" w:rsidR="00BC74D8" w:rsidRDefault="00BC74D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BDCA6D5" w14:textId="77777777" w:rsidR="00BC74D8" w:rsidRDefault="00BC74D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AF922F5" w14:textId="77777777" w:rsidR="00BC74D8" w:rsidRDefault="00BC74D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2BEC1EF" w14:textId="77777777" w:rsidR="001D4AC4" w:rsidRDefault="001D4AC4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22B8C1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lastRenderedPageBreak/>
        <w:t>III.</w:t>
      </w:r>
    </w:p>
    <w:p w14:paraId="3E16902A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02A5831D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22A39992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9474C0E" w14:textId="09BE893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by nejpozději do</w:t>
      </w:r>
      <w:r w:rsidR="003014B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014BA">
        <w:rPr>
          <w:rFonts w:ascii="Calibri" w:hAnsi="Calibri" w:cs="Calibri"/>
          <w:sz w:val="22"/>
          <w:szCs w:val="22"/>
        </w:rPr>
        <w:t>7.4.2017</w:t>
      </w:r>
      <w:proofErr w:type="gramEnd"/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3F3DBA02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E15C18F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BC74D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vyhotoveních v českém jazyce do </w:t>
      </w:r>
      <w:proofErr w:type="gramStart"/>
      <w:r>
        <w:rPr>
          <w:rFonts w:ascii="Calibri" w:hAnsi="Calibri"/>
          <w:sz w:val="22"/>
          <w:szCs w:val="22"/>
        </w:rPr>
        <w:t>15ti</w:t>
      </w:r>
      <w:proofErr w:type="gramEnd"/>
      <w:r>
        <w:rPr>
          <w:rFonts w:ascii="Calibri" w:hAnsi="Calibri"/>
          <w:sz w:val="22"/>
          <w:szCs w:val="22"/>
        </w:rPr>
        <w:t xml:space="preserve"> dnů po předání veškeré dokumentace potřebné pro uzavření auditorské zprávy.</w:t>
      </w:r>
    </w:p>
    <w:p w14:paraId="63AF54D4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856269A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C13B6C3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1B57485C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7E7FAC16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2F9D0D1" w14:textId="31C78F38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ve výši</w:t>
      </w:r>
      <w:r w:rsidR="003014BA">
        <w:rPr>
          <w:rFonts w:ascii="Calibri" w:hAnsi="Calibri" w:cs="Calibri"/>
          <w:sz w:val="22"/>
          <w:szCs w:val="22"/>
        </w:rPr>
        <w:t xml:space="preserve"> 65 000,-</w:t>
      </w:r>
      <w:r>
        <w:rPr>
          <w:rFonts w:ascii="Calibri" w:hAnsi="Calibri"/>
          <w:sz w:val="22"/>
          <w:szCs w:val="22"/>
        </w:rPr>
        <w:t xml:space="preserve"> Kč bez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44CC891D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75B4F74C" w14:textId="77777777" w:rsidR="00E028FD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Finanční vyrovnání bude prováděno na základě ukončení jednotlivých etap ověřování a t</w:t>
      </w:r>
      <w:r w:rsidR="00E31D09">
        <w:rPr>
          <w:rFonts w:ascii="Calibri" w:hAnsi="Calibri"/>
          <w:sz w:val="22"/>
          <w:szCs w:val="22"/>
        </w:rPr>
        <w:t xml:space="preserve">o na </w:t>
      </w:r>
      <w:r w:rsidR="00076A55">
        <w:rPr>
          <w:rFonts w:ascii="Calibri" w:hAnsi="Calibri"/>
          <w:sz w:val="22"/>
          <w:szCs w:val="22"/>
        </w:rPr>
        <w:t>pod</w:t>
      </w:r>
      <w:r w:rsidR="00E31D09">
        <w:rPr>
          <w:rFonts w:ascii="Calibri" w:hAnsi="Calibri"/>
          <w:sz w:val="22"/>
          <w:szCs w:val="22"/>
        </w:rPr>
        <w:t xml:space="preserve">kladě vystavených </w:t>
      </w:r>
      <w:r w:rsidR="00076A55">
        <w:rPr>
          <w:rFonts w:ascii="Calibri" w:hAnsi="Calibri"/>
          <w:sz w:val="22"/>
          <w:szCs w:val="22"/>
        </w:rPr>
        <w:t xml:space="preserve">daňových dokladů - </w:t>
      </w:r>
      <w:r w:rsidR="00E31D09">
        <w:rPr>
          <w:rFonts w:ascii="Calibri" w:hAnsi="Calibri"/>
          <w:sz w:val="22"/>
          <w:szCs w:val="22"/>
        </w:rPr>
        <w:t>faktur.</w:t>
      </w:r>
    </w:p>
    <w:p w14:paraId="3A8026AE" w14:textId="77777777" w:rsidR="00076A55" w:rsidRDefault="00076A55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158B5A7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3DBCB5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7D3AF5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94B7C41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0FEAACBF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38F1DAC7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162D165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3707E602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50FBE28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07FEDFCC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VI.</w:t>
      </w:r>
    </w:p>
    <w:p w14:paraId="57DC51BA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3A382463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6D8BF50" w14:textId="311D24D1" w:rsidR="0043607F" w:rsidRDefault="000C3EB8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nabývá účinnosti dnem uveřejnění jejího plného znění v registru smluv v souladu se zákonem č. 340/2015 Sb., o zvláštních podmínkách účinnosti některých smluv, uveřejňování těchto smluv a o registru smluv (zákon o registru smluv). Tato smlouva se uzavírá na dobu</w:t>
      </w:r>
      <w:r w:rsidR="003014BA">
        <w:rPr>
          <w:rFonts w:ascii="Calibri" w:hAnsi="Calibri"/>
          <w:sz w:val="22"/>
          <w:szCs w:val="22"/>
        </w:rPr>
        <w:t xml:space="preserve"> určitou</w:t>
      </w:r>
      <w:r w:rsidR="00BD029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to</w:t>
      </w:r>
      <w:r w:rsidR="00BD0292">
        <w:rPr>
          <w:rFonts w:ascii="Calibri" w:hAnsi="Calibri"/>
          <w:sz w:val="22"/>
          <w:szCs w:val="22"/>
        </w:rPr>
        <w:t xml:space="preserve"> ode dne jejího podpisu</w:t>
      </w:r>
      <w:r>
        <w:rPr>
          <w:rFonts w:ascii="Calibri" w:hAnsi="Calibri"/>
          <w:sz w:val="22"/>
          <w:szCs w:val="22"/>
        </w:rPr>
        <w:t xml:space="preserve"> do dne předání a odsouhlasení zprávy auditora, nejpozději do </w:t>
      </w:r>
      <w:r w:rsidR="00CC4099">
        <w:rPr>
          <w:rFonts w:ascii="Calibri" w:hAnsi="Calibri"/>
          <w:sz w:val="22"/>
          <w:szCs w:val="22"/>
        </w:rPr>
        <w:t>7. 4. 201</w:t>
      </w:r>
      <w:r w:rsidR="007C3288">
        <w:rPr>
          <w:rFonts w:ascii="Calibri" w:hAnsi="Calibri"/>
          <w:sz w:val="22"/>
          <w:szCs w:val="22"/>
        </w:rPr>
        <w:t>7</w:t>
      </w:r>
      <w:r w:rsidR="00CC4099">
        <w:rPr>
          <w:rFonts w:ascii="Calibri" w:hAnsi="Calibri"/>
          <w:sz w:val="22"/>
          <w:szCs w:val="22"/>
        </w:rPr>
        <w:t>.</w:t>
      </w:r>
    </w:p>
    <w:p w14:paraId="14300F45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C68E2E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7E449F8D" w14:textId="77777777" w:rsidR="00EA1E63" w:rsidRDefault="00EA1E63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9A9DC7C" w14:textId="77777777" w:rsidR="00EA1E63" w:rsidRDefault="00EA1E63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47C490D" w14:textId="39D4DA02" w:rsidR="00EA1E63" w:rsidRDefault="00EA1E63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Dle platných předpisů lze Smlouvu o povinném auditu uzavřít pouze s auditorem schváleným nejvyšším orgánem objednatele (tzn. </w:t>
      </w:r>
      <w:r w:rsidR="0070676B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akciových společností a společností s ručením omezeným valnou hromadou, nemá-li účetní jednotka nejvyšší orgán, lze určit auditora dozorčím orgánem).</w:t>
      </w:r>
    </w:p>
    <w:p w14:paraId="66493275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FE0D455" w14:textId="5E81EFDE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F3E7E19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B7847EA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006BDD1D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450E53D0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1B227D5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Auditorovi náleží nárok na úrok z prodlení z dlužné částky včetně DPH podle Nařízení vlády č. 163/2005 Sb. Objednateli náleží nárok na smluvní pokutu ve výši 0,05 % za každý den prodlení po dn</w:t>
      </w:r>
      <w:r w:rsidR="00D319E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smluvně stanoveného pro předání závěrečné zprávy z celkové smluvní částky bez DPH.</w:t>
      </w:r>
    </w:p>
    <w:p w14:paraId="3AAEF072" w14:textId="77777777" w:rsidR="00BD0292" w:rsidRDefault="00BD0292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F509D4D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62AF7A8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0FC4192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686C3E2D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B9A30C6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054DD481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15DE11A9" w14:textId="77777777" w:rsidR="004010A4" w:rsidRDefault="004010A4" w:rsidP="004010A4">
      <w:pPr>
        <w:rPr>
          <w:rFonts w:asciiTheme="minorHAnsi" w:hAnsiTheme="minorHAnsi"/>
          <w:sz w:val="22"/>
          <w:szCs w:val="22"/>
        </w:rPr>
      </w:pPr>
    </w:p>
    <w:p w14:paraId="03584E19" w14:textId="77777777"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14:paraId="6DB8D66B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32F14D31" w14:textId="77777777" w:rsidTr="004010A4">
        <w:tc>
          <w:tcPr>
            <w:tcW w:w="4606" w:type="dxa"/>
          </w:tcPr>
          <w:p w14:paraId="6706AFB2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068F1E01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3B7EB3C7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06C3A19A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1A1B4F4A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24BD8228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1536FBD2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79675F1C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0DB89B61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7E2D826B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6E2B1043" w14:textId="77777777"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E782" w14:textId="77777777" w:rsidR="00E028FD" w:rsidRDefault="00E028FD" w:rsidP="00E028FD">
      <w:r>
        <w:separator/>
      </w:r>
    </w:p>
  </w:endnote>
  <w:endnote w:type="continuationSeparator" w:id="0">
    <w:p w14:paraId="54F1EE9A" w14:textId="77777777" w:rsidR="00E028FD" w:rsidRDefault="00E028FD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03903" w14:textId="77777777"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14:paraId="38281FAD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7802D" w14:textId="77777777" w:rsidR="00E028FD" w:rsidRDefault="00E028FD" w:rsidP="00E028FD">
      <w:r>
        <w:separator/>
      </w:r>
    </w:p>
  </w:footnote>
  <w:footnote w:type="continuationSeparator" w:id="0">
    <w:p w14:paraId="2A54820A" w14:textId="77777777" w:rsidR="00E028FD" w:rsidRDefault="00E028FD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A77E" w14:textId="77777777" w:rsidR="00E028FD" w:rsidRDefault="00E028FD">
    <w:pPr>
      <w:pStyle w:val="Zhlav"/>
    </w:pPr>
    <w:r>
      <w:rPr>
        <w:noProof/>
      </w:rPr>
      <w:drawing>
        <wp:inline distT="0" distB="0" distL="0" distR="0" wp14:anchorId="0CF995E6" wp14:editId="5DF8613C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92"/>
    <w:rsid w:val="00076A55"/>
    <w:rsid w:val="000C3EB8"/>
    <w:rsid w:val="001313B7"/>
    <w:rsid w:val="00157294"/>
    <w:rsid w:val="001A439D"/>
    <w:rsid w:val="001B4687"/>
    <w:rsid w:val="001D4AC4"/>
    <w:rsid w:val="00202325"/>
    <w:rsid w:val="00226DBA"/>
    <w:rsid w:val="00285CEF"/>
    <w:rsid w:val="00297259"/>
    <w:rsid w:val="002C424C"/>
    <w:rsid w:val="002D6A1F"/>
    <w:rsid w:val="003014BA"/>
    <w:rsid w:val="003B43C5"/>
    <w:rsid w:val="003C5F07"/>
    <w:rsid w:val="003C6DFF"/>
    <w:rsid w:val="004010A4"/>
    <w:rsid w:val="004060BC"/>
    <w:rsid w:val="00421320"/>
    <w:rsid w:val="004240A6"/>
    <w:rsid w:val="004308BB"/>
    <w:rsid w:val="0043607F"/>
    <w:rsid w:val="004B0F43"/>
    <w:rsid w:val="005123F8"/>
    <w:rsid w:val="00584C7D"/>
    <w:rsid w:val="00596AC0"/>
    <w:rsid w:val="005C637D"/>
    <w:rsid w:val="005E022A"/>
    <w:rsid w:val="00616F20"/>
    <w:rsid w:val="00624F38"/>
    <w:rsid w:val="00634488"/>
    <w:rsid w:val="0064774A"/>
    <w:rsid w:val="00700F4B"/>
    <w:rsid w:val="0070676B"/>
    <w:rsid w:val="007243D7"/>
    <w:rsid w:val="00746BA2"/>
    <w:rsid w:val="00750B48"/>
    <w:rsid w:val="007800B5"/>
    <w:rsid w:val="00787EB6"/>
    <w:rsid w:val="0079622B"/>
    <w:rsid w:val="007C3288"/>
    <w:rsid w:val="007C513E"/>
    <w:rsid w:val="007F777E"/>
    <w:rsid w:val="00814492"/>
    <w:rsid w:val="008421C4"/>
    <w:rsid w:val="008658F8"/>
    <w:rsid w:val="0089319C"/>
    <w:rsid w:val="008B01C7"/>
    <w:rsid w:val="008E0336"/>
    <w:rsid w:val="008E4098"/>
    <w:rsid w:val="00917080"/>
    <w:rsid w:val="00951FA4"/>
    <w:rsid w:val="009869AA"/>
    <w:rsid w:val="009E4BB1"/>
    <w:rsid w:val="00A619EF"/>
    <w:rsid w:val="00A634BE"/>
    <w:rsid w:val="00A747AF"/>
    <w:rsid w:val="00A7742B"/>
    <w:rsid w:val="00A938C8"/>
    <w:rsid w:val="00AB6ACB"/>
    <w:rsid w:val="00AD6039"/>
    <w:rsid w:val="00B16326"/>
    <w:rsid w:val="00B179C6"/>
    <w:rsid w:val="00B20F0E"/>
    <w:rsid w:val="00B30E79"/>
    <w:rsid w:val="00B445C9"/>
    <w:rsid w:val="00B52E4C"/>
    <w:rsid w:val="00B74577"/>
    <w:rsid w:val="00BA7E87"/>
    <w:rsid w:val="00BC74D8"/>
    <w:rsid w:val="00BD0292"/>
    <w:rsid w:val="00C220DD"/>
    <w:rsid w:val="00C66036"/>
    <w:rsid w:val="00C87036"/>
    <w:rsid w:val="00C8792A"/>
    <w:rsid w:val="00CC4099"/>
    <w:rsid w:val="00D22469"/>
    <w:rsid w:val="00D319E0"/>
    <w:rsid w:val="00D566C6"/>
    <w:rsid w:val="00D836FB"/>
    <w:rsid w:val="00D87D35"/>
    <w:rsid w:val="00DC6E99"/>
    <w:rsid w:val="00DD587E"/>
    <w:rsid w:val="00DE5FB6"/>
    <w:rsid w:val="00E028FD"/>
    <w:rsid w:val="00E31D09"/>
    <w:rsid w:val="00E61129"/>
    <w:rsid w:val="00E706D0"/>
    <w:rsid w:val="00EA0899"/>
    <w:rsid w:val="00EA1E63"/>
    <w:rsid w:val="00EF1525"/>
    <w:rsid w:val="00F02833"/>
    <w:rsid w:val="00F34C7B"/>
    <w:rsid w:val="00F433FC"/>
    <w:rsid w:val="00F5055C"/>
    <w:rsid w:val="00F560D7"/>
    <w:rsid w:val="00F93927"/>
    <w:rsid w:val="00F95536"/>
    <w:rsid w:val="00FB1FA7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B93637"/>
  <w15:docId w15:val="{B7A95940-F49F-4C98-BE1D-F576C78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1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F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F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F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913B-E788-4F77-94B9-9DDBCEC8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Jedlička Antonín</cp:lastModifiedBy>
  <cp:revision>10</cp:revision>
  <dcterms:created xsi:type="dcterms:W3CDTF">2016-09-26T12:14:00Z</dcterms:created>
  <dcterms:modified xsi:type="dcterms:W3CDTF">2016-09-26T12:46:00Z</dcterms:modified>
</cp:coreProperties>
</file>