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6A925F7" w:rsidR="00780343" w:rsidRPr="008E53DD" w:rsidRDefault="005F2BF7" w:rsidP="00512AAA">
      <w:pPr>
        <w:jc w:val="center"/>
        <w:rPr>
          <w:rFonts w:ascii="Times New Roman" w:hAnsi="Times New Roman" w:cs="Times New Roman"/>
          <w:b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</w:t>
      </w:r>
      <w:r w:rsidRPr="008E53DD">
        <w:rPr>
          <w:rFonts w:ascii="Times New Roman" w:hAnsi="Times New Roman" w:cs="Times New Roman"/>
          <w:b/>
        </w:rPr>
        <w:t>odatek č.</w:t>
      </w:r>
      <w:r w:rsidR="008E53DD">
        <w:rPr>
          <w:rFonts w:ascii="Times New Roman" w:hAnsi="Times New Roman" w:cs="Times New Roman"/>
          <w:b/>
        </w:rPr>
        <w:t xml:space="preserve"> </w:t>
      </w:r>
      <w:r w:rsidR="008E53DD" w:rsidRPr="008E53DD">
        <w:rPr>
          <w:rFonts w:ascii="Times New Roman" w:hAnsi="Times New Roman" w:cs="Times New Roman"/>
          <w:b/>
        </w:rPr>
        <w:t>1</w:t>
      </w:r>
    </w:p>
    <w:p w14:paraId="2BF03212" w14:textId="7C7FF8E9" w:rsidR="006F3997" w:rsidRPr="008E53D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15-0008/7/3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8E53DD">
        <w:rPr>
          <w:rFonts w:ascii="Times New Roman" w:hAnsi="Times New Roman" w:cs="Times New Roman"/>
          <w:b/>
        </w:rPr>
        <w:t>2</w:t>
      </w:r>
      <w:r w:rsidR="002C5197">
        <w:rPr>
          <w:rFonts w:ascii="Times New Roman" w:hAnsi="Times New Roman" w:cs="Times New Roman"/>
          <w:b/>
        </w:rPr>
        <w:t>3</w:t>
      </w:r>
      <w:r w:rsidR="008E53DD">
        <w:rPr>
          <w:rFonts w:ascii="Times New Roman" w:hAnsi="Times New Roman" w:cs="Times New Roman"/>
          <w:b/>
        </w:rPr>
        <w:t>. 1</w:t>
      </w:r>
      <w:r w:rsidR="002C5197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2019</w:t>
      </w:r>
      <w:r w:rsidR="00BE65F0" w:rsidRPr="008E53DD">
        <w:rPr>
          <w:rFonts w:ascii="Times New Roman" w:hAnsi="Times New Roman" w:cs="Times New Roman"/>
          <w:b/>
        </w:rPr>
        <w:br/>
      </w:r>
      <w:r w:rsidR="002077C2" w:rsidRPr="008E53DD">
        <w:rPr>
          <w:rFonts w:ascii="Times New Roman" w:hAnsi="Times New Roman" w:cs="Times New Roman"/>
          <w:b/>
        </w:rPr>
        <w:t>„</w:t>
      </w:r>
      <w:r w:rsidR="002C5197">
        <w:rPr>
          <w:rFonts w:ascii="Times New Roman" w:hAnsi="Times New Roman" w:cs="Times New Roman"/>
          <w:b/>
          <w:bCs/>
        </w:rPr>
        <w:t>Výstava Urbánia – truhlářská (mobiliář) a světelná složka výstavy</w:t>
      </w:r>
      <w:r w:rsidR="002077C2" w:rsidRPr="008E53DD">
        <w:rPr>
          <w:rFonts w:ascii="Times New Roman" w:hAnsi="Times New Roman" w:cs="Times New Roman"/>
          <w:b/>
        </w:rPr>
        <w:t>“</w:t>
      </w:r>
      <w:r w:rsidR="00C2756A" w:rsidRPr="008E53DD">
        <w:rPr>
          <w:rFonts w:ascii="Times New Roman" w:hAnsi="Times New Roman" w:cs="Times New Roman"/>
          <w:b/>
        </w:rPr>
        <w:tab/>
      </w:r>
    </w:p>
    <w:p w14:paraId="75D993FE" w14:textId="77777777"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F31952A" w14:textId="3B32E089"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EF0878">
        <w:rPr>
          <w:rFonts w:ascii="Times New Roman" w:hAnsi="Times New Roman" w:cs="Times New Roman"/>
        </w:rPr>
        <w:t>Mgr. Martinem Červeným</w:t>
      </w:r>
      <w:r w:rsidR="00035F94" w:rsidRPr="008E53DD">
        <w:rPr>
          <w:rFonts w:ascii="Times New Roman" w:hAnsi="Times New Roman" w:cs="Times New Roman"/>
        </w:rPr>
        <w:t xml:space="preserve">, </w:t>
      </w:r>
      <w:r w:rsidR="00EF0878">
        <w:rPr>
          <w:rFonts w:ascii="Times New Roman" w:hAnsi="Times New Roman" w:cs="Times New Roman"/>
        </w:rPr>
        <w:t xml:space="preserve">zástupcem </w:t>
      </w:r>
      <w:r w:rsidR="00035F94" w:rsidRPr="008E53DD">
        <w:rPr>
          <w:rFonts w:ascii="Times New Roman" w:hAnsi="Times New Roman" w:cs="Times New Roman"/>
        </w:rPr>
        <w:t>ředitele</w:t>
      </w:r>
    </w:p>
    <w:p w14:paraId="1207393D" w14:textId="0393FBDA"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14:paraId="0A196CE9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14:paraId="0C73E237" w14:textId="23866C3E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r w:rsidR="00326A11">
        <w:rPr>
          <w:rFonts w:ascii="Times New Roman" w:hAnsi="Times New Roman" w:cs="Times New Roman"/>
        </w:rPr>
        <w:t>xxx</w:t>
      </w:r>
    </w:p>
    <w:p w14:paraId="54BA1AF7" w14:textId="6180F5CF"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r w:rsidR="00326A11">
        <w:rPr>
          <w:rFonts w:ascii="Times New Roman" w:hAnsi="Times New Roman" w:cs="Times New Roman"/>
        </w:rPr>
        <w:t>xxx</w:t>
      </w:r>
    </w:p>
    <w:p w14:paraId="02A95E69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14:paraId="36978C1B" w14:textId="77777777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14:paraId="083B7CD3" w14:textId="76CC595B" w:rsidR="002C5197" w:rsidRPr="002C5197" w:rsidRDefault="002C5197" w:rsidP="002C5197">
      <w:pPr>
        <w:spacing w:after="0"/>
        <w:rPr>
          <w:rFonts w:ascii="Times New Roman" w:hAnsi="Times New Roman" w:cs="Times New Roman"/>
          <w:b/>
          <w:bCs/>
        </w:rPr>
      </w:pPr>
      <w:r w:rsidRPr="002C5197">
        <w:rPr>
          <w:rFonts w:ascii="Times New Roman" w:hAnsi="Times New Roman" w:cs="Times New Roman"/>
          <w:b/>
          <w:bCs/>
        </w:rPr>
        <w:t>VETAMBER s.r.o.</w:t>
      </w:r>
    </w:p>
    <w:p w14:paraId="11DC18A6" w14:textId="77777777" w:rsidR="002C5197" w:rsidRDefault="002C5197" w:rsidP="002C519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2C5197">
        <w:rPr>
          <w:rFonts w:ascii="Times New Roman" w:hAnsi="Times New Roman" w:cs="Times New Roman"/>
          <w:bCs/>
        </w:rPr>
        <w:t>zastoupený: Tomášem Veberem, jednatelem</w:t>
      </w:r>
    </w:p>
    <w:p w14:paraId="728F758E" w14:textId="77E2010C" w:rsidR="002C5197" w:rsidRPr="002C5197" w:rsidRDefault="002C5197" w:rsidP="002C519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2C5197">
        <w:rPr>
          <w:rFonts w:ascii="Times New Roman" w:hAnsi="Times New Roman" w:cs="Times New Roman"/>
          <w:bCs/>
        </w:rPr>
        <w:t>sídlo: Prosluněná 558/7, 152 00 Praha 5 - Hlubočepy</w:t>
      </w:r>
    </w:p>
    <w:p w14:paraId="049DC3FF" w14:textId="344F2DE9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>zapsaný: v obchodním rejstříku vedeném Městským soudem v Praze, oddíl C, vložka 82861</w:t>
      </w:r>
    </w:p>
    <w:p w14:paraId="3374C768" w14:textId="5CA1038F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>IČO: 26447541</w:t>
      </w:r>
    </w:p>
    <w:p w14:paraId="2212BC59" w14:textId="28125C78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>DIČ: CZ26447541</w:t>
      </w:r>
    </w:p>
    <w:p w14:paraId="43D05476" w14:textId="0A5328E8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 xml:space="preserve">bankovní spojení: </w:t>
      </w:r>
      <w:r w:rsidR="00326A11">
        <w:rPr>
          <w:rFonts w:ascii="Times New Roman" w:hAnsi="Times New Roman" w:cs="Times New Roman"/>
        </w:rPr>
        <w:t>xxx</w:t>
      </w:r>
    </w:p>
    <w:p w14:paraId="2A44FA33" w14:textId="69F4F092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 xml:space="preserve">číslo účtu: </w:t>
      </w:r>
      <w:r w:rsidR="00326A11">
        <w:rPr>
          <w:rFonts w:ascii="Times New Roman" w:hAnsi="Times New Roman" w:cs="Times New Roman"/>
        </w:rPr>
        <w:t>xxx</w:t>
      </w:r>
      <w:bookmarkStart w:id="0" w:name="_GoBack"/>
      <w:bookmarkEnd w:id="0"/>
    </w:p>
    <w:p w14:paraId="333F4D5F" w14:textId="2AD72F43" w:rsidR="002C5197" w:rsidRPr="002C5197" w:rsidRDefault="002C5197" w:rsidP="002C51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>zhotovitel je</w:t>
      </w:r>
      <w:r w:rsidRPr="002C5197">
        <w:rPr>
          <w:rFonts w:ascii="Times New Roman" w:hAnsi="Times New Roman" w:cs="Times New Roman"/>
          <w:i/>
        </w:rPr>
        <w:t xml:space="preserve"> </w:t>
      </w:r>
      <w:r w:rsidRPr="002C5197">
        <w:rPr>
          <w:rFonts w:ascii="Times New Roman" w:hAnsi="Times New Roman" w:cs="Times New Roman"/>
        </w:rPr>
        <w:t>plátcem DPH</w:t>
      </w:r>
    </w:p>
    <w:p w14:paraId="1E87FCFF" w14:textId="1C3CE32D" w:rsidR="002C5197" w:rsidRPr="002C5197" w:rsidRDefault="002C5197" w:rsidP="002C5197">
      <w:pPr>
        <w:pStyle w:val="Zkladn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5197">
        <w:rPr>
          <w:rFonts w:ascii="Times New Roman" w:hAnsi="Times New Roman" w:cs="Times New Roman"/>
        </w:rPr>
        <w:t>(dále jen „</w:t>
      </w:r>
      <w:r w:rsidRPr="002C5197">
        <w:rPr>
          <w:rFonts w:ascii="Times New Roman" w:hAnsi="Times New Roman" w:cs="Times New Roman"/>
          <w:b/>
        </w:rPr>
        <w:t>zhotovitel</w:t>
      </w:r>
      <w:r w:rsidRPr="002C5197">
        <w:rPr>
          <w:rFonts w:ascii="Times New Roman" w:hAnsi="Times New Roman" w:cs="Times New Roman"/>
        </w:rPr>
        <w:t>“)</w:t>
      </w:r>
    </w:p>
    <w:p w14:paraId="3F479FA8" w14:textId="77777777" w:rsidR="008E53DD" w:rsidRPr="0060154C" w:rsidRDefault="008E53DD" w:rsidP="008E53DD">
      <w:pPr>
        <w:ind w:left="284"/>
        <w:rPr>
          <w:rFonts w:cs="Times New Roman"/>
        </w:rPr>
      </w:pPr>
    </w:p>
    <w:p w14:paraId="3F34FA2A" w14:textId="6741D784"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0EB9FE22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10570505" w14:textId="77777777"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14:paraId="753C3344" w14:textId="603EE2D3"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 xml:space="preserve">15-0008/7/3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8E53DD">
        <w:rPr>
          <w:rFonts w:ascii="Times New Roman" w:hAnsi="Times New Roman" w:cs="Times New Roman"/>
          <w:b/>
        </w:rPr>
        <w:t>2</w:t>
      </w:r>
      <w:r w:rsidR="002C5197">
        <w:rPr>
          <w:rFonts w:ascii="Times New Roman" w:hAnsi="Times New Roman" w:cs="Times New Roman"/>
          <w:b/>
        </w:rPr>
        <w:t>3</w:t>
      </w:r>
      <w:r w:rsidR="008E53DD">
        <w:rPr>
          <w:rFonts w:ascii="Times New Roman" w:hAnsi="Times New Roman" w:cs="Times New Roman"/>
          <w:b/>
        </w:rPr>
        <w:t>. 1</w:t>
      </w:r>
      <w:r w:rsidR="002C5197">
        <w:rPr>
          <w:rFonts w:ascii="Times New Roman" w:hAnsi="Times New Roman" w:cs="Times New Roman"/>
          <w:b/>
        </w:rPr>
        <w:t>0</w:t>
      </w:r>
      <w:r w:rsidR="008E53DD">
        <w:rPr>
          <w:rFonts w:ascii="Times New Roman" w:hAnsi="Times New Roman" w:cs="Times New Roman"/>
          <w:b/>
        </w:rPr>
        <w:t>. 2019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14:paraId="21879E0F" w14:textId="69607133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33E39735" w14:textId="77777777"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14:paraId="63FBED05" w14:textId="126B3F72" w:rsidR="007B6DBB" w:rsidRPr="002C5197" w:rsidRDefault="001E7B9C" w:rsidP="002C5197">
      <w:pPr>
        <w:spacing w:before="120" w:line="240" w:lineRule="atLeast"/>
        <w:jc w:val="both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</w:rPr>
        <w:t xml:space="preserve">Smluvní strany </w:t>
      </w:r>
      <w:r w:rsidR="00013D23" w:rsidRPr="008E53DD">
        <w:rPr>
          <w:rFonts w:ascii="Times New Roman" w:hAnsi="Times New Roman" w:cs="Times New Roman"/>
        </w:rPr>
        <w:t>uzavřely</w:t>
      </w:r>
      <w:r w:rsidR="008E53DD">
        <w:rPr>
          <w:rFonts w:ascii="Times New Roman" w:hAnsi="Times New Roman" w:cs="Times New Roman"/>
        </w:rPr>
        <w:t xml:space="preserve"> dne 2</w:t>
      </w:r>
      <w:r w:rsidR="002C5197">
        <w:rPr>
          <w:rFonts w:ascii="Times New Roman" w:hAnsi="Times New Roman" w:cs="Times New Roman"/>
        </w:rPr>
        <w:t>3</w:t>
      </w:r>
      <w:r w:rsidR="008E53DD">
        <w:rPr>
          <w:rFonts w:ascii="Times New Roman" w:hAnsi="Times New Roman" w:cs="Times New Roman"/>
        </w:rPr>
        <w:t>. 1</w:t>
      </w:r>
      <w:r w:rsidR="002C5197">
        <w:rPr>
          <w:rFonts w:ascii="Times New Roman" w:hAnsi="Times New Roman" w:cs="Times New Roman"/>
        </w:rPr>
        <w:t>0</w:t>
      </w:r>
      <w:r w:rsidR="008E53DD">
        <w:rPr>
          <w:rFonts w:ascii="Times New Roman" w:hAnsi="Times New Roman" w:cs="Times New Roman"/>
        </w:rPr>
        <w:t>. 2019</w:t>
      </w:r>
      <w:r w:rsidRPr="008E53DD">
        <w:rPr>
          <w:rFonts w:ascii="Times New Roman" w:hAnsi="Times New Roman" w:cs="Times New Roman"/>
        </w:rPr>
        <w:t xml:space="preserve"> smlouvu </w:t>
      </w:r>
      <w:r w:rsidR="00013D23" w:rsidRPr="008E53DD">
        <w:rPr>
          <w:rFonts w:ascii="Times New Roman" w:hAnsi="Times New Roman" w:cs="Times New Roman"/>
        </w:rPr>
        <w:t xml:space="preserve">o dílo </w:t>
      </w:r>
      <w:r w:rsidRPr="008E53DD">
        <w:rPr>
          <w:rFonts w:ascii="Times New Roman" w:hAnsi="Times New Roman" w:cs="Times New Roman"/>
        </w:rPr>
        <w:t xml:space="preserve">ZAK </w:t>
      </w:r>
      <w:r w:rsidR="008E53DD">
        <w:rPr>
          <w:rFonts w:ascii="Times New Roman" w:hAnsi="Times New Roman" w:cs="Times New Roman"/>
        </w:rPr>
        <w:t>15-0008-7-</w:t>
      </w:r>
      <w:r w:rsidR="002C5197">
        <w:rPr>
          <w:rFonts w:ascii="Times New Roman" w:hAnsi="Times New Roman" w:cs="Times New Roman"/>
        </w:rPr>
        <w:t xml:space="preserve">3 </w:t>
      </w:r>
      <w:r w:rsidR="002C5197" w:rsidRPr="008E53DD">
        <w:rPr>
          <w:rFonts w:ascii="Times New Roman" w:hAnsi="Times New Roman" w:cs="Times New Roman"/>
          <w:b/>
        </w:rPr>
        <w:t>„</w:t>
      </w:r>
      <w:r w:rsidR="002C5197">
        <w:rPr>
          <w:rFonts w:ascii="Times New Roman" w:hAnsi="Times New Roman" w:cs="Times New Roman"/>
          <w:b/>
          <w:bCs/>
        </w:rPr>
        <w:t>Výstava Urbánia – truhlářská (mobiliář) a světelná složka výstavy</w:t>
      </w:r>
      <w:r w:rsidR="002C5197" w:rsidRPr="008E53DD">
        <w:rPr>
          <w:rFonts w:ascii="Times New Roman" w:hAnsi="Times New Roman" w:cs="Times New Roman"/>
          <w:b/>
        </w:rPr>
        <w:t>“</w:t>
      </w:r>
      <w:r w:rsidRPr="008E53DD">
        <w:rPr>
          <w:rFonts w:ascii="Times New Roman" w:hAnsi="Times New Roman" w:cs="Times New Roman"/>
        </w:rPr>
        <w:t xml:space="preserve"> (dále jen „smlouva“).</w:t>
      </w:r>
    </w:p>
    <w:p w14:paraId="52C0CE74" w14:textId="5C94B2B4" w:rsidR="006F3997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4F989C53" w14:textId="77777777" w:rsidR="0021294D" w:rsidRPr="008E53DD" w:rsidRDefault="0021294D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8E53D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</w:t>
      </w:r>
      <w:r w:rsidR="00512AAA" w:rsidRPr="008E53DD">
        <w:rPr>
          <w:rFonts w:ascii="Times New Roman" w:hAnsi="Times New Roman" w:cs="Times New Roman"/>
          <w:b/>
        </w:rPr>
        <w:t>l</w:t>
      </w:r>
      <w:r w:rsidRPr="008E53DD">
        <w:rPr>
          <w:rFonts w:ascii="Times New Roman" w:hAnsi="Times New Roman" w:cs="Times New Roman"/>
          <w:b/>
        </w:rPr>
        <w:t>. I</w:t>
      </w:r>
      <w:r w:rsidR="001E7B9C" w:rsidRPr="008E53DD">
        <w:rPr>
          <w:rFonts w:ascii="Times New Roman" w:hAnsi="Times New Roman" w:cs="Times New Roman"/>
          <w:b/>
        </w:rPr>
        <w:t>I</w:t>
      </w:r>
      <w:r w:rsidR="00013D23" w:rsidRPr="008E53DD">
        <w:rPr>
          <w:rFonts w:ascii="Times New Roman" w:hAnsi="Times New Roman" w:cs="Times New Roman"/>
          <w:b/>
        </w:rPr>
        <w:t xml:space="preserve"> Předmět dodatku</w:t>
      </w:r>
    </w:p>
    <w:p w14:paraId="1465D42C" w14:textId="6790A2C0" w:rsidR="002C5197" w:rsidRPr="002C5197" w:rsidRDefault="004A30FA" w:rsidP="002C5197">
      <w:pPr>
        <w:pStyle w:val="Normlnweb"/>
        <w:numPr>
          <w:ilvl w:val="0"/>
          <w:numId w:val="9"/>
        </w:numPr>
        <w:shd w:val="clear" w:color="auto" w:fill="FFFFFF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2C5197">
        <w:rPr>
          <w:rFonts w:eastAsia="Times New Roman"/>
        </w:rPr>
        <w:t xml:space="preserve">Smluvní strany se dohodly, že </w:t>
      </w:r>
      <w:r w:rsidR="00AE5C87" w:rsidRPr="002C5197">
        <w:rPr>
          <w:rFonts w:eastAsia="Times New Roman"/>
        </w:rPr>
        <w:t>č</w:t>
      </w:r>
      <w:r w:rsidRPr="002C5197">
        <w:rPr>
          <w:rFonts w:eastAsia="Times New Roman"/>
        </w:rPr>
        <w:t xml:space="preserve">l. </w:t>
      </w:r>
      <w:r w:rsidR="006759AB" w:rsidRPr="002C5197">
        <w:rPr>
          <w:rFonts w:eastAsia="Times New Roman"/>
        </w:rPr>
        <w:t>I</w:t>
      </w:r>
      <w:r w:rsidR="001770A6" w:rsidRPr="002C5197">
        <w:rPr>
          <w:rFonts w:eastAsia="Times New Roman"/>
        </w:rPr>
        <w:t>.</w:t>
      </w:r>
      <w:r w:rsidR="0055783B" w:rsidRPr="002C5197">
        <w:t xml:space="preserve"> odst. </w:t>
      </w:r>
      <w:r w:rsidR="002C5197" w:rsidRPr="002C5197">
        <w:t>1</w:t>
      </w:r>
      <w:r w:rsidR="00D15DCF" w:rsidRPr="002C5197">
        <w:t xml:space="preserve"> </w:t>
      </w:r>
      <w:r w:rsidR="006759AB" w:rsidRPr="002C5197">
        <w:t>s</w:t>
      </w:r>
      <w:r w:rsidR="00D15DCF" w:rsidRPr="002C5197">
        <w:t xml:space="preserve">mlouvy </w:t>
      </w:r>
      <w:r w:rsidR="00D00F18" w:rsidRPr="002C5197">
        <w:t>s</w:t>
      </w:r>
      <w:r w:rsidR="00071C22" w:rsidRPr="002C5197">
        <w:t>e s</w:t>
      </w:r>
      <w:r w:rsidR="00D00F18" w:rsidRPr="002C5197">
        <w:t xml:space="preserve"> účinností tohoto dodatku </w:t>
      </w:r>
      <w:r w:rsidR="00A93867" w:rsidRPr="002C5197">
        <w:t xml:space="preserve">doplňuje </w:t>
      </w:r>
      <w:r w:rsidR="002C5197" w:rsidRPr="002C5197">
        <w:t>předmět smlouvy</w:t>
      </w:r>
      <w:r w:rsidR="00A93867" w:rsidRPr="002C5197">
        <w:t xml:space="preserve"> o vícepráce – </w:t>
      </w:r>
      <w:r w:rsidR="002C5197">
        <w:rPr>
          <w:color w:val="000000"/>
        </w:rPr>
        <w:t>p</w:t>
      </w:r>
      <w:r w:rsidR="002C5197" w:rsidRPr="002C5197">
        <w:rPr>
          <w:color w:val="000000"/>
        </w:rPr>
        <w:t xml:space="preserve">ro větší přístupnost pro návštěvníky </w:t>
      </w:r>
      <w:r w:rsidR="0025652C">
        <w:rPr>
          <w:color w:val="000000"/>
        </w:rPr>
        <w:br/>
      </w:r>
      <w:r w:rsidR="002C5197" w:rsidRPr="002C5197">
        <w:rPr>
          <w:color w:val="000000"/>
        </w:rPr>
        <w:t>s omezenou mobilitou vznikl dodatečný požadavek výroby a </w:t>
      </w:r>
      <w:r w:rsidR="002C5197" w:rsidRPr="002C5197">
        <w:rPr>
          <w:color w:val="000000"/>
          <w:shd w:val="clear" w:color="auto" w:fill="FFFFFF"/>
        </w:rPr>
        <w:t>dodání</w:t>
      </w:r>
      <w:r w:rsidR="002C5197" w:rsidRPr="002C5197">
        <w:rPr>
          <w:color w:val="000000"/>
        </w:rPr>
        <w:t xml:space="preserve"> dle dodatečného </w:t>
      </w:r>
      <w:r w:rsidR="002C5197" w:rsidRPr="002C5197">
        <w:rPr>
          <w:color w:val="000000"/>
        </w:rPr>
        <w:lastRenderedPageBreak/>
        <w:t xml:space="preserve">požadavku mobilní rampa pro mobiliářový prvek Komunikace, dále mobilní stupínek </w:t>
      </w:r>
      <w:r w:rsidR="002C5197" w:rsidRPr="002C5197">
        <w:rPr>
          <w:color w:val="000000"/>
          <w:sz w:val="22"/>
          <w:szCs w:val="22"/>
        </w:rPr>
        <w:t>a polštář pro prvek Neúspěch=přínos. Dále vznikl nový požadavek na </w:t>
      </w:r>
      <w:r w:rsidR="002C5197" w:rsidRPr="002C5197">
        <w:rPr>
          <w:color w:val="000000"/>
          <w:sz w:val="22"/>
          <w:szCs w:val="22"/>
          <w:shd w:val="clear" w:color="auto" w:fill="FFFFFF"/>
        </w:rPr>
        <w:t>dodání a montáž detailnějšího modelu do  mobiliářového prvku Participace</w:t>
      </w:r>
      <w:r w:rsidR="002C5197" w:rsidRPr="002C5197">
        <w:rPr>
          <w:color w:val="000000"/>
          <w:sz w:val="22"/>
          <w:szCs w:val="22"/>
        </w:rPr>
        <w:t>, neboť původní návrh se ukázal nepřehledný. </w:t>
      </w:r>
    </w:p>
    <w:p w14:paraId="1E734035" w14:textId="4AF0D69B" w:rsidR="0021294D" w:rsidRPr="002C5197" w:rsidRDefault="0021294D" w:rsidP="002C5197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71A6FB9" w14:textId="013B0D02" w:rsidR="00A93867" w:rsidRDefault="00A93867" w:rsidP="006A1094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 xml:space="preserve">Smluvní strany se dohodly, že čl. </w:t>
      </w:r>
      <w:r>
        <w:rPr>
          <w:rFonts w:ascii="Times New Roman" w:eastAsia="Times New Roman" w:hAnsi="Times New Roman" w:cs="Times New Roman"/>
        </w:rPr>
        <w:t>II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>1</w:t>
      </w:r>
      <w:r w:rsidRPr="006A1094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zní:</w:t>
      </w:r>
    </w:p>
    <w:p w14:paraId="516EAFFC" w14:textId="2C8FA7A4" w:rsidR="00A93867" w:rsidRDefault="0025652C" w:rsidP="00A93867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Celková cena za zpracování předmětného díla</w:t>
      </w:r>
      <w:r w:rsidR="00A93867">
        <w:rPr>
          <w:rFonts w:ascii="Times New Roman" w:hAnsi="Times New Roman" w:cs="Times New Roman"/>
        </w:rPr>
        <w:t xml:space="preserve"> činí:</w:t>
      </w:r>
      <w:r w:rsidR="004303E1">
        <w:rPr>
          <w:rFonts w:ascii="Times New Roman" w:hAnsi="Times New Roman" w:cs="Times New Roman"/>
        </w:rPr>
        <w:t xml:space="preserve"> </w:t>
      </w:r>
    </w:p>
    <w:p w14:paraId="1327D368" w14:textId="46A8EA67" w:rsidR="00A93867" w:rsidRDefault="00B54009" w:rsidP="004303E1">
      <w:pPr>
        <w:pStyle w:val="Odstavecseseznamem"/>
        <w:spacing w:after="120"/>
        <w:ind w:left="567" w:right="-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535 478</w:t>
      </w:r>
      <w:r w:rsidR="00EF0878">
        <w:rPr>
          <w:rFonts w:ascii="Times New Roman" w:hAnsi="Times New Roman" w:cs="Times New Roman"/>
        </w:rPr>
        <w:t>,- Kč (</w:t>
      </w:r>
      <w:r w:rsidR="00A93867">
        <w:rPr>
          <w:rFonts w:ascii="Times New Roman" w:hAnsi="Times New Roman" w:cs="Times New Roman"/>
        </w:rPr>
        <w:t>slovy</w:t>
      </w:r>
      <w:r w:rsidR="00EF0878">
        <w:rPr>
          <w:rFonts w:ascii="Times New Roman" w:hAnsi="Times New Roman" w:cs="Times New Roman"/>
        </w:rPr>
        <w:t>:</w:t>
      </w:r>
      <w:r w:rsidR="00A93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113EFB">
        <w:rPr>
          <w:rFonts w:ascii="Times New Roman" w:hAnsi="Times New Roman" w:cs="Times New Roman"/>
        </w:rPr>
        <w:t>ětsettřicetpěttisícčtyřistasedmdesátosm</w:t>
      </w:r>
      <w:r w:rsidR="00EF0878">
        <w:rPr>
          <w:rFonts w:ascii="Times New Roman" w:hAnsi="Times New Roman" w:cs="Times New Roman"/>
        </w:rPr>
        <w:t xml:space="preserve"> </w:t>
      </w:r>
      <w:r w:rsidR="00A93867">
        <w:rPr>
          <w:rFonts w:ascii="Times New Roman" w:hAnsi="Times New Roman" w:cs="Times New Roman"/>
        </w:rPr>
        <w:t>korun českých) bez DPH</w:t>
      </w:r>
      <w:r w:rsidR="0025652C">
        <w:rPr>
          <w:rFonts w:ascii="Times New Roman" w:hAnsi="Times New Roman" w:cs="Times New Roman"/>
        </w:rPr>
        <w:t>.</w:t>
      </w:r>
    </w:p>
    <w:p w14:paraId="5525A3A3" w14:textId="25319AFD" w:rsidR="00EF0878" w:rsidRPr="009C22E6" w:rsidRDefault="00B44F0A" w:rsidP="009C22E6">
      <w:pPr>
        <w:pStyle w:val="Odstavecseseznamem"/>
        <w:spacing w:after="120"/>
        <w:ind w:left="567" w:right="-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647 928,- Kč (slovy: šestsetčtyřicetsedmtisícdevětsetdvacetosm korun českých) s DPH.“</w:t>
      </w:r>
    </w:p>
    <w:p w14:paraId="30CD1761" w14:textId="77777777" w:rsidR="001770A6" w:rsidRPr="008E53D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14:paraId="610BACB9" w14:textId="77777777" w:rsidR="00013D23" w:rsidRPr="008E53DD" w:rsidRDefault="007B6DB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14:paraId="3C731966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14:paraId="09220963" w14:textId="52C491D5" w:rsidR="00013D23" w:rsidRPr="008E53DD" w:rsidRDefault="00CB6839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14:paraId="295C86E2" w14:textId="6EB8EBF4" w:rsidR="00013D23" w:rsidRPr="008E53DD" w:rsidRDefault="0055783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7E8CC54" w:rsidR="00A935CF" w:rsidRPr="00B165E1" w:rsidRDefault="007B6DBB" w:rsidP="0021294D">
      <w:pPr>
        <w:pStyle w:val="Odstavecseseznamem"/>
        <w:numPr>
          <w:ilvl w:val="0"/>
          <w:numId w:val="11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14:paraId="2503C22E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81AD259" w14:textId="77777777"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14:paraId="18049812" w14:textId="77777777"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="00981192"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8E53D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9A73B5" w:rsidRPr="008E53DD">
        <w:rPr>
          <w:rFonts w:ascii="Times New Roman" w:hAnsi="Times New Roman" w:cs="Times New Roman"/>
        </w:rPr>
        <w:t xml:space="preserve"> </w:t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14:paraId="1B7001A4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05466D45"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14:paraId="1868CB94" w14:textId="6ED8A910" w:rsidR="00A935CF" w:rsidRDefault="00EF0878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Mgr. Martin Červený</w:t>
      </w:r>
      <w:r w:rsidR="00A935CF" w:rsidRPr="008E53DD">
        <w:rPr>
          <w:rFonts w:ascii="Times New Roman" w:hAnsi="Times New Roman" w:cs="Times New Roman"/>
          <w:b/>
        </w:rPr>
        <w:t xml:space="preserve">       </w:t>
      </w:r>
      <w:r w:rsidR="00006C69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Tomáš Veber</w:t>
      </w:r>
      <w:r w:rsidR="009A73B5" w:rsidRPr="008E53DD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ab/>
      </w:r>
    </w:p>
    <w:p w14:paraId="08DAACBF" w14:textId="548A982A" w:rsidR="00EF0878" w:rsidRPr="008E53DD" w:rsidRDefault="00EF0878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sectPr w:rsidR="00EF0878" w:rsidRPr="008E53D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4661C3A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23C8097A"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25652C">
      <w:rPr>
        <w:rFonts w:ascii="Times New Roman" w:hAnsi="Times New Roman" w:cs="Times New Roman"/>
      </w:rPr>
      <w:t>15-0008/7/3</w:t>
    </w:r>
  </w:p>
  <w:p w14:paraId="0200A13A" w14:textId="77777777"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13EFB"/>
    <w:rsid w:val="00156451"/>
    <w:rsid w:val="001770A6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312319"/>
    <w:rsid w:val="003133BD"/>
    <w:rsid w:val="003151A0"/>
    <w:rsid w:val="003217C8"/>
    <w:rsid w:val="00326A11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A1094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C22E6"/>
    <w:rsid w:val="009D3E20"/>
    <w:rsid w:val="009E621E"/>
    <w:rsid w:val="00A1627D"/>
    <w:rsid w:val="00A417C3"/>
    <w:rsid w:val="00A57F4D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44F0A"/>
    <w:rsid w:val="00B46B96"/>
    <w:rsid w:val="00B54009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F0878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E9F45A5B-2943-43DD-8651-1347922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4301DF-1405-4BD1-87BC-86E87A26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13</cp:revision>
  <cp:lastPrinted>2017-10-20T09:10:00Z</cp:lastPrinted>
  <dcterms:created xsi:type="dcterms:W3CDTF">2019-04-17T08:38:00Z</dcterms:created>
  <dcterms:modified xsi:type="dcterms:W3CDTF">2020-02-17T14:49:00Z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