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CA" w:rsidRPr="000961B6" w:rsidRDefault="00B254CA" w:rsidP="000961B6">
      <w:pPr>
        <w:pStyle w:val="Bezmezer"/>
        <w:rPr>
          <w:rFonts w:ascii="Times New Roman" w:hAnsi="Times New Roman" w:cs="Times New Roman"/>
          <w:b/>
          <w:caps/>
          <w:sz w:val="24"/>
          <w:szCs w:val="24"/>
        </w:rPr>
      </w:pPr>
      <w:r w:rsidRPr="000961B6">
        <w:rPr>
          <w:rFonts w:ascii="Times New Roman" w:hAnsi="Times New Roman" w:cs="Times New Roman"/>
          <w:b/>
          <w:caps/>
          <w:sz w:val="24"/>
          <w:szCs w:val="24"/>
        </w:rPr>
        <w:t>Obchodní podmínky pro zvýhodnění</w:t>
      </w:r>
    </w:p>
    <w:p w:rsidR="00B254CA" w:rsidRPr="000961B6" w:rsidRDefault="00B254CA" w:rsidP="000961B6">
      <w:pPr>
        <w:pStyle w:val="Bezmezer"/>
        <w:rPr>
          <w:rFonts w:ascii="Times New Roman" w:hAnsi="Times New Roman" w:cs="Times New Roman"/>
          <w:caps/>
          <w:sz w:val="24"/>
          <w:szCs w:val="24"/>
        </w:rPr>
      </w:pPr>
      <w:r w:rsidRPr="000961B6">
        <w:rPr>
          <w:rFonts w:ascii="Times New Roman" w:hAnsi="Times New Roman" w:cs="Times New Roman"/>
          <w:caps/>
          <w:sz w:val="24"/>
          <w:szCs w:val="24"/>
        </w:rPr>
        <w:t>Dodávky reagencií</w:t>
      </w:r>
    </w:p>
    <w:p w:rsidR="00601988" w:rsidRPr="000961B6" w:rsidRDefault="005B632E" w:rsidP="000961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>D</w:t>
      </w:r>
      <w:r w:rsidR="00601988" w:rsidRPr="000961B6">
        <w:rPr>
          <w:rFonts w:ascii="Times New Roman" w:hAnsi="Times New Roman" w:cs="Times New Roman"/>
          <w:sz w:val="24"/>
          <w:szCs w:val="24"/>
        </w:rPr>
        <w:t>le</w:t>
      </w:r>
      <w:r w:rsidRPr="000961B6">
        <w:rPr>
          <w:rFonts w:ascii="Times New Roman" w:hAnsi="Times New Roman" w:cs="Times New Roman"/>
          <w:sz w:val="24"/>
          <w:szCs w:val="24"/>
        </w:rPr>
        <w:t xml:space="preserve"> ustanovní</w:t>
      </w:r>
      <w:r w:rsidR="00601988" w:rsidRPr="000961B6">
        <w:rPr>
          <w:rFonts w:ascii="Times New Roman" w:hAnsi="Times New Roman" w:cs="Times New Roman"/>
          <w:sz w:val="24"/>
          <w:szCs w:val="24"/>
        </w:rPr>
        <w:t xml:space="preserve"> zákona č. 89/2012 Sb., občanský zákoník</w:t>
      </w:r>
    </w:p>
    <w:p w:rsidR="00B254CA" w:rsidRDefault="00B254CA" w:rsidP="000961B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:rsidR="005210CA" w:rsidRPr="000961B6" w:rsidRDefault="005210CA" w:rsidP="000961B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:rsidR="00601988" w:rsidRPr="000961B6" w:rsidRDefault="00601988" w:rsidP="005210CA">
      <w:pPr>
        <w:pStyle w:val="Bezmezer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961B6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:rsidR="00601988" w:rsidRPr="005210CA" w:rsidRDefault="00601988" w:rsidP="000961B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961B6">
        <w:rPr>
          <w:rFonts w:ascii="Times New Roman" w:hAnsi="Times New Roman" w:cs="Times New Roman"/>
          <w:color w:val="00000A"/>
          <w:sz w:val="24"/>
          <w:szCs w:val="24"/>
        </w:rPr>
        <w:t>Obchodní firma:</w:t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210CA">
        <w:rPr>
          <w:rFonts w:ascii="Times New Roman" w:hAnsi="Times New Roman" w:cs="Times New Roman"/>
          <w:b/>
          <w:bCs/>
          <w:sz w:val="24"/>
          <w:szCs w:val="24"/>
        </w:rPr>
        <w:t>ROCHE s. r. o.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>Sídlo:</w:t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0961B6">
        <w:rPr>
          <w:rFonts w:ascii="Times New Roman" w:hAnsi="Times New Roman" w:cs="Times New Roman"/>
          <w:bCs/>
          <w:sz w:val="24"/>
          <w:szCs w:val="24"/>
        </w:rPr>
        <w:t>Praha 7, Dukelských hrdinů č. p. 567, č. or. 52, PSČ 170 00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>IČO:</w:t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0961B6">
        <w:rPr>
          <w:rFonts w:ascii="Times New Roman" w:hAnsi="Times New Roman" w:cs="Times New Roman"/>
          <w:sz w:val="24"/>
          <w:szCs w:val="24"/>
        </w:rPr>
        <w:tab/>
        <w:t>49617052, DIČ: CZ49617052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 xml:space="preserve">Obchodní rejstřík: </w:t>
      </w:r>
      <w:r w:rsidRPr="000961B6">
        <w:rPr>
          <w:rFonts w:ascii="Times New Roman" w:hAnsi="Times New Roman" w:cs="Times New Roman"/>
          <w:sz w:val="24"/>
          <w:szCs w:val="24"/>
        </w:rPr>
        <w:tab/>
        <w:t>vedený Městským soudem v Praze oddíl C, vložka 13202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5210CA">
        <w:rPr>
          <w:rFonts w:ascii="Times New Roman" w:hAnsi="Times New Roman" w:cs="Times New Roman"/>
          <w:b/>
          <w:bCs/>
          <w:sz w:val="24"/>
          <w:szCs w:val="24"/>
        </w:rPr>
        <w:t>Ing. Tatianou Godarskou, Felixem Beyerlem, jednateli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0961B6">
        <w:rPr>
          <w:rFonts w:ascii="Times New Roman" w:hAnsi="Times New Roman" w:cs="Times New Roman"/>
          <w:sz w:val="24"/>
          <w:szCs w:val="24"/>
        </w:rPr>
        <w:tab/>
        <w:t>UniCredit Bank Czech Republic and Slovakia, a. s.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>Číslo účtu:</w:t>
      </w:r>
      <w:r w:rsidRPr="000961B6">
        <w:rPr>
          <w:rFonts w:ascii="Times New Roman" w:hAnsi="Times New Roman" w:cs="Times New Roman"/>
          <w:sz w:val="24"/>
          <w:szCs w:val="24"/>
        </w:rPr>
        <w:tab/>
      </w:r>
      <w:r w:rsidRPr="000961B6">
        <w:rPr>
          <w:rFonts w:ascii="Times New Roman" w:hAnsi="Times New Roman" w:cs="Times New Roman"/>
          <w:sz w:val="24"/>
          <w:szCs w:val="24"/>
        </w:rPr>
        <w:tab/>
        <w:t>2102556818/2700</w:t>
      </w:r>
    </w:p>
    <w:p w:rsidR="00601988" w:rsidRPr="000961B6" w:rsidRDefault="00601988" w:rsidP="005210CA">
      <w:pPr>
        <w:pStyle w:val="Bezmezer"/>
        <w:spacing w:before="120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>(dále jen „</w:t>
      </w:r>
      <w:r w:rsidR="009A1D85" w:rsidRPr="005210CA">
        <w:rPr>
          <w:rFonts w:ascii="Times New Roman" w:hAnsi="Times New Roman" w:cs="Times New Roman"/>
          <w:b/>
          <w:sz w:val="24"/>
          <w:szCs w:val="24"/>
        </w:rPr>
        <w:t>dodavatel</w:t>
      </w:r>
      <w:r w:rsidRPr="000961B6">
        <w:rPr>
          <w:rFonts w:ascii="Times New Roman" w:hAnsi="Times New Roman" w:cs="Times New Roman"/>
          <w:sz w:val="24"/>
          <w:szCs w:val="24"/>
        </w:rPr>
        <w:t>“)</w:t>
      </w:r>
    </w:p>
    <w:p w:rsidR="00601988" w:rsidRPr="000961B6" w:rsidRDefault="00601988" w:rsidP="005210CA">
      <w:pPr>
        <w:pStyle w:val="Bezmezer"/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>a</w:t>
      </w:r>
    </w:p>
    <w:p w:rsidR="00601988" w:rsidRPr="005210CA" w:rsidRDefault="00601988" w:rsidP="000961B6">
      <w:pPr>
        <w:pStyle w:val="Bezmez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961B6">
        <w:rPr>
          <w:rFonts w:ascii="Times New Roman" w:hAnsi="Times New Roman" w:cs="Times New Roman"/>
          <w:color w:val="00000A"/>
          <w:sz w:val="24"/>
          <w:szCs w:val="24"/>
        </w:rPr>
        <w:t>Název subjektu:</w:t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210CA">
        <w:rPr>
          <w:rFonts w:ascii="Times New Roman" w:hAnsi="Times New Roman" w:cs="Times New Roman"/>
          <w:b/>
          <w:bCs/>
          <w:color w:val="00000A"/>
          <w:sz w:val="24"/>
          <w:szCs w:val="24"/>
        </w:rPr>
        <w:t>Fakultní nemocnice Brno</w:t>
      </w:r>
      <w:r w:rsidR="009A1D85" w:rsidRPr="005210CA">
        <w:rPr>
          <w:rFonts w:ascii="Times New Roman" w:hAnsi="Times New Roman" w:cs="Times New Roman"/>
          <w:b/>
          <w:bCs/>
          <w:color w:val="00000A"/>
          <w:sz w:val="24"/>
          <w:szCs w:val="24"/>
        </w:rPr>
        <w:t>, státní příspěvková organizace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color w:val="00000A"/>
          <w:sz w:val="24"/>
          <w:szCs w:val="24"/>
        </w:rPr>
      </w:pPr>
      <w:r w:rsidRPr="000961B6">
        <w:rPr>
          <w:rFonts w:ascii="Times New Roman" w:hAnsi="Times New Roman" w:cs="Times New Roman"/>
          <w:color w:val="00000A"/>
          <w:sz w:val="24"/>
          <w:szCs w:val="24"/>
        </w:rPr>
        <w:t>Sídlo:</w:t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  <w:t>Jihlavská 20, 625 00 Brno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color w:val="00000A"/>
          <w:sz w:val="24"/>
          <w:szCs w:val="24"/>
        </w:rPr>
      </w:pPr>
      <w:r w:rsidRPr="000961B6">
        <w:rPr>
          <w:rFonts w:ascii="Times New Roman" w:hAnsi="Times New Roman" w:cs="Times New Roman"/>
          <w:color w:val="00000A"/>
          <w:sz w:val="24"/>
          <w:szCs w:val="24"/>
        </w:rPr>
        <w:t>IČ:</w:t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  <w:t>65269705, DIČ: CZ65269705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color w:val="00000A"/>
          <w:sz w:val="24"/>
          <w:szCs w:val="24"/>
        </w:rPr>
      </w:pPr>
      <w:r w:rsidRPr="000961B6">
        <w:rPr>
          <w:rFonts w:ascii="Times New Roman" w:hAnsi="Times New Roman" w:cs="Times New Roman"/>
          <w:color w:val="00000A"/>
          <w:sz w:val="24"/>
          <w:szCs w:val="24"/>
        </w:rPr>
        <w:t xml:space="preserve">Zastoupená: </w:t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210CA">
        <w:rPr>
          <w:rFonts w:ascii="Times New Roman" w:hAnsi="Times New Roman" w:cs="Times New Roman"/>
          <w:b/>
          <w:color w:val="00000A"/>
          <w:sz w:val="24"/>
          <w:szCs w:val="24"/>
        </w:rPr>
        <w:t>MUDr. Romanem Krausem, MBA, ředitelem</w:t>
      </w:r>
    </w:p>
    <w:p w:rsidR="00601988" w:rsidRPr="000961B6" w:rsidRDefault="00601988" w:rsidP="000961B6">
      <w:pPr>
        <w:pStyle w:val="Bezmezer"/>
        <w:rPr>
          <w:rFonts w:ascii="Times New Roman" w:hAnsi="Times New Roman" w:cs="Times New Roman"/>
          <w:color w:val="00000A"/>
          <w:sz w:val="24"/>
          <w:szCs w:val="24"/>
        </w:rPr>
      </w:pPr>
      <w:r w:rsidRPr="000961B6">
        <w:rPr>
          <w:rFonts w:ascii="Times New Roman" w:hAnsi="Times New Roman" w:cs="Times New Roman"/>
          <w:color w:val="00000A"/>
          <w:sz w:val="24"/>
          <w:szCs w:val="24"/>
        </w:rPr>
        <w:t xml:space="preserve">Bankovní spojení: </w:t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  <w:t>Komerční banka, a. s., Brno-město</w:t>
      </w:r>
    </w:p>
    <w:p w:rsidR="00601988" w:rsidRDefault="00601988" w:rsidP="000961B6">
      <w:pPr>
        <w:pStyle w:val="Bezmezer"/>
        <w:rPr>
          <w:rFonts w:ascii="Times New Roman" w:hAnsi="Times New Roman" w:cs="Times New Roman"/>
          <w:color w:val="00000A"/>
          <w:sz w:val="24"/>
          <w:szCs w:val="24"/>
        </w:rPr>
      </w:pPr>
      <w:r w:rsidRPr="000961B6">
        <w:rPr>
          <w:rFonts w:ascii="Times New Roman" w:hAnsi="Times New Roman" w:cs="Times New Roman"/>
          <w:color w:val="00000A"/>
          <w:sz w:val="24"/>
          <w:szCs w:val="24"/>
        </w:rPr>
        <w:t>Číslo účtu:</w:t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0961B6">
        <w:rPr>
          <w:rFonts w:ascii="Times New Roman" w:hAnsi="Times New Roman" w:cs="Times New Roman"/>
          <w:color w:val="00000A"/>
          <w:sz w:val="24"/>
          <w:szCs w:val="24"/>
        </w:rPr>
        <w:tab/>
        <w:t>71234621/0100</w:t>
      </w:r>
    </w:p>
    <w:p w:rsidR="00F43A59" w:rsidRDefault="00F43A59" w:rsidP="000961B6">
      <w:pPr>
        <w:pStyle w:val="Bezmezer"/>
        <w:rPr>
          <w:rFonts w:ascii="Times New Roman" w:hAnsi="Times New Roman" w:cs="Times New Roman"/>
          <w:color w:val="00000A"/>
          <w:sz w:val="24"/>
          <w:szCs w:val="24"/>
        </w:rPr>
      </w:pPr>
    </w:p>
    <w:p w:rsidR="00F43A59" w:rsidRPr="00F43A59" w:rsidRDefault="00F43A59" w:rsidP="00F43A59">
      <w:pPr>
        <w:rPr>
          <w:rFonts w:ascii="Times New Roman" w:hAnsi="Times New Roman" w:cs="Times New Roman"/>
          <w:color w:val="00000A"/>
          <w:sz w:val="24"/>
          <w:szCs w:val="24"/>
        </w:rPr>
      </w:pPr>
      <w:r w:rsidRPr="00F43A59">
        <w:rPr>
          <w:rFonts w:ascii="Times New Roman" w:hAnsi="Times New Roman" w:cs="Times New Roman"/>
          <w:color w:val="00000A"/>
          <w:sz w:val="24"/>
          <w:szCs w:val="24"/>
        </w:rPr>
        <w:t>Fakultní nemocnice je státní příspěvková organizace zřízená rozhodnutím Ministerstva zdravotnictví. Nemá zákonnou povinnost zápisu do Obchodního rejstříku, je zapsána v živnostenském rejstříku vedeného Živnostenským úřadem města Brna.</w:t>
      </w:r>
    </w:p>
    <w:p w:rsidR="00F43A59" w:rsidRPr="000961B6" w:rsidRDefault="00454CCD" w:rsidP="00454CCD">
      <w:pPr>
        <w:pStyle w:val="Bezmezer"/>
        <w:tabs>
          <w:tab w:val="left" w:pos="3270"/>
        </w:tabs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</w:p>
    <w:p w:rsidR="00B254CA" w:rsidRPr="000961B6" w:rsidRDefault="00601988" w:rsidP="005210CA">
      <w:pPr>
        <w:pStyle w:val="Bezmezer"/>
        <w:spacing w:before="120"/>
        <w:rPr>
          <w:rFonts w:ascii="Times New Roman" w:hAnsi="Times New Roman" w:cs="Times New Roman"/>
          <w:sz w:val="24"/>
          <w:szCs w:val="24"/>
        </w:rPr>
      </w:pPr>
      <w:r w:rsidRPr="000961B6">
        <w:rPr>
          <w:rFonts w:ascii="Times New Roman" w:hAnsi="Times New Roman" w:cs="Times New Roman"/>
          <w:sz w:val="24"/>
          <w:szCs w:val="24"/>
        </w:rPr>
        <w:t>(dále jen „</w:t>
      </w:r>
      <w:r w:rsidR="009A1D85" w:rsidRPr="005210CA">
        <w:rPr>
          <w:rFonts w:ascii="Times New Roman" w:hAnsi="Times New Roman" w:cs="Times New Roman"/>
          <w:b/>
          <w:sz w:val="24"/>
          <w:szCs w:val="24"/>
        </w:rPr>
        <w:t>objednatel</w:t>
      </w:r>
      <w:r w:rsidRPr="000961B6">
        <w:rPr>
          <w:rFonts w:ascii="Times New Roman" w:hAnsi="Times New Roman" w:cs="Times New Roman"/>
          <w:sz w:val="24"/>
          <w:szCs w:val="24"/>
        </w:rPr>
        <w:t>“)</w:t>
      </w:r>
    </w:p>
    <w:p w:rsidR="00601988" w:rsidRPr="000961B6" w:rsidRDefault="00601988" w:rsidP="005210CA">
      <w:pPr>
        <w:pStyle w:val="Bezmezer"/>
        <w:spacing w:befor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Style w:val="ra"/>
          <w:rFonts w:ascii="Times New Roman" w:hAnsi="Times New Roman" w:cs="Times New Roman"/>
          <w:sz w:val="24"/>
          <w:szCs w:val="24"/>
        </w:rPr>
        <w:t>(Objednatel a Dodavatel společně dále též jako “</w:t>
      </w:r>
      <w:r w:rsidRPr="000961B6">
        <w:rPr>
          <w:rStyle w:val="ra"/>
          <w:rFonts w:ascii="Times New Roman" w:hAnsi="Times New Roman" w:cs="Times New Roman"/>
          <w:b/>
          <w:sz w:val="24"/>
          <w:szCs w:val="24"/>
        </w:rPr>
        <w:t>Smluvní strany</w:t>
      </w:r>
      <w:r w:rsidRPr="000961B6">
        <w:rPr>
          <w:rStyle w:val="ra"/>
          <w:rFonts w:ascii="Times New Roman" w:hAnsi="Times New Roman" w:cs="Times New Roman"/>
          <w:sz w:val="24"/>
          <w:szCs w:val="24"/>
        </w:rPr>
        <w:t>” a každý jednotlivě jako “</w:t>
      </w:r>
      <w:r w:rsidRPr="000961B6">
        <w:rPr>
          <w:rStyle w:val="ra"/>
          <w:rFonts w:ascii="Times New Roman" w:hAnsi="Times New Roman" w:cs="Times New Roman"/>
          <w:b/>
          <w:sz w:val="24"/>
          <w:szCs w:val="24"/>
        </w:rPr>
        <w:t>Smluvn</w:t>
      </w:r>
      <w:r w:rsidRPr="00815D88">
        <w:rPr>
          <w:rStyle w:val="ra"/>
          <w:rFonts w:ascii="Times New Roman" w:hAnsi="Times New Roman" w:cs="Times New Roman"/>
          <w:b/>
          <w:sz w:val="24"/>
          <w:szCs w:val="24"/>
        </w:rPr>
        <w:t>í</w:t>
      </w:r>
      <w:r w:rsidRPr="00815D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strana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”)</w:t>
      </w:r>
    </w:p>
    <w:p w:rsidR="00601988" w:rsidRPr="000961B6" w:rsidRDefault="00601988" w:rsidP="005210CA">
      <w:pPr>
        <w:pStyle w:val="Bezmezer"/>
        <w:spacing w:befor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uzavřely níže uvedeného dne, měsíce a roku, v souladu s příslušnými právními předpisy, </w:t>
      </w:r>
      <w:r w:rsidR="009A1D85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tuto dohodu o obchodním zvýhodnění</w:t>
      </w:r>
      <w:r w:rsidR="005B632E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5B632E" w:rsidRPr="005210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dohoda</w:t>
      </w:r>
      <w:r w:rsidR="005B632E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9A1D85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závazně upravuje podmínky, za nich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>ž D</w:t>
      </w:r>
      <w:r w:rsidR="009A1D85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poskytne O</w:t>
      </w:r>
      <w:r w:rsidR="005B632E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bjednateli zvýhodnění v oblasti dodávek reagencií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“</w:t>
      </w:r>
      <w:r w:rsidR="005B632E" w:rsidRPr="005210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obchodní zvýhodnění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”):</w:t>
      </w:r>
    </w:p>
    <w:p w:rsidR="00601988" w:rsidRPr="005210CA" w:rsidRDefault="00601988" w:rsidP="005210CA">
      <w:pPr>
        <w:pStyle w:val="Bezmezer"/>
        <w:spacing w:before="36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10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Preambule</w:t>
      </w:r>
    </w:p>
    <w:p w:rsidR="005B632E" w:rsidRPr="000961B6" w:rsidRDefault="00601988" w:rsidP="005210CA">
      <w:pPr>
        <w:pStyle w:val="Bezmezer"/>
        <w:numPr>
          <w:ilvl w:val="0"/>
          <w:numId w:val="5"/>
        </w:num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je </w:t>
      </w:r>
      <w:r w:rsidR="005B632E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 příspěvková organizace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provádí rozsáhlé spektrum laboratorních vyšetření ve všech oblastech moderní diagnostiky</w:t>
      </w:r>
      <w:r w:rsidR="005B632E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svých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centrálních zdravotnických laboratořích.</w:t>
      </w:r>
    </w:p>
    <w:p w:rsidR="00601988" w:rsidRPr="000961B6" w:rsidRDefault="00601988" w:rsidP="005210CA">
      <w:pPr>
        <w:pStyle w:val="Bezmezer"/>
        <w:numPr>
          <w:ilvl w:val="0"/>
          <w:numId w:val="5"/>
        </w:num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je obchodní společností řádně založenou a existující podle práva České republiky a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je držitelem všech oprávnění, osvědčení a licencí potřebných k výkonu své podnikatelské činnosti a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k plnění vše</w:t>
      </w:r>
      <w:r w:rsidR="005B632E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ch povinností podle této Dohody.</w:t>
      </w:r>
    </w:p>
    <w:p w:rsidR="005B632E" w:rsidRDefault="005B632E" w:rsidP="005210CA">
      <w:pPr>
        <w:pStyle w:val="Bezmezer"/>
        <w:numPr>
          <w:ilvl w:val="0"/>
          <w:numId w:val="5"/>
        </w:numPr>
        <w:spacing w:before="12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Smluvní strany, na základě dlouhodobé spolupráce prohlašují, že mají zájem na udržení dlouhodobých oboustranně výhodných obchodních vztahů a pokračovat v</w:t>
      </w:r>
      <w:r w:rsidR="00F66283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realizaci dodávek přístrojového provozního a spotřebního materiálu (především diagnostických činidel, dále jen „</w:t>
      </w:r>
      <w:r w:rsidRPr="005210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reagencie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F66283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cílem uspokojovat potřeby Objednatele při provozování zdravotnických laboratoří.</w:t>
      </w:r>
    </w:p>
    <w:p w:rsidR="00E32F12" w:rsidRDefault="00E32F12" w:rsidP="00E32F12">
      <w:pPr>
        <w:pStyle w:val="Bezmezer"/>
        <w:spacing w:before="120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6283" w:rsidRPr="005210CA" w:rsidRDefault="00F66283" w:rsidP="00903F6D">
      <w:pPr>
        <w:pStyle w:val="Nadpis1"/>
        <w:spacing w:after="120"/>
        <w:ind w:left="714" w:hanging="357"/>
        <w:jc w:val="center"/>
      </w:pPr>
      <w:r w:rsidRPr="005210CA">
        <w:t>Předmět dohody o obchodním zvýhodnění</w:t>
      </w:r>
    </w:p>
    <w:p w:rsidR="00DD4A8E" w:rsidRPr="000961B6" w:rsidRDefault="00DD4A8E" w:rsidP="00F0671B">
      <w:pPr>
        <w:pStyle w:val="Bezmezer"/>
        <w:numPr>
          <w:ilvl w:val="0"/>
          <w:numId w:val="6"/>
        </w:numPr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n</w:t>
      </w:r>
      <w:r w:rsidR="00F66283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a dodávky reagencií postupně uzavřely Smlouvy č. P143/2007, P/002/2008, P/003/2008, P/004/2008, P/052/2008, P/080/2008, P/092/2008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jejich D</w:t>
      </w:r>
      <w:r w:rsidR="00F66283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odatků č.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F66283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P/033/2012, P/034/2012, P/036/2012, P/037/2012 a P/150/2013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mají zájem na trvání práv a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povinností plynoucích z těchto smluv a dodatků.</w:t>
      </w:r>
    </w:p>
    <w:p w:rsidR="00D467D6" w:rsidRPr="000961B6" w:rsidRDefault="00DD4A8E" w:rsidP="00C01797">
      <w:pPr>
        <w:pStyle w:val="Bezmezer"/>
        <w:numPr>
          <w:ilvl w:val="0"/>
          <w:numId w:val="6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ohody je závazně upravit</w:t>
      </w:r>
      <w:r w:rsidR="00CA3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 a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467D6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dodací 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podmínky, za nichž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 poskytne O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bjednateli obchodní zvýhodnění. </w:t>
      </w:r>
      <w:r w:rsidR="00CA3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zboží </w:t>
      </w:r>
      <w:r w:rsidR="00D467D6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</w:t>
      </w:r>
      <w:r w:rsidR="00CA303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D467D6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Příloze č. 1 – </w:t>
      </w:r>
      <w:r w:rsidR="00F43A59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</w:t>
      </w:r>
      <w:r w:rsidR="00F43A59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reagencií </w:t>
      </w:r>
      <w:r w:rsidR="001A04FC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2017</w:t>
      </w:r>
      <w:r w:rsidR="00D467D6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43A59" w:rsidRPr="00F43A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Výpočet </w:t>
      </w:r>
      <w:r w:rsidR="00F43A59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obchodního zvýhodnění</w:t>
      </w:r>
      <w:r w:rsidR="00F43A59" w:rsidRPr="00F43A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upraven v Příloze č. 2 a to v závislosti na celkové ceně množství konkrétního zboží</w:t>
      </w:r>
      <w:r w:rsidR="00F43A5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0671B" w:rsidRDefault="00F0671B" w:rsidP="00F0671B">
      <w:pPr>
        <w:pStyle w:val="Nadpis1"/>
        <w:spacing w:before="240" w:after="120"/>
        <w:ind w:left="714" w:hanging="357"/>
        <w:jc w:val="center"/>
      </w:pPr>
      <w:r>
        <w:t>Vyrovnání obchodního zvýhodnění</w:t>
      </w:r>
    </w:p>
    <w:p w:rsidR="000961B6" w:rsidRPr="00CA3030" w:rsidRDefault="000961B6" w:rsidP="00CA3030">
      <w:pPr>
        <w:pStyle w:val="Bezmezer"/>
        <w:numPr>
          <w:ilvl w:val="0"/>
          <w:numId w:val="7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>ýpočet případného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09B5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nároku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60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 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proveden Dodavatelem </w:t>
      </w:r>
      <w:r w:rsidR="002609B5">
        <w:rPr>
          <w:rFonts w:ascii="Times New Roman" w:eastAsia="Times New Roman" w:hAnsi="Times New Roman" w:cs="Times New Roman"/>
          <w:sz w:val="24"/>
          <w:szCs w:val="24"/>
          <w:lang w:eastAsia="cs-CZ"/>
        </w:rPr>
        <w:t>do 15. ledna 2017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Vyrovnání nároku bude provedeno </w:t>
      </w:r>
      <w:r w:rsidR="00815D88"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formou opravného daňového dokladu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Opravný daňový doklad, včetně uvedení daňových dokladů, k nimž se vztahuje, bude vystave</w:t>
      </w:r>
      <w:r w:rsidR="002609B5">
        <w:rPr>
          <w:rFonts w:ascii="Times New Roman" w:eastAsia="Times New Roman" w:hAnsi="Times New Roman" w:cs="Times New Roman"/>
          <w:sz w:val="24"/>
          <w:szCs w:val="24"/>
          <w:lang w:eastAsia="cs-CZ"/>
        </w:rPr>
        <w:t>n nejpozději do konce ledna 2017</w:t>
      </w:r>
      <w:r w:rsidR="00CA3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vzájemném odsouhlasení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Splatnost opravného daňového dokladu </w:t>
      </w:r>
      <w:r w:rsidR="002609B5">
        <w:rPr>
          <w:rFonts w:ascii="Times New Roman" w:eastAsia="Times New Roman" w:hAnsi="Times New Roman" w:cs="Times New Roman"/>
          <w:sz w:val="24"/>
          <w:szCs w:val="24"/>
          <w:lang w:eastAsia="cs-CZ"/>
        </w:rPr>
        <w:t>činí 30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3030" w:rsidRPr="00CA3030">
        <w:rPr>
          <w:rFonts w:ascii="Times New Roman" w:eastAsia="Times New Roman" w:hAnsi="Times New Roman" w:cs="Times New Roman"/>
          <w:sz w:val="24"/>
          <w:szCs w:val="24"/>
          <w:lang w:eastAsia="cs-CZ"/>
        </w:rPr>
        <w:t>dní od data vystavení. Datem uskutečnění zdanitelného plnění je datum vzájemného odsouhlasení. Opravný daňový doklad musí splňovat veškeré náležitosti dle platné legislativy, především zákona č. 235/2004 Sb. v platném znění a rovněž zákona č. 563/1991 Sb., o účetnictví. K základu daně na opravném daňovém dokladu bude připočtena zákonná sazba DPH odpovídající původnímu plnění. V případě, že doklad nebude splňovat veškeré náležitosti dle platné legislativy, bude vrácen dodavateli k přepracování se lhůtou opravy do 5 pracovních dní od odeslání, splatnost dokladu se v tomto případě ovšem neprodlužuje.</w:t>
      </w:r>
    </w:p>
    <w:p w:rsidR="00DD4A8E" w:rsidRPr="000961B6" w:rsidRDefault="000961B6" w:rsidP="00C01797">
      <w:pPr>
        <w:pStyle w:val="Bezmezer"/>
        <w:numPr>
          <w:ilvl w:val="0"/>
          <w:numId w:val="7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ujednání </w:t>
      </w:r>
      <w:r w:rsidR="00815D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dříve uzavřených </w:t>
      </w:r>
      <w:r w:rsidRPr="000961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 a dodatků zůstávají beze změny a uplatní se v plném rozsahu.</w:t>
      </w:r>
    </w:p>
    <w:p w:rsidR="000961B6" w:rsidRDefault="000961B6" w:rsidP="002609B5">
      <w:pPr>
        <w:pStyle w:val="Nadpis1"/>
        <w:spacing w:before="240"/>
        <w:ind w:left="714" w:hanging="357"/>
        <w:jc w:val="center"/>
      </w:pPr>
      <w:r w:rsidRPr="000961B6">
        <w:t>Závěrečná ujednání</w:t>
      </w:r>
    </w:p>
    <w:p w:rsidR="00F43A59" w:rsidRPr="00F43A59" w:rsidRDefault="00F43A59" w:rsidP="00F43A59">
      <w:pPr>
        <w:rPr>
          <w:lang w:eastAsia="cs-CZ"/>
        </w:rPr>
      </w:pPr>
    </w:p>
    <w:p w:rsidR="009A71D8" w:rsidRPr="009A71D8" w:rsidRDefault="009A71D8" w:rsidP="009A71D8">
      <w:pPr>
        <w:pStyle w:val="Bezmezer"/>
        <w:numPr>
          <w:ilvl w:val="0"/>
          <w:numId w:val="11"/>
        </w:numPr>
        <w:spacing w:before="6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uvádí, že informace o výši Bonusu a délce trvání Bonusu a léčivých přípravcích považuje za informace významné ve smyslu zákonné definice obchodního tajemství (§ 504 zákona č. 89/2012 Sb., občanský zákoník), neboť všeobecný přístup k těmto informacím může mít podstatný dopad na ekonomické výsledky a tržní postavení Dodavatele. </w:t>
      </w:r>
    </w:p>
    <w:p w:rsidR="009A71D8" w:rsidRDefault="009A71D8" w:rsidP="009A71D8">
      <w:pPr>
        <w:pStyle w:val="Bezmezer"/>
        <w:numPr>
          <w:ilvl w:val="0"/>
          <w:numId w:val="11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Odběratel prohlašuje, že i pro něj jsou informace o výši objemového bonusu a délce trvání této Smlouvy a léčivých přípravcích informace významné ve smyslu zákonné definice obchodního tajemství (§ 504 zákona č. 89/2012 Sb., občanský zákoník), neboť všeobecný přístup k těmto informacím může mít podstatný dopad na jeho ekonomické výsledky a vyjednávací pozici.</w:t>
      </w:r>
    </w:p>
    <w:p w:rsidR="009A71D8" w:rsidRPr="009A71D8" w:rsidRDefault="009A71D8" w:rsidP="009A71D8">
      <w:pPr>
        <w:pStyle w:val="Bezmezer"/>
        <w:numPr>
          <w:ilvl w:val="0"/>
          <w:numId w:val="11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bez předchozího písemného souhlasu druhé strany nezveřejní či jiným způsobem nezpřístupní třetím osobám podmínky této spolupráce ani jiné informace o vzájemných obchodních vztazích, a to i po skončení či zániku této spolupráce.</w:t>
      </w:r>
    </w:p>
    <w:p w:rsidR="009A71D8" w:rsidRPr="009A71D8" w:rsidRDefault="009A71D8" w:rsidP="009A71D8">
      <w:pPr>
        <w:pStyle w:val="Bezmezer"/>
        <w:numPr>
          <w:ilvl w:val="0"/>
          <w:numId w:val="11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rovněž shodně prohlašují, že vzhledem k tomu, že způsob výpočtu objemového bonusu obsažený v Příloze č. 2 je vzorcem a výpočtem, resp. způsobem kalkulace, na které se </w:t>
      </w: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dle § 3 odst. 2 písm. b) Zákona o registru smluv nevztahuje povinnost uveřejnění, nebude obsah závazku týkající se výpočtu bonusu předmětem uveřejnění, a to nejméně v rozsahu Přílohy č. 2.</w:t>
      </w:r>
    </w:p>
    <w:p w:rsidR="009A71D8" w:rsidRPr="009A71D8" w:rsidRDefault="009A71D8" w:rsidP="009A71D8">
      <w:pPr>
        <w:pStyle w:val="Bezmezer"/>
        <w:numPr>
          <w:ilvl w:val="0"/>
          <w:numId w:val="11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v případě nutnosti publikace této spolupráce dle zákona č. 340/2015 Sb., o zvláštních podmínkách účinnosti některých smluv, uveřejňování těchto smluv a o registru smluv, či dle jiných právních předpisů, budou postupovat dle článku III. bod 2. a 3.  Dále se Smluvní strany dohodly, že uveřejnění bude provedeno Odběratelem. </w:t>
      </w:r>
    </w:p>
    <w:p w:rsidR="002609B5" w:rsidRPr="009A71D8" w:rsidRDefault="000961B6" w:rsidP="009A71D8">
      <w:pPr>
        <w:pStyle w:val="Bezmezer"/>
        <w:numPr>
          <w:ilvl w:val="0"/>
          <w:numId w:val="11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Dohoda je vyhotoven</w:t>
      </w:r>
      <w:r w:rsidR="002609B5"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dvou</w:t>
      </w:r>
      <w:r w:rsidR="002609B5"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originálech</w:t>
      </w: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, z nichž každá smluvní stra</w:t>
      </w:r>
      <w:r w:rsidR="002609B5"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na obdrží po jednom z nich.</w:t>
      </w:r>
    </w:p>
    <w:p w:rsidR="000961B6" w:rsidRPr="009A71D8" w:rsidRDefault="000961B6" w:rsidP="009A71D8">
      <w:pPr>
        <w:pStyle w:val="Bezmezer"/>
        <w:numPr>
          <w:ilvl w:val="0"/>
          <w:numId w:val="11"/>
        </w:numPr>
        <w:spacing w:before="6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</w:t>
      </w:r>
      <w:r w:rsidR="002609B5"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se s obsahem Dohody</w:t>
      </w: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důkladně seznámily, že pochopily obsah v</w:t>
      </w:r>
      <w:r w:rsidR="002609B5"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>šech ujednání a že Dohodu</w:t>
      </w:r>
      <w:r w:rsidRPr="009A7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uzavírají svobodně, vážně, určitě, prosti jakéhokoliv omylu, na důkaz čehož připojují své podpisy. </w:t>
      </w:r>
    </w:p>
    <w:p w:rsidR="00493799" w:rsidRDefault="00493799" w:rsidP="00815D88">
      <w:pPr>
        <w:pStyle w:val="Bezmezer"/>
        <w:spacing w:before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61B6" w:rsidRDefault="000961B6" w:rsidP="000961B6">
      <w:pPr>
        <w:pStyle w:val="Bezmez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0961B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Příloha</w:t>
      </w:r>
      <w:r w:rsidR="00CA303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č. 1</w:t>
      </w:r>
      <w:r w:rsidRPr="000961B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: </w:t>
      </w:r>
      <w:r w:rsidR="002919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</w:t>
      </w:r>
      <w:r w:rsidR="00F43A5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eznam </w:t>
      </w:r>
      <w:r w:rsidR="003C647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reagencií</w:t>
      </w:r>
      <w:r w:rsidRPr="000961B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2017</w:t>
      </w:r>
    </w:p>
    <w:p w:rsidR="00CA3030" w:rsidRPr="000961B6" w:rsidRDefault="00CA3030" w:rsidP="000961B6">
      <w:pPr>
        <w:pStyle w:val="Bezmez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Příloha č. 2: </w:t>
      </w:r>
      <w:r w:rsidR="002919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ůsob výpočtu bonusu</w:t>
      </w:r>
    </w:p>
    <w:p w:rsidR="003C6473" w:rsidRPr="000961B6" w:rsidRDefault="003C6473" w:rsidP="000961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0961B6" w:rsidRPr="000961B6" w:rsidTr="00454CCD">
        <w:tc>
          <w:tcPr>
            <w:tcW w:w="4644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ROCHE s. r. o. – prodávající </w:t>
            </w:r>
          </w:p>
        </w:tc>
        <w:tc>
          <w:tcPr>
            <w:tcW w:w="4678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Fakultní nemocnice Brno, státní příspěvková organizace</w:t>
            </w:r>
            <w:r w:rsidRPr="00096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– kupující </w:t>
            </w:r>
          </w:p>
        </w:tc>
      </w:tr>
      <w:tr w:rsidR="000961B6" w:rsidRPr="000961B6" w:rsidTr="00454CCD">
        <w:tc>
          <w:tcPr>
            <w:tcW w:w="4644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961B6" w:rsidRPr="000961B6" w:rsidTr="00454CCD">
        <w:tc>
          <w:tcPr>
            <w:tcW w:w="4644" w:type="dxa"/>
          </w:tcPr>
          <w:p w:rsidR="000961B6" w:rsidRPr="000961B6" w:rsidRDefault="000961B6" w:rsidP="0007315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Praze dne</w:t>
            </w:r>
            <w:r w:rsidRPr="0009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r w:rsidR="000731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22.12.</w:t>
            </w:r>
            <w:r w:rsidRPr="0009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</w:t>
            </w:r>
          </w:p>
        </w:tc>
        <w:tc>
          <w:tcPr>
            <w:tcW w:w="4678" w:type="dxa"/>
          </w:tcPr>
          <w:p w:rsidR="000961B6" w:rsidRPr="000961B6" w:rsidRDefault="000961B6" w:rsidP="00073158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Brně dne</w:t>
            </w:r>
            <w:r w:rsidRPr="0009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r w:rsidR="000731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22.12.</w:t>
            </w:r>
            <w:r w:rsidRPr="0009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2016</w:t>
            </w:r>
          </w:p>
        </w:tc>
      </w:tr>
      <w:tr w:rsidR="000961B6" w:rsidRPr="000961B6" w:rsidTr="00454CCD">
        <w:tc>
          <w:tcPr>
            <w:tcW w:w="4644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15D88" w:rsidRDefault="00815D88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____________________________</w:t>
            </w:r>
          </w:p>
        </w:tc>
        <w:tc>
          <w:tcPr>
            <w:tcW w:w="4678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15D88" w:rsidRPr="000961B6" w:rsidRDefault="00815D88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____________________________________</w:t>
            </w:r>
          </w:p>
        </w:tc>
      </w:tr>
      <w:tr w:rsidR="000961B6" w:rsidRPr="000961B6" w:rsidTr="00454CCD">
        <w:tc>
          <w:tcPr>
            <w:tcW w:w="4644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1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Tatiana Godarská </w:t>
            </w:r>
          </w:p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Jednatelka</w:t>
            </w:r>
          </w:p>
        </w:tc>
        <w:tc>
          <w:tcPr>
            <w:tcW w:w="4678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MUDr. Roman Kraus, MBA</w:t>
            </w:r>
          </w:p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Ředitel</w:t>
            </w:r>
          </w:p>
        </w:tc>
      </w:tr>
    </w:tbl>
    <w:p w:rsidR="000961B6" w:rsidRPr="000961B6" w:rsidRDefault="000961B6" w:rsidP="000961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0961B6" w:rsidRPr="000961B6" w:rsidTr="00454CCD">
        <w:trPr>
          <w:trHeight w:val="294"/>
        </w:trPr>
        <w:tc>
          <w:tcPr>
            <w:tcW w:w="4644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</w:tcPr>
          <w:p w:rsidR="000961B6" w:rsidRPr="000961B6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961B6" w:rsidRPr="00493799" w:rsidTr="00454CCD">
        <w:trPr>
          <w:trHeight w:val="884"/>
        </w:trPr>
        <w:tc>
          <w:tcPr>
            <w:tcW w:w="4644" w:type="dxa"/>
          </w:tcPr>
          <w:p w:rsidR="00493799" w:rsidRPr="00493799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37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_____________________________</w:t>
            </w:r>
          </w:p>
          <w:p w:rsidR="000961B6" w:rsidRPr="00493799" w:rsidRDefault="00493799" w:rsidP="00493799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49379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Felix Beyerle</w:t>
            </w:r>
          </w:p>
          <w:p w:rsidR="00493799" w:rsidRPr="00493799" w:rsidRDefault="00493799" w:rsidP="00493799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49379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Jednatel</w:t>
            </w:r>
          </w:p>
        </w:tc>
        <w:tc>
          <w:tcPr>
            <w:tcW w:w="4536" w:type="dxa"/>
          </w:tcPr>
          <w:p w:rsidR="000961B6" w:rsidRPr="00493799" w:rsidRDefault="000961B6" w:rsidP="000961B6">
            <w:pPr>
              <w:pStyle w:val="Bezmez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961B6" w:rsidRDefault="000961B6" w:rsidP="00493799">
      <w:pPr>
        <w:tabs>
          <w:tab w:val="left" w:pos="2505"/>
        </w:tabs>
        <w:rPr>
          <w:lang w:eastAsia="cs-CZ"/>
        </w:rPr>
      </w:pPr>
    </w:p>
    <w:p w:rsidR="00CA3030" w:rsidRDefault="00CA3030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</w:p>
    <w:p w:rsidR="008D6CD4" w:rsidRDefault="008D6CD4" w:rsidP="00493799">
      <w:pPr>
        <w:tabs>
          <w:tab w:val="left" w:pos="2505"/>
        </w:tabs>
        <w:rPr>
          <w:lang w:eastAsia="cs-CZ"/>
        </w:rPr>
      </w:pPr>
      <w:bookmarkStart w:id="0" w:name="_GoBack"/>
      <w:bookmarkEnd w:id="0"/>
    </w:p>
    <w:p w:rsidR="00CA3030" w:rsidRDefault="00CA3030" w:rsidP="00493799">
      <w:pPr>
        <w:tabs>
          <w:tab w:val="left" w:pos="2505"/>
        </w:tabs>
        <w:rPr>
          <w:lang w:eastAsia="cs-CZ"/>
        </w:rPr>
      </w:pPr>
    </w:p>
    <w:p w:rsidR="00CA3030" w:rsidRDefault="00CA3030" w:rsidP="00493799">
      <w:pPr>
        <w:tabs>
          <w:tab w:val="left" w:pos="2505"/>
        </w:tabs>
        <w:rPr>
          <w:lang w:eastAsia="cs-CZ"/>
        </w:rPr>
      </w:pPr>
    </w:p>
    <w:p w:rsidR="008D6CD4" w:rsidRPr="00291980" w:rsidRDefault="008D6CD4" w:rsidP="008D6CD4">
      <w:pPr>
        <w:tabs>
          <w:tab w:val="left" w:pos="2505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Příloha č. 1: </w:t>
      </w:r>
      <w:r w:rsidRPr="0029198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seznam reagencií 2017</w:t>
      </w:r>
    </w:p>
    <w:p w:rsidR="008D6CD4" w:rsidRDefault="008D6CD4" w:rsidP="008D6CD4">
      <w:pPr>
        <w:tabs>
          <w:tab w:val="left" w:pos="2505"/>
        </w:tabs>
        <w:rPr>
          <w:lang w:eastAsia="cs-CZ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111"/>
        <w:gridCol w:w="1985"/>
      </w:tblGrid>
      <w:tr w:rsidR="008D6CD4" w:rsidRPr="00291980" w:rsidTr="003A5C59">
        <w:trPr>
          <w:trHeight w:val="1770"/>
        </w:trPr>
        <w:tc>
          <w:tcPr>
            <w:tcW w:w="1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8FA"/>
            <w:noWrap/>
            <w:vAlign w:val="center"/>
            <w:hideMark/>
          </w:tcPr>
          <w:p w:rsidR="008D6CD4" w:rsidRPr="00291980" w:rsidRDefault="008D6CD4" w:rsidP="003A5C5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cs-CZ"/>
              </w:rPr>
              <w:t>COPA Mat No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0F8FA"/>
            <w:noWrap/>
            <w:vAlign w:val="center"/>
            <w:hideMark/>
          </w:tcPr>
          <w:p w:rsidR="008D6CD4" w:rsidRPr="00291980" w:rsidRDefault="008D6CD4" w:rsidP="003A5C5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cs-CZ"/>
              </w:rPr>
              <w:t>COPA Material Name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0F8FA"/>
            <w:noWrap/>
            <w:vAlign w:val="bottom"/>
            <w:hideMark/>
          </w:tcPr>
          <w:p w:rsidR="008D6CD4" w:rsidRPr="00291980" w:rsidRDefault="008D6CD4" w:rsidP="003A5C59">
            <w:pPr>
              <w:jc w:val="center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cs-CZ"/>
              </w:rPr>
              <w:t>Vel. balení (tests)</w:t>
            </w:r>
          </w:p>
        </w:tc>
      </w:tr>
      <w:tr w:rsidR="008D6CD4" w:rsidRPr="00291980" w:rsidTr="003A5C59">
        <w:trPr>
          <w:trHeight w:val="315"/>
        </w:trPr>
        <w:tc>
          <w:tcPr>
            <w:tcW w:w="171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03002721122</w:t>
            </w:r>
          </w:p>
        </w:tc>
        <w:tc>
          <w:tcPr>
            <w:tcW w:w="41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GGT Gen.2, 400Tests, cobas c, Integra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400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03004732122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LDHI Gen.2 acc.IFCC, 300T, cobas c, Int.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03039773190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CHOL HiCo Gen.2, 400Tests, cobas c, Int.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400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03183688122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ALB BCG Gen.2, 300Tests, cobas c, Int.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03183700190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LACT Gen.2, 100Tests,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03183734190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TP Gen.2, 300Tests,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03183742122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AMYL Gen.2, 300Tests,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03183793122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PHOS Gen.2, 250Tests,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03183807190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UA Gen.2, 400Tests,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400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03263991190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CREP Gen.2, 250Tests,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03333701190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ALP IFCC Gen.2 L, 400T, cobas c, Int.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400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03333752190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ALP IFCC Gen.2 S, 200T, cobas c, Int.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03333825190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TPUC Gen.3, 150Tests,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04399803190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HDL-C Gen.3, 200Tests,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04404483190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GLUC HK Gen.3, 800Tests, cobas c, Int.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800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04460715190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UREAL,  500Tests,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04467388190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ALTL/PYP,  275Tests, cobas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275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04467493190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ASTL/PYP, 425Tests, cobas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425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04524977190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CKL,  200Tests,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05061482190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CA, Gen.2, 300Tests, cobas c,Integra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05589061190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BIL-D Gen.2, 350Tests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05795397190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BIL-T Gen.3, 250Tests cobas c,Integra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20737593322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MG, 175Tests, cobas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175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20764949322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ASTL,  500Tests,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20764957322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ALTL,  500Tests,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20766682322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NH3L,  150Tests,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20767107322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TRIGL,  250Tests,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20767131322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GLUC HK Gen.2, 200Tests, cobas c, Int.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05166861190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ALB BCG Gen.2, 750Tests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750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05166888190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ALP IFCC Gen.2, 1050Tests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05167027190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AMYL Gen.2, 750Tests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750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05167035190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AMYL-P  600Tests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600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05168384190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BIL-D Gen.2, 500Tests cobas c 701,702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05168449190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Calcium Gen.2, 2250Tests,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2250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05168503190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CHE Gen.2, 650Tests,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650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05168538190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CHOL HiCo Gen.2, 2100Tests,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05168546190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CK, 800Tests,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800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05168589190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CREP Gen.2, 600Tests,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600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05168775190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GGT Gen.2, 1200Tests,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05168791190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GLUC HK Gen.3, 2200Tests,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05168805190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HDL-C Gen.3, 450Tests,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450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05169291190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IRON Gen.2, 750Tests,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750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05169330190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LDHI Gen.2 acc.IFCC, 750T,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750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05171369190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LDL-C Gen.2, 500Tests,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05171377190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PHOS Gen.2, 600Tests,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600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05171385190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TP Gen.2, 700Tests,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700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05171407190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TRIGL, 800Tests,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800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05171857190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UA Gen.2, 1000Tests,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05171873190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UREAL, 1900Tests,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1900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05171881190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LACT Gen.2, 225Tests,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225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05171954190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TPUC Gen.3, 600Tests,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600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05531446190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ASTPM, 740Tests,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740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05531462190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ALTPM, 780Tests,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780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05795419190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BIL-T Gen.3, 600Tests cobas c 701,702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600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05967104190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ETOH Gen.2, 300Tests cobas c 701,702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05975581190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NH3L 150Tests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06407358190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MG Gen.2, 200Tests, cobas c701,702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07041918190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LIPC, 580Tests,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580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21029371001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ISE SODIUM 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 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21029355001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ISE POTASSIUM 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 </w:t>
            </w:r>
          </w:p>
        </w:tc>
      </w:tr>
      <w:tr w:rsidR="008D6CD4" w:rsidRPr="00291980" w:rsidTr="003A5C59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03003523001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ISE Chloride Cl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 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03183777190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ETOH Gen.2, 100Tests,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04490754190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BARB/200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04490827190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COCAINE/200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04490851190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METHADONE/200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04490894190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OPIATES/200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04490908190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PCP/200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04491009190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THC/200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04939417190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BENZ II 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04939425190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cobas ONLINE DAT AMPHETAMINE II/200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04956842190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CRP Gen.3, 250 Tests, cobas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20764930322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CRP LX, 300Tests, cobas c, Integra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300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05172373190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CRP Gen.3, 500Tests,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05219191190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ASLO TQ, 400Tests,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400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05219205190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IGA Gen.2, 500Tests,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05220718190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IGG Gen.2, 500Tests,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05220726190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IGM Gen.2, 500Tests,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05588855190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TRSF Gen.2, 500Tests,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500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05842280190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THEO Gen.2, 100Tests,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05852633190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LPA Gen.2, 200Tests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05950694190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APO B TQ 150Tests cobas c701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05950902190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PREA 150Tests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05991960190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AAGP Gen.2, 150Tests,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05991978190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AAT Gen.2, 150Tests,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05991986190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C3C Gen.2, 150Tests,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05991994190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C4 Gen.2, 150Tests,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05992001190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HAPT Gen.2, 150Tests,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150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06600263190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Cystatin C TQ Gen.2, 225T, cobas c 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225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04476433190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Folate G3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04491785190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Ferritin Elecsys cobas e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07212771190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Vitamin B12 G2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07559992190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Folate G3 Elecsys cobas e 100 V2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06368590190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Anti-TPO Elecsys cobas e 100 V3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06368697190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Anti-TG Elecsys cobas e 100 V4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06437281190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FT4 G2 Elecsys cobas e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11731360122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T3 Elecsys cobas e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11731459122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TSH Elecsys cobas e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03045838122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CA 15-3 G2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03289788190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free PSA Elecsys cobas e 100 V2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04491734190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Total PSA Elecsys cobas e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04491777190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CEA Elecsys cobas e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11776193122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CA 19-9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05950945190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HE4 CS Elecsys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11776223190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CA 125 G2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11776258122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CA 72-4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11820966122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Cyfra 21-1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12133113122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NSE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03141071190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Total P1NP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04854071200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Free HCGbeta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04854098200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PAPP-A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05608546190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PTH (1-84)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05894913190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Vitamin D total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11972308122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B-CrossLaps/serum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03175243190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S100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05056888200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PCT Brahms (Roche)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05092744190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Troponin T hs Elecsys cobas e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200</w:t>
            </w:r>
          </w:p>
        </w:tc>
      </w:tr>
      <w:tr w:rsidR="008D6CD4" w:rsidRPr="00291980" w:rsidTr="003A5C59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11820796322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Digoxin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  <w:tr w:rsidR="008D6CD4" w:rsidRPr="00291980" w:rsidTr="003A5C59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12178214122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Myoglobin Elecsys cobas e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CD4" w:rsidRPr="00291980" w:rsidRDefault="008D6CD4" w:rsidP="003A5C59">
            <w:pPr>
              <w:jc w:val="right"/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</w:pPr>
            <w:r w:rsidRPr="00291980">
              <w:rPr>
                <w:rFonts w:ascii="Calibri" w:eastAsia="Times New Roman" w:hAnsi="Calibri" w:cs="Times New Roman"/>
                <w:noProof w:val="0"/>
                <w:color w:val="000000"/>
                <w:lang w:eastAsia="cs-CZ"/>
              </w:rPr>
              <w:t>100</w:t>
            </w:r>
          </w:p>
        </w:tc>
      </w:tr>
    </w:tbl>
    <w:p w:rsidR="008D6CD4" w:rsidRDefault="008D6CD4" w:rsidP="008D6CD4">
      <w:pPr>
        <w:tabs>
          <w:tab w:val="left" w:pos="2505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CA3030" w:rsidRDefault="00CA3030" w:rsidP="00493799">
      <w:pPr>
        <w:tabs>
          <w:tab w:val="left" w:pos="2505"/>
        </w:tabs>
        <w:rPr>
          <w:lang w:eastAsia="cs-CZ"/>
        </w:rPr>
      </w:pPr>
    </w:p>
    <w:sectPr w:rsidR="00CA3030" w:rsidSect="00A50710">
      <w:headerReference w:type="default" r:id="rId9"/>
      <w:footerReference w:type="default" r:id="rId10"/>
      <w:pgSz w:w="11906" w:h="16838"/>
      <w:pgMar w:top="1191" w:right="1191" w:bottom="1021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BE" w:rsidRDefault="001B43BE" w:rsidP="00B254CA">
      <w:r>
        <w:separator/>
      </w:r>
    </w:p>
  </w:endnote>
  <w:endnote w:type="continuationSeparator" w:id="0">
    <w:p w:rsidR="001B43BE" w:rsidRDefault="001B43BE" w:rsidP="00B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6482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2F12" w:rsidRDefault="00E32F1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CD4"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6CD4"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2F12" w:rsidRDefault="00E32F12" w:rsidP="00E32F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BE" w:rsidRDefault="001B43BE" w:rsidP="00B254CA">
      <w:r>
        <w:separator/>
      </w:r>
    </w:p>
  </w:footnote>
  <w:footnote w:type="continuationSeparator" w:id="0">
    <w:p w:rsidR="001B43BE" w:rsidRDefault="001B43BE" w:rsidP="00B25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CD" w:rsidRDefault="00E32F12" w:rsidP="00B254CA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0" wp14:anchorId="748BB320" wp14:editId="2E63C20B">
          <wp:simplePos x="0" y="0"/>
          <wp:positionH relativeFrom="column">
            <wp:posOffset>421006</wp:posOffset>
          </wp:positionH>
          <wp:positionV relativeFrom="page">
            <wp:posOffset>85725</wp:posOffset>
          </wp:positionV>
          <wp:extent cx="1905000" cy="647291"/>
          <wp:effectExtent l="0" t="0" r="0" b="635"/>
          <wp:wrapNone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03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CCD" w:rsidRPr="000A64A9">
      <w:rPr>
        <w:lang w:eastAsia="cs-CZ"/>
      </w:rPr>
      <w:drawing>
        <wp:inline distT="0" distB="0" distL="0" distR="0" wp14:anchorId="4417FDBB" wp14:editId="676DD1B0">
          <wp:extent cx="1057275" cy="390525"/>
          <wp:effectExtent l="0" t="0" r="9525" b="9525"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4CCD" w:rsidRDefault="008D6CD4">
    <w:pPr>
      <w:pStyle w:val="Zhlav"/>
    </w:pPr>
    <w:r>
      <w:pict>
        <v:rect id="_x0000_i1025" style="width:0;height:1.5pt" o:hralign="center" o:hrstd="t" o:hr="t" fillcolor="#a0a0a0" stroked="f"/>
      </w:pict>
    </w:r>
  </w:p>
  <w:p w:rsidR="00A50710" w:rsidRDefault="00A507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764"/>
    <w:multiLevelType w:val="hybridMultilevel"/>
    <w:tmpl w:val="DE82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641C"/>
    <w:multiLevelType w:val="hybridMultilevel"/>
    <w:tmpl w:val="C01C7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C06FD"/>
    <w:multiLevelType w:val="hybridMultilevel"/>
    <w:tmpl w:val="8A4C0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35BF"/>
    <w:multiLevelType w:val="multilevel"/>
    <w:tmpl w:val="CFFC7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90"/>
      </w:pPr>
      <w:rPr>
        <w:rFonts w:ascii="Arial" w:hAnsi="Arial" w:cs="Arial" w:hint="default"/>
        <w:color w:val="222222"/>
        <w:sz w:val="24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ascii="Arial" w:hAnsi="Arial" w:cs="Arial" w:hint="default"/>
        <w:color w:val="222222"/>
        <w:sz w:val="24"/>
      </w:rPr>
    </w:lvl>
    <w:lvl w:ilvl="3">
      <w:start w:val="1"/>
      <w:numFmt w:val="decimal"/>
      <w:isLgl/>
      <w:lvlText w:val="%1.%2.%3.%4."/>
      <w:lvlJc w:val="left"/>
      <w:pPr>
        <w:ind w:left="1908" w:hanging="720"/>
      </w:pPr>
      <w:rPr>
        <w:rFonts w:ascii="Arial" w:hAnsi="Arial" w:cs="Arial" w:hint="default"/>
        <w:color w:val="222222"/>
        <w:sz w:val="24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ascii="Arial" w:hAnsi="Arial" w:cs="Arial" w:hint="default"/>
        <w:color w:val="222222"/>
        <w:sz w:val="24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ascii="Arial" w:hAnsi="Arial" w:cs="Arial" w:hint="default"/>
        <w:color w:val="222222"/>
        <w:sz w:val="24"/>
      </w:rPr>
    </w:lvl>
    <w:lvl w:ilvl="6">
      <w:start w:val="1"/>
      <w:numFmt w:val="decimal"/>
      <w:isLgl/>
      <w:lvlText w:val="%1.%2.%3.%4.%5.%6.%7."/>
      <w:lvlJc w:val="left"/>
      <w:pPr>
        <w:ind w:left="3816" w:hanging="1440"/>
      </w:pPr>
      <w:rPr>
        <w:rFonts w:ascii="Arial" w:hAnsi="Arial" w:cs="Arial" w:hint="default"/>
        <w:color w:val="222222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12" w:hanging="1440"/>
      </w:pPr>
      <w:rPr>
        <w:rFonts w:ascii="Arial" w:hAnsi="Arial" w:cs="Arial" w:hint="default"/>
        <w:color w:val="222222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8" w:hanging="1800"/>
      </w:pPr>
      <w:rPr>
        <w:rFonts w:ascii="Arial" w:hAnsi="Arial" w:cs="Arial" w:hint="default"/>
        <w:color w:val="222222"/>
        <w:sz w:val="24"/>
      </w:rPr>
    </w:lvl>
  </w:abstractNum>
  <w:abstractNum w:abstractNumId="4">
    <w:nsid w:val="5D91572D"/>
    <w:multiLevelType w:val="hybridMultilevel"/>
    <w:tmpl w:val="CEB468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590A22"/>
    <w:multiLevelType w:val="hybridMultilevel"/>
    <w:tmpl w:val="A294B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A12A4"/>
    <w:multiLevelType w:val="hybridMultilevel"/>
    <w:tmpl w:val="8C9A6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A1C1F"/>
    <w:multiLevelType w:val="hybridMultilevel"/>
    <w:tmpl w:val="F3AA7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D711E"/>
    <w:multiLevelType w:val="hybridMultilevel"/>
    <w:tmpl w:val="6BFC0C68"/>
    <w:lvl w:ilvl="0" w:tplc="041B0017">
      <w:start w:val="1"/>
      <w:numFmt w:val="lowerLetter"/>
      <w:lvlText w:val="%1)"/>
      <w:lvlJc w:val="left"/>
      <w:pPr>
        <w:ind w:left="1145" w:hanging="720"/>
      </w:pPr>
      <w:rPr>
        <w:rFonts w:hint="default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2905CB4"/>
    <w:multiLevelType w:val="hybridMultilevel"/>
    <w:tmpl w:val="2DFED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AB6A6E"/>
    <w:multiLevelType w:val="hybridMultilevel"/>
    <w:tmpl w:val="83F84F18"/>
    <w:lvl w:ilvl="0" w:tplc="D02A886E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88"/>
    <w:rsid w:val="000262CD"/>
    <w:rsid w:val="00073158"/>
    <w:rsid w:val="000961B6"/>
    <w:rsid w:val="000B2D20"/>
    <w:rsid w:val="001A04FC"/>
    <w:rsid w:val="001B43BE"/>
    <w:rsid w:val="002609B5"/>
    <w:rsid w:val="00291980"/>
    <w:rsid w:val="003904F2"/>
    <w:rsid w:val="003C6473"/>
    <w:rsid w:val="0041442C"/>
    <w:rsid w:val="00454CCD"/>
    <w:rsid w:val="00493799"/>
    <w:rsid w:val="004D4FBB"/>
    <w:rsid w:val="004E67EA"/>
    <w:rsid w:val="005210CA"/>
    <w:rsid w:val="005B632E"/>
    <w:rsid w:val="00601988"/>
    <w:rsid w:val="007876C2"/>
    <w:rsid w:val="00815D88"/>
    <w:rsid w:val="0085142E"/>
    <w:rsid w:val="008D6CD4"/>
    <w:rsid w:val="00903F6D"/>
    <w:rsid w:val="009A1D85"/>
    <w:rsid w:val="009A71D8"/>
    <w:rsid w:val="00A50710"/>
    <w:rsid w:val="00AC2167"/>
    <w:rsid w:val="00B254CA"/>
    <w:rsid w:val="00C01797"/>
    <w:rsid w:val="00CA3030"/>
    <w:rsid w:val="00D467D6"/>
    <w:rsid w:val="00DC425E"/>
    <w:rsid w:val="00DD4A8E"/>
    <w:rsid w:val="00E32F12"/>
    <w:rsid w:val="00F0671B"/>
    <w:rsid w:val="00F43A59"/>
    <w:rsid w:val="00F6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988"/>
    <w:pPr>
      <w:spacing w:after="0" w:line="240" w:lineRule="auto"/>
    </w:pPr>
    <w:rPr>
      <w:noProof/>
    </w:rPr>
  </w:style>
  <w:style w:type="paragraph" w:styleId="Nadpis1">
    <w:name w:val="heading 1"/>
    <w:basedOn w:val="Bezmezer"/>
    <w:next w:val="Normln"/>
    <w:link w:val="Nadpis1Char"/>
    <w:uiPriority w:val="9"/>
    <w:qFormat/>
    <w:rsid w:val="005210CA"/>
    <w:pPr>
      <w:numPr>
        <w:numId w:val="4"/>
      </w:numPr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01988"/>
    <w:pPr>
      <w:keepNext/>
      <w:keepLines/>
      <w:outlineLvl w:val="3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a">
    <w:name w:val="ra"/>
    <w:rsid w:val="00601988"/>
  </w:style>
  <w:style w:type="paragraph" w:customStyle="1" w:styleId="Standardnte">
    <w:name w:val="Standardní te"/>
    <w:rsid w:val="006019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0198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0198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601988"/>
    <w:pPr>
      <w:widowControl w:val="0"/>
      <w:spacing w:after="120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0198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01988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5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54CA"/>
    <w:rPr>
      <w:noProof/>
    </w:rPr>
  </w:style>
  <w:style w:type="paragraph" w:styleId="Zpat">
    <w:name w:val="footer"/>
    <w:basedOn w:val="Normln"/>
    <w:link w:val="ZpatChar"/>
    <w:uiPriority w:val="99"/>
    <w:unhideWhenUsed/>
    <w:rsid w:val="00B25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4CA"/>
    <w:rPr>
      <w:noProof/>
    </w:rPr>
  </w:style>
  <w:style w:type="paragraph" w:styleId="Bezmezer">
    <w:name w:val="No Spacing"/>
    <w:uiPriority w:val="1"/>
    <w:qFormat/>
    <w:rsid w:val="000961B6"/>
    <w:pPr>
      <w:spacing w:after="0" w:line="240" w:lineRule="auto"/>
    </w:pPr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5210CA"/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4F2"/>
    <w:rPr>
      <w:rFonts w:ascii="Tahoma" w:hAnsi="Tahoma" w:cs="Tahoma"/>
      <w:noProof/>
      <w:sz w:val="16"/>
      <w:szCs w:val="16"/>
    </w:rPr>
  </w:style>
  <w:style w:type="paragraph" w:styleId="Zkladntextodsazen">
    <w:name w:val="Body Text Indent"/>
    <w:basedOn w:val="Normln"/>
    <w:link w:val="ZkladntextodsazenChar"/>
    <w:rsid w:val="00F43A59"/>
    <w:pPr>
      <w:keepNext/>
      <w:keepLines/>
      <w:spacing w:after="120"/>
      <w:ind w:left="283"/>
    </w:pPr>
    <w:rPr>
      <w:rFonts w:ascii="Arial" w:eastAsia="Times New Roman" w:hAnsi="Arial" w:cs="Times New Roman"/>
      <w:noProof w:val="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43A59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7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988"/>
    <w:pPr>
      <w:spacing w:after="0" w:line="240" w:lineRule="auto"/>
    </w:pPr>
    <w:rPr>
      <w:noProof/>
    </w:rPr>
  </w:style>
  <w:style w:type="paragraph" w:styleId="Nadpis1">
    <w:name w:val="heading 1"/>
    <w:basedOn w:val="Bezmezer"/>
    <w:next w:val="Normln"/>
    <w:link w:val="Nadpis1Char"/>
    <w:uiPriority w:val="9"/>
    <w:qFormat/>
    <w:rsid w:val="005210CA"/>
    <w:pPr>
      <w:numPr>
        <w:numId w:val="4"/>
      </w:numPr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01988"/>
    <w:pPr>
      <w:keepNext/>
      <w:keepLines/>
      <w:outlineLvl w:val="3"/>
    </w:pPr>
    <w:rPr>
      <w:rFonts w:ascii="Arial" w:eastAsia="Times New Roman" w:hAnsi="Arial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a">
    <w:name w:val="ra"/>
    <w:rsid w:val="00601988"/>
  </w:style>
  <w:style w:type="paragraph" w:customStyle="1" w:styleId="Standardnte">
    <w:name w:val="Standardní te"/>
    <w:rsid w:val="006019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0198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0198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rsid w:val="00601988"/>
    <w:pPr>
      <w:widowControl w:val="0"/>
      <w:spacing w:after="120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0198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01988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5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54CA"/>
    <w:rPr>
      <w:noProof/>
    </w:rPr>
  </w:style>
  <w:style w:type="paragraph" w:styleId="Zpat">
    <w:name w:val="footer"/>
    <w:basedOn w:val="Normln"/>
    <w:link w:val="ZpatChar"/>
    <w:uiPriority w:val="99"/>
    <w:unhideWhenUsed/>
    <w:rsid w:val="00B25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4CA"/>
    <w:rPr>
      <w:noProof/>
    </w:rPr>
  </w:style>
  <w:style w:type="paragraph" w:styleId="Bezmezer">
    <w:name w:val="No Spacing"/>
    <w:uiPriority w:val="1"/>
    <w:qFormat/>
    <w:rsid w:val="000961B6"/>
    <w:pPr>
      <w:spacing w:after="0" w:line="240" w:lineRule="auto"/>
    </w:pPr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5210CA"/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4F2"/>
    <w:rPr>
      <w:rFonts w:ascii="Tahoma" w:hAnsi="Tahoma" w:cs="Tahoma"/>
      <w:noProof/>
      <w:sz w:val="16"/>
      <w:szCs w:val="16"/>
    </w:rPr>
  </w:style>
  <w:style w:type="paragraph" w:styleId="Zkladntextodsazen">
    <w:name w:val="Body Text Indent"/>
    <w:basedOn w:val="Normln"/>
    <w:link w:val="ZkladntextodsazenChar"/>
    <w:rsid w:val="00F43A59"/>
    <w:pPr>
      <w:keepNext/>
      <w:keepLines/>
      <w:spacing w:after="120"/>
      <w:ind w:left="283"/>
    </w:pPr>
    <w:rPr>
      <w:rFonts w:ascii="Arial" w:eastAsia="Times New Roman" w:hAnsi="Arial" w:cs="Times New Roman"/>
      <w:noProof w:val="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43A59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2D043-A1D8-4D2A-BAA2-C2109B20F0C9}"/>
</file>

<file path=customXml/itemProps2.xml><?xml version="1.0" encoding="utf-8"?>
<ds:datastoreItem xmlns:ds="http://schemas.openxmlformats.org/officeDocument/2006/customXml" ds:itemID="{10859E52-D678-4502-9323-E20EEBA628EB}"/>
</file>

<file path=customXml/itemProps3.xml><?xml version="1.0" encoding="utf-8"?>
<ds:datastoreItem xmlns:ds="http://schemas.openxmlformats.org/officeDocument/2006/customXml" ds:itemID="{B708BAB2-0911-41AC-9726-597B37C1FB8C}"/>
</file>

<file path=customXml/itemProps4.xml><?xml version="1.0" encoding="utf-8"?>
<ds:datastoreItem xmlns:ds="http://schemas.openxmlformats.org/officeDocument/2006/customXml" ds:itemID="{7B159B35-9B07-4057-AB8E-7F9933559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WK</Company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gabonay</dc:creator>
  <cp:lastModifiedBy>Kaňová Glajchova Lenka</cp:lastModifiedBy>
  <cp:revision>3</cp:revision>
  <dcterms:created xsi:type="dcterms:W3CDTF">2017-01-10T07:34:00Z</dcterms:created>
  <dcterms:modified xsi:type="dcterms:W3CDTF">2017-01-10T07:40:00Z</dcterms:modified>
</cp:coreProperties>
</file>