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81" w:rsidRPr="00B20576" w:rsidRDefault="00266E81" w:rsidP="007E2F82">
      <w:pPr>
        <w:pStyle w:val="Nadpissmlouvy"/>
        <w:jc w:val="left"/>
      </w:pPr>
      <w:r w:rsidRPr="00B20576">
        <w:rPr>
          <w:color w:val="8A003E"/>
        </w:rPr>
        <w:t xml:space="preserve">Servisní smlouva: </w:t>
      </w:r>
      <w:r w:rsidR="00C270FE">
        <w:t>Aplikační moduly VERSO</w:t>
      </w:r>
      <w:r w:rsidR="00206B8F">
        <w:t xml:space="preserve"> od 1.1.2016 do 31.12.2016</w:t>
      </w:r>
    </w:p>
    <w:p w:rsidR="00266E81" w:rsidRPr="002C6A92" w:rsidRDefault="003C0C19" w:rsidP="00F60ADC">
      <w:pPr>
        <w:pStyle w:val="Zkladntext"/>
        <w:rPr>
          <w:b/>
          <w:bCs/>
          <w:noProof/>
          <w:sz w:val="20"/>
          <w:szCs w:val="20"/>
        </w:rPr>
      </w:pPr>
      <w:r w:rsidRPr="002C6A92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298" distR="114298" simplePos="0" relativeHeight="251657728" behindDoc="0" locked="1" layoutInCell="1" allowOverlap="1">
                <wp:simplePos x="0" y="0"/>
                <wp:positionH relativeFrom="column">
                  <wp:posOffset>2997834</wp:posOffset>
                </wp:positionH>
                <wp:positionV relativeFrom="paragraph">
                  <wp:posOffset>50165</wp:posOffset>
                </wp:positionV>
                <wp:extent cx="0" cy="2714625"/>
                <wp:effectExtent l="0" t="0" r="19050" b="28575"/>
                <wp:wrapNone/>
                <wp:docPr id="8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A00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A94FC" id="Přímá spojnice 2" o:spid="_x0000_s1026" style="position:absolute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6.05pt,3.95pt" to="236.05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" strokecolor="#ca005d">
                <w10:anchorlock/>
              </v:line>
            </w:pict>
          </mc:Fallback>
        </mc:AlternateContent>
      </w:r>
      <w:r w:rsidR="00266E81" w:rsidRPr="002C6A92">
        <w:rPr>
          <w:sz w:val="20"/>
          <w:szCs w:val="20"/>
        </w:rPr>
        <w:t>č</w:t>
      </w:r>
      <w:r w:rsidR="00266E81" w:rsidRPr="002C6A92">
        <w:rPr>
          <w:noProof/>
          <w:sz w:val="20"/>
          <w:szCs w:val="20"/>
        </w:rPr>
        <w:t>íslo smlouvy Poskytovatele:</w:t>
      </w:r>
      <w:r w:rsidR="006B6DD2" w:rsidRPr="002C6A92">
        <w:rPr>
          <w:noProof/>
          <w:sz w:val="20"/>
          <w:szCs w:val="20"/>
        </w:rPr>
        <w:t xml:space="preserve"> </w:t>
      </w:r>
      <w:r w:rsidR="00A65179" w:rsidRPr="002C6A92">
        <w:rPr>
          <w:noProof/>
          <w:sz w:val="20"/>
          <w:szCs w:val="20"/>
        </w:rPr>
        <w:t xml:space="preserve">SS – </w:t>
      </w:r>
      <w:r w:rsidR="0025069C">
        <w:rPr>
          <w:noProof/>
          <w:sz w:val="20"/>
          <w:szCs w:val="20"/>
        </w:rPr>
        <w:t>025</w:t>
      </w:r>
      <w:r w:rsidR="00425607">
        <w:rPr>
          <w:noProof/>
          <w:sz w:val="20"/>
          <w:szCs w:val="20"/>
        </w:rPr>
        <w:t>/15</w:t>
      </w:r>
      <w:r w:rsidR="006B6DD2" w:rsidRPr="002C6A92">
        <w:rPr>
          <w:noProof/>
          <w:sz w:val="20"/>
          <w:szCs w:val="20"/>
        </w:rPr>
        <w:tab/>
      </w:r>
      <w:r w:rsidR="006B6DD2" w:rsidRPr="002C6A92">
        <w:rPr>
          <w:noProof/>
          <w:sz w:val="20"/>
          <w:szCs w:val="20"/>
        </w:rPr>
        <w:tab/>
      </w:r>
      <w:r w:rsidR="00041400">
        <w:rPr>
          <w:noProof/>
          <w:sz w:val="20"/>
          <w:szCs w:val="20"/>
        </w:rPr>
        <w:tab/>
      </w:r>
      <w:r w:rsidR="00266E81" w:rsidRPr="002C6A92">
        <w:rPr>
          <w:noProof/>
          <w:sz w:val="20"/>
          <w:szCs w:val="20"/>
        </w:rPr>
        <w:t>číslo smlouvy Uživatele:    ….…………………</w:t>
      </w:r>
    </w:p>
    <w:p w:rsidR="00A65179" w:rsidRDefault="00266E81" w:rsidP="00AB7E3C">
      <w:pPr>
        <w:pStyle w:val="Zkladntext"/>
        <w:spacing w:before="60" w:after="60"/>
        <w:rPr>
          <w:noProof/>
          <w:sz w:val="16"/>
          <w:szCs w:val="16"/>
        </w:rPr>
      </w:pPr>
      <w:r w:rsidRPr="00B20576">
        <w:rPr>
          <w:noProof/>
          <w:sz w:val="16"/>
          <w:szCs w:val="16"/>
        </w:rPr>
        <w:t xml:space="preserve">Související LU (čís. Zhotovitele): </w:t>
      </w:r>
      <w:r w:rsidR="00D92A63">
        <w:rPr>
          <w:noProof/>
          <w:sz w:val="16"/>
          <w:szCs w:val="16"/>
        </w:rPr>
        <w:tab/>
        <w:t>LS – 001/13, LS – 006/13</w:t>
      </w:r>
    </w:p>
    <w:p w:rsidR="00266E81" w:rsidRPr="00B8578B" w:rsidRDefault="006B6DD2" w:rsidP="00B8578B">
      <w:pPr>
        <w:pStyle w:val="Zkladntext"/>
        <w:spacing w:before="60" w:after="60"/>
        <w:rPr>
          <w:noProof/>
          <w:sz w:val="16"/>
          <w:szCs w:val="16"/>
        </w:rPr>
      </w:pPr>
      <w:r w:rsidRPr="00B20576">
        <w:rPr>
          <w:noProof/>
          <w:sz w:val="16"/>
          <w:szCs w:val="16"/>
        </w:rPr>
        <w:t>Související Smlouva o dílo (číslo Zhotovitele):</w:t>
      </w:r>
      <w:r w:rsidR="00A65179">
        <w:rPr>
          <w:noProof/>
          <w:sz w:val="16"/>
          <w:szCs w:val="16"/>
        </w:rPr>
        <w:t xml:space="preserve"> SD – 001/13</w:t>
      </w:r>
      <w:r w:rsidR="00D92A63">
        <w:rPr>
          <w:noProof/>
          <w:sz w:val="16"/>
          <w:szCs w:val="16"/>
        </w:rPr>
        <w:t>, SD – 013/13</w:t>
      </w:r>
      <w:r w:rsidR="00266E81" w:rsidRPr="009727EC">
        <w:rPr>
          <w:noProof/>
          <w:sz w:val="16"/>
          <w:szCs w:val="16"/>
        </w:rPr>
        <w:tab/>
      </w:r>
    </w:p>
    <w:p w:rsidR="00266E81" w:rsidRPr="00B20576" w:rsidRDefault="00266E81" w:rsidP="00F60ADC">
      <w:pPr>
        <w:pStyle w:val="Zkladntext"/>
        <w:rPr>
          <w:b/>
          <w:bCs/>
        </w:rPr>
      </w:pPr>
    </w:p>
    <w:p w:rsidR="00266E81" w:rsidRPr="00B20576" w:rsidRDefault="003C0C19" w:rsidP="00F60ADC">
      <w:pPr>
        <w:pStyle w:val="Zkladntext"/>
      </w:pPr>
      <w:r w:rsidRPr="00B20576">
        <w:rPr>
          <w:noProof/>
          <w:lang w:eastAsia="cs-CZ"/>
        </w:rPr>
        <mc:AlternateContent>
          <mc:Choice Requires="wps">
            <w:drawing>
              <wp:anchor distT="0" distB="720090" distL="114300" distR="114300" simplePos="0" relativeHeight="251656704" behindDoc="0" locked="1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313690</wp:posOffset>
                </wp:positionV>
                <wp:extent cx="2618740" cy="1799590"/>
                <wp:effectExtent l="0" t="0" r="0" b="0"/>
                <wp:wrapTopAndBottom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A06" w:rsidRDefault="00346A06" w:rsidP="00221AB4">
                            <w:pPr>
                              <w:pStyle w:val="Odstavecsmlouvy"/>
                              <w:tabs>
                                <w:tab w:val="left" w:pos="1080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shd w:val="clear" w:color="auto" w:fill="FFFFFF"/>
                              </w:rPr>
                              <w:t>Univerzita Karlova v Praze, Filozofická fakulta</w:t>
                            </w:r>
                          </w:p>
                          <w:p w:rsidR="00346A06" w:rsidRDefault="00346A06" w:rsidP="00221AB4">
                            <w:pPr>
                              <w:pStyle w:val="Smlouvazkladntext"/>
                              <w:spacing w:before="0" w:after="0"/>
                              <w:jc w:val="center"/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nám. Jana Palacha 2, 116 38 Praha 1</w:t>
                            </w:r>
                          </w:p>
                          <w:p w:rsidR="00346A06" w:rsidRDefault="00346A06" w:rsidP="00221AB4">
                            <w:pPr>
                              <w:pStyle w:val="Smlouvazkladntext"/>
                              <w:spacing w:before="0" w:after="0"/>
                              <w:jc w:val="center"/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IČ: 00216208, DIČ: CZ 00216208</w:t>
                            </w:r>
                          </w:p>
                          <w:p w:rsidR="00346A06" w:rsidRDefault="00346A06" w:rsidP="00221AB4">
                            <w:pPr>
                              <w:pStyle w:val="Smlouvazkladntext"/>
                              <w:spacing w:before="0" w:after="0"/>
                              <w:jc w:val="center"/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zástupce: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Filip Malý</w:t>
                            </w:r>
                            <w:r w:rsidRPr="00221AB4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tajemník fakulty</w:t>
                            </w:r>
                          </w:p>
                          <w:p w:rsidR="00346A06" w:rsidRPr="00037756" w:rsidRDefault="00346A06" w:rsidP="00221AB4">
                            <w:pPr>
                              <w:pStyle w:val="Smlouvazkladntext"/>
                              <w:jc w:val="center"/>
                            </w:pPr>
                            <w:r w:rsidRPr="00A65179">
                              <w:t xml:space="preserve"> (dále jen „</w:t>
                            </w:r>
                            <w:r w:rsidRPr="00A6517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Uživatel</w:t>
                            </w:r>
                            <w:r w:rsidRPr="00A65179">
                              <w:t>“)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5pt;margin-top:24.7pt;width:206.2pt;height:141.7pt;z-index:251656704;visibility:visible;mso-wrap-style:square;mso-width-percent:0;mso-height-percent:0;mso-wrap-distance-left:9pt;mso-wrap-distance-top:0;mso-wrap-distance-right:9pt;mso-wrap-distance-bottom:56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" stroked="f">
                <v:textbox>
                  <w:txbxContent>
                    <w:p w:rsidR="00346A06" w:rsidRDefault="00346A06" w:rsidP="00221AB4">
                      <w:pPr>
                        <w:pStyle w:val="Odstavecsmlouvy"/>
                        <w:tabs>
                          <w:tab w:val="left" w:pos="1080"/>
                        </w:tabs>
                        <w:spacing w:after="0"/>
                        <w:jc w:val="center"/>
                        <w:rPr>
                          <w:b/>
                          <w:bCs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shd w:val="clear" w:color="auto" w:fill="FFFFFF"/>
                        </w:rPr>
                        <w:t>Univerzita Karlova v Praze, Filozofická fakulta</w:t>
                      </w:r>
                    </w:p>
                    <w:p w:rsidR="00346A06" w:rsidRDefault="00346A06" w:rsidP="00221AB4">
                      <w:pPr>
                        <w:pStyle w:val="Smlouvazkladntext"/>
                        <w:spacing w:before="0" w:after="0"/>
                        <w:jc w:val="center"/>
                        <w:rPr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sz w:val="20"/>
                          <w:szCs w:val="20"/>
                          <w:shd w:val="clear" w:color="auto" w:fill="FFFFFF"/>
                        </w:rPr>
                        <w:t>nám. Jana Palacha 2, 116 38 Praha 1</w:t>
                      </w:r>
                    </w:p>
                    <w:p w:rsidR="00346A06" w:rsidRDefault="00346A06" w:rsidP="00221AB4">
                      <w:pPr>
                        <w:pStyle w:val="Smlouvazkladntext"/>
                        <w:spacing w:before="0" w:after="0"/>
                        <w:jc w:val="center"/>
                        <w:rPr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sz w:val="20"/>
                          <w:szCs w:val="20"/>
                          <w:shd w:val="clear" w:color="auto" w:fill="FFFFFF"/>
                        </w:rPr>
                        <w:t>IČ: 00216208, DIČ: CZ 00216208</w:t>
                      </w:r>
                    </w:p>
                    <w:p w:rsidR="00346A06" w:rsidRDefault="00346A06" w:rsidP="00221AB4">
                      <w:pPr>
                        <w:pStyle w:val="Smlouvazkladntext"/>
                        <w:spacing w:before="0" w:after="0"/>
                        <w:jc w:val="center"/>
                        <w:rPr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sz w:val="20"/>
                          <w:szCs w:val="20"/>
                          <w:shd w:val="clear" w:color="auto" w:fill="FFFFFF"/>
                        </w:rPr>
                        <w:t xml:space="preserve">zástupce: </w:t>
                      </w:r>
                      <w:r>
                        <w:rPr>
                          <w:b/>
                          <w:sz w:val="20"/>
                          <w:szCs w:val="20"/>
                          <w:shd w:val="clear" w:color="auto" w:fill="FFFFFF"/>
                        </w:rPr>
                        <w:t>Filip Malý</w:t>
                      </w:r>
                      <w:r w:rsidRPr="00221AB4">
                        <w:rPr>
                          <w:sz w:val="20"/>
                          <w:szCs w:val="20"/>
                          <w:shd w:val="clear" w:color="auto" w:fill="FFFFFF"/>
                        </w:rPr>
                        <w:t>,</w:t>
                      </w:r>
                      <w:r>
                        <w:rPr>
                          <w:sz w:val="20"/>
                          <w:szCs w:val="20"/>
                          <w:shd w:val="clear" w:color="auto" w:fill="FFFFFF"/>
                        </w:rPr>
                        <w:t xml:space="preserve"> tajemník fakulty</w:t>
                      </w:r>
                    </w:p>
                    <w:p w:rsidR="00346A06" w:rsidRPr="00037756" w:rsidRDefault="00346A06" w:rsidP="00221AB4">
                      <w:pPr>
                        <w:pStyle w:val="Smlouvazkladntext"/>
                        <w:jc w:val="center"/>
                      </w:pPr>
                      <w:r w:rsidRPr="00A65179">
                        <w:t xml:space="preserve"> (dále jen „</w:t>
                      </w:r>
                      <w:r w:rsidRPr="00A65179">
                        <w:rPr>
                          <w:b/>
                          <w:bCs/>
                          <w:sz w:val="22"/>
                          <w:szCs w:val="22"/>
                        </w:rPr>
                        <w:t>Uživatel</w:t>
                      </w:r>
                      <w:r w:rsidRPr="00A65179">
                        <w:t>“)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Pr="00B20576">
        <w:rPr>
          <w:noProof/>
          <w:lang w:eastAsia="cs-CZ"/>
        </w:rPr>
        <mc:AlternateContent>
          <mc:Choice Requires="wps">
            <w:drawing>
              <wp:anchor distT="0" distB="720090" distL="114300" distR="114300" simplePos="0" relativeHeight="251655680" behindDoc="0" locked="1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312420</wp:posOffset>
                </wp:positionV>
                <wp:extent cx="2848610" cy="1722755"/>
                <wp:effectExtent l="0" t="0" r="889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A06" w:rsidRDefault="00346A06" w:rsidP="00AB7E3C">
                            <w:pPr>
                              <w:pStyle w:val="Odstavecsmlouvy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080"/>
                              </w:tabs>
                              <w:ind w:left="567" w:hanging="567"/>
                              <w:jc w:val="center"/>
                            </w:pPr>
                            <w:r w:rsidRPr="00CD1843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DERS s. r. o.</w:t>
                            </w:r>
                            <w:r w:rsidRPr="00CD1843"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</w:p>
                          <w:p w:rsidR="00346A06" w:rsidRDefault="00346A06" w:rsidP="00AB7E3C">
                            <w:pPr>
                              <w:pStyle w:val="Smlouvazkladntext"/>
                              <w:jc w:val="center"/>
                            </w:pPr>
                            <w:r>
                              <w:t>Polákova 737/1, 500 02 Hradec Králové</w:t>
                            </w:r>
                          </w:p>
                          <w:p w:rsidR="00346A06" w:rsidRDefault="00346A06" w:rsidP="00AB7E3C">
                            <w:pPr>
                              <w:pStyle w:val="Smlouvazkladntext"/>
                              <w:jc w:val="center"/>
                            </w:pPr>
                            <w:r>
                              <w:t>IČ: 25924362, DIČ: CZ25924362</w:t>
                            </w:r>
                          </w:p>
                          <w:p w:rsidR="00346A06" w:rsidRDefault="00346A06" w:rsidP="00AB7E3C">
                            <w:pPr>
                              <w:pStyle w:val="Smlouvazkladntext"/>
                              <w:jc w:val="center"/>
                            </w:pPr>
                            <w:proofErr w:type="spellStart"/>
                            <w:r>
                              <w:t>regi</w:t>
                            </w:r>
                            <w:proofErr w:type="spellEnd"/>
                            <w:r>
                              <w:t xml:space="preserve">.: Krajský soud v Hradci Králové, oddíl C, </w:t>
                            </w:r>
                            <w:proofErr w:type="gramStart"/>
                            <w:r>
                              <w:t>vl.14855</w:t>
                            </w:r>
                            <w:proofErr w:type="gramEnd"/>
                          </w:p>
                          <w:p w:rsidR="00346A06" w:rsidRDefault="00346A06" w:rsidP="00AB7E3C">
                            <w:pPr>
                              <w:pStyle w:val="Smlouvazkladntext"/>
                              <w:jc w:val="center"/>
                            </w:pPr>
                            <w:r>
                              <w:t xml:space="preserve">Datová schránka: </w:t>
                            </w:r>
                            <w:r>
                              <w:rPr>
                                <w:b/>
                                <w:bCs/>
                              </w:rPr>
                              <w:t>acayn8g</w:t>
                            </w:r>
                          </w:p>
                          <w:p w:rsidR="00346A06" w:rsidRDefault="00346A06" w:rsidP="00AB7E3C">
                            <w:pPr>
                              <w:pStyle w:val="Smlouvazkladntex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t>zástupce</w:t>
                            </w:r>
                            <w:r w:rsidRPr="00037756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Ing. Jan Mach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</w:rPr>
                              <w:t xml:space="preserve"> jednatel společnosti</w:t>
                            </w:r>
                          </w:p>
                          <w:p w:rsidR="00346A06" w:rsidRDefault="00346A06" w:rsidP="00AB7E3C">
                            <w:pPr>
                              <w:pStyle w:val="Smlouvazkladntex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(dále jen „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Poskytovatel</w:t>
                            </w:r>
                            <w:r>
                              <w:rPr>
                                <w:color w:val="000000"/>
                              </w:rPr>
                              <w:t>“)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.75pt;margin-top:24.6pt;width:224.3pt;height:135.65pt;z-index:251655680;visibility:visible;mso-wrap-style:square;mso-width-percent:0;mso-height-percent:0;mso-wrap-distance-left:9pt;mso-wrap-distance-top:0;mso-wrap-distance-right:9pt;mso-wrap-distance-bottom:56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CNhQIAABc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" stroked="f">
                <v:textbox>
                  <w:txbxContent>
                    <w:p w:rsidR="00346A06" w:rsidRDefault="00346A06" w:rsidP="00AB7E3C">
                      <w:pPr>
                        <w:pStyle w:val="Odstavecsmlouvy"/>
                        <w:numPr>
                          <w:ilvl w:val="0"/>
                          <w:numId w:val="0"/>
                        </w:numPr>
                        <w:tabs>
                          <w:tab w:val="left" w:pos="1080"/>
                        </w:tabs>
                        <w:ind w:left="567" w:hanging="567"/>
                        <w:jc w:val="center"/>
                      </w:pPr>
                      <w:r w:rsidRPr="00CD1843">
                        <w:rPr>
                          <w:b/>
                          <w:bCs/>
                          <w:sz w:val="30"/>
                          <w:szCs w:val="30"/>
                        </w:rPr>
                        <w:t>DERS s. r. o.</w:t>
                      </w:r>
                      <w:r w:rsidRPr="00CD1843">
                        <w:rPr>
                          <w:sz w:val="30"/>
                          <w:szCs w:val="30"/>
                        </w:rPr>
                        <w:t>,</w:t>
                      </w:r>
                    </w:p>
                    <w:p w:rsidR="00346A06" w:rsidRDefault="00346A06" w:rsidP="00AB7E3C">
                      <w:pPr>
                        <w:pStyle w:val="Smlouvazkladntext"/>
                        <w:jc w:val="center"/>
                      </w:pPr>
                      <w:r>
                        <w:t>Polákova 737/1, 500 02 Hradec Králové</w:t>
                      </w:r>
                    </w:p>
                    <w:p w:rsidR="00346A06" w:rsidRDefault="00346A06" w:rsidP="00AB7E3C">
                      <w:pPr>
                        <w:pStyle w:val="Smlouvazkladntext"/>
                        <w:jc w:val="center"/>
                      </w:pPr>
                      <w:r>
                        <w:t>IČ: 25924362, DIČ: CZ25924362</w:t>
                      </w:r>
                    </w:p>
                    <w:p w:rsidR="00346A06" w:rsidRDefault="00346A06" w:rsidP="00AB7E3C">
                      <w:pPr>
                        <w:pStyle w:val="Smlouvazkladntext"/>
                        <w:jc w:val="center"/>
                      </w:pPr>
                      <w:proofErr w:type="spellStart"/>
                      <w:r>
                        <w:t>regi</w:t>
                      </w:r>
                      <w:proofErr w:type="spellEnd"/>
                      <w:r>
                        <w:t xml:space="preserve">.: Krajský soud v Hradci Králové, oddíl C, </w:t>
                      </w:r>
                      <w:proofErr w:type="gramStart"/>
                      <w:r>
                        <w:t>vl.14855</w:t>
                      </w:r>
                      <w:proofErr w:type="gramEnd"/>
                    </w:p>
                    <w:p w:rsidR="00346A06" w:rsidRDefault="00346A06" w:rsidP="00AB7E3C">
                      <w:pPr>
                        <w:pStyle w:val="Smlouvazkladntext"/>
                        <w:jc w:val="center"/>
                      </w:pPr>
                      <w:r>
                        <w:t xml:space="preserve">Datová schránka: </w:t>
                      </w:r>
                      <w:r>
                        <w:rPr>
                          <w:b/>
                          <w:bCs/>
                        </w:rPr>
                        <w:t>acayn8g</w:t>
                      </w:r>
                    </w:p>
                    <w:p w:rsidR="00346A06" w:rsidRDefault="00346A06" w:rsidP="00AB7E3C">
                      <w:pPr>
                        <w:pStyle w:val="Smlouvazkladntext"/>
                        <w:jc w:val="center"/>
                        <w:rPr>
                          <w:color w:val="000000"/>
                        </w:rPr>
                      </w:pPr>
                      <w:r>
                        <w:t>zástupce</w:t>
                      </w:r>
                      <w:r w:rsidRPr="00037756">
                        <w:rPr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Ing. Jan Mach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00"/>
                        </w:rPr>
                        <w:t xml:space="preserve"> jednatel společnosti</w:t>
                      </w:r>
                    </w:p>
                    <w:p w:rsidR="00346A06" w:rsidRDefault="00346A06" w:rsidP="00AB7E3C">
                      <w:pPr>
                        <w:pStyle w:val="Smlouvazkladntex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(dále jen „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Poskytovatel</w:t>
                      </w:r>
                      <w:r>
                        <w:rPr>
                          <w:color w:val="000000"/>
                        </w:rPr>
                        <w:t>“)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266E81" w:rsidRPr="00B20576">
        <w:rPr>
          <w:b/>
          <w:bCs/>
        </w:rPr>
        <w:t>Smluvní strany:</w:t>
      </w:r>
    </w:p>
    <w:p w:rsidR="004D0D3A" w:rsidRPr="004D0D3A" w:rsidRDefault="004D0D3A" w:rsidP="004D0D3A">
      <w:pPr>
        <w:pStyle w:val="Zkladntext"/>
        <w:numPr>
          <w:ilvl w:val="0"/>
          <w:numId w:val="9"/>
        </w:numPr>
        <w:jc w:val="center"/>
        <w:rPr>
          <w:sz w:val="20"/>
          <w:szCs w:val="20"/>
        </w:rPr>
      </w:pPr>
      <w:bookmarkStart w:id="0" w:name="_Ref254254737"/>
      <w:r w:rsidRPr="004D0D3A">
        <w:rPr>
          <w:sz w:val="20"/>
          <w:szCs w:val="20"/>
        </w:rPr>
        <w:t>Poskytovatel a Uživatel každý jednotlivě dále také „Smluvní strana“ nebo společně „Smluvní strany“)</w:t>
      </w:r>
    </w:p>
    <w:p w:rsidR="004D0D3A" w:rsidRPr="004D0D3A" w:rsidRDefault="004D0D3A" w:rsidP="004D0D3A">
      <w:pPr>
        <w:pStyle w:val="Zkladntext"/>
        <w:numPr>
          <w:ilvl w:val="0"/>
          <w:numId w:val="9"/>
        </w:numPr>
        <w:jc w:val="center"/>
        <w:rPr>
          <w:sz w:val="20"/>
          <w:szCs w:val="20"/>
        </w:rPr>
      </w:pPr>
      <w:r w:rsidRPr="004D0D3A">
        <w:rPr>
          <w:sz w:val="20"/>
          <w:szCs w:val="20"/>
        </w:rPr>
        <w:t>uzavírají v souladu s </w:t>
      </w:r>
      <w:proofErr w:type="spellStart"/>
      <w:r w:rsidRPr="004D0D3A">
        <w:rPr>
          <w:sz w:val="20"/>
          <w:szCs w:val="20"/>
        </w:rPr>
        <w:t>ust</w:t>
      </w:r>
      <w:proofErr w:type="spellEnd"/>
      <w:r w:rsidRPr="004D0D3A">
        <w:rPr>
          <w:sz w:val="20"/>
          <w:szCs w:val="20"/>
        </w:rPr>
        <w:t>. § 1746 odst. 2 zákona č. 89/2012 Sb., občanského zákoníku, ve znění pozdějších předpisů (dále jen „občanský zákoník“), tuto Servisní smlouvu (dále jen „Smlouva“):</w:t>
      </w:r>
    </w:p>
    <w:p w:rsidR="00266E81" w:rsidRPr="00B20576" w:rsidRDefault="00266E81" w:rsidP="00B51E6C">
      <w:pPr>
        <w:pStyle w:val="lneksmlouvy"/>
        <w:numPr>
          <w:ilvl w:val="1"/>
          <w:numId w:val="9"/>
        </w:numPr>
      </w:pPr>
      <w:r w:rsidRPr="00B20576">
        <w:t>Předmět smlouvy</w:t>
      </w:r>
      <w:bookmarkEnd w:id="0"/>
    </w:p>
    <w:p w:rsidR="00FB3E57" w:rsidRPr="00C20F5C" w:rsidRDefault="00266E81" w:rsidP="00AB6180">
      <w:pPr>
        <w:pStyle w:val="Odstavecsmlouvy"/>
        <w:numPr>
          <w:ilvl w:val="2"/>
          <w:numId w:val="9"/>
        </w:numPr>
        <w:tabs>
          <w:tab w:val="clear" w:pos="851"/>
        </w:tabs>
        <w:rPr>
          <w:lang w:val="cs-CZ"/>
        </w:rPr>
      </w:pPr>
      <w:r w:rsidRPr="00C20F5C">
        <w:rPr>
          <w:lang w:val="cs-CZ"/>
        </w:rPr>
        <w:t xml:space="preserve">Předmětem </w:t>
      </w:r>
      <w:r w:rsidR="00A30A7A" w:rsidRPr="00C20F5C">
        <w:rPr>
          <w:lang w:val="cs-CZ"/>
        </w:rPr>
        <w:t>S</w:t>
      </w:r>
      <w:r w:rsidRPr="00C20F5C">
        <w:rPr>
          <w:lang w:val="cs-CZ"/>
        </w:rPr>
        <w:t xml:space="preserve">mlouvy </w:t>
      </w:r>
      <w:r w:rsidR="00683F74" w:rsidRPr="00C20F5C">
        <w:rPr>
          <w:lang w:val="cs-CZ"/>
        </w:rPr>
        <w:t>jsou níže specifikované závazky Poskytovatele a závazek Uživatele uhradit za toto plnění Poskytovatele sjednanou cenu. Poskytovatel se zavazuje provést pro Uživatele tyto činnosti</w:t>
      </w:r>
      <w:r w:rsidR="00DD2077" w:rsidRPr="00C20F5C">
        <w:rPr>
          <w:lang w:val="cs-CZ"/>
        </w:rPr>
        <w:t xml:space="preserve"> spočívající v </w:t>
      </w:r>
      <w:r w:rsidRPr="00011F05">
        <w:t>Poskytnutí</w:t>
      </w:r>
      <w:r w:rsidRPr="00B20576">
        <w:t xml:space="preserve"> </w:t>
      </w:r>
      <w:r w:rsidRPr="00C20F5C">
        <w:rPr>
          <w:lang w:val="cs-CZ"/>
        </w:rPr>
        <w:t>mimozáruční</w:t>
      </w:r>
      <w:r w:rsidRPr="00B20576">
        <w:t xml:space="preserve"> servisní podpory pro produkty </w:t>
      </w:r>
      <w:r w:rsidR="00A8503F" w:rsidRPr="00C20F5C">
        <w:rPr>
          <w:color w:val="000000"/>
        </w:rPr>
        <w:t>VERSO – Aplikační moduly</w:t>
      </w:r>
      <w:r w:rsidRPr="00C20F5C">
        <w:rPr>
          <w:color w:val="000000"/>
        </w:rPr>
        <w:t xml:space="preserve"> </w:t>
      </w:r>
      <w:r w:rsidRPr="00B20576">
        <w:t xml:space="preserve">dodané Poskytovatelem </w:t>
      </w:r>
      <w:r w:rsidRPr="00C20F5C">
        <w:rPr>
          <w:color w:val="000000"/>
        </w:rPr>
        <w:t xml:space="preserve">(dále jen „Produkt“) </w:t>
      </w:r>
      <w:r w:rsidRPr="00B20576">
        <w:t xml:space="preserve">pro období </w:t>
      </w:r>
      <w:r w:rsidR="00011F05" w:rsidRPr="00C20F5C">
        <w:rPr>
          <w:lang w:val="cs-CZ"/>
        </w:rPr>
        <w:t xml:space="preserve">uvedené v kapitole </w:t>
      </w:r>
      <w:r w:rsidR="00011F05" w:rsidRPr="00C20F5C">
        <w:rPr>
          <w:lang w:val="cs-CZ"/>
        </w:rPr>
        <w:fldChar w:fldCharType="begin"/>
      </w:r>
      <w:r w:rsidR="00011F05" w:rsidRPr="00C20F5C">
        <w:rPr>
          <w:lang w:val="cs-CZ"/>
        </w:rPr>
        <w:instrText xml:space="preserve"> REF _Ref352839262 \r \h </w:instrText>
      </w:r>
      <w:r w:rsidR="00011F05" w:rsidRPr="00C20F5C">
        <w:rPr>
          <w:lang w:val="cs-CZ"/>
        </w:rPr>
      </w:r>
      <w:r w:rsidR="00011F05" w:rsidRPr="00C20F5C">
        <w:rPr>
          <w:lang w:val="cs-CZ"/>
        </w:rPr>
        <w:fldChar w:fldCharType="separate"/>
      </w:r>
      <w:r w:rsidR="00041400">
        <w:rPr>
          <w:lang w:val="cs-CZ"/>
        </w:rPr>
        <w:t>II</w:t>
      </w:r>
      <w:r w:rsidR="00011F05" w:rsidRPr="00C20F5C">
        <w:rPr>
          <w:lang w:val="cs-CZ"/>
        </w:rPr>
        <w:fldChar w:fldCharType="end"/>
      </w:r>
      <w:r w:rsidR="001E4F8D" w:rsidRPr="00C20F5C">
        <w:rPr>
          <w:lang w:val="cs-CZ"/>
        </w:rPr>
        <w:t>.</w:t>
      </w:r>
      <w:r w:rsidR="00011F05" w:rsidRPr="00C20F5C">
        <w:rPr>
          <w:lang w:val="cs-CZ"/>
        </w:rPr>
        <w:t xml:space="preserve"> </w:t>
      </w:r>
      <w:r w:rsidR="001E4F8D" w:rsidRPr="00C20F5C">
        <w:rPr>
          <w:lang w:val="cs-CZ"/>
        </w:rPr>
        <w:t xml:space="preserve">Smlouvy </w:t>
      </w:r>
      <w:r w:rsidR="00DD2077">
        <w:t>a to v rozsahu specifikovaném v této Smlouvě</w:t>
      </w:r>
      <w:r w:rsidR="00FB3E57" w:rsidRPr="00C20F5C">
        <w:rPr>
          <w:lang w:val="cs-CZ"/>
        </w:rPr>
        <w:t>.</w:t>
      </w:r>
    </w:p>
    <w:p w:rsidR="00266E81" w:rsidRPr="00B20576" w:rsidRDefault="00266E81" w:rsidP="00FB3E57">
      <w:pPr>
        <w:pStyle w:val="Odstavecsmlouvy"/>
        <w:numPr>
          <w:ilvl w:val="0"/>
          <w:numId w:val="0"/>
        </w:numPr>
        <w:ind w:left="567"/>
        <w:rPr>
          <w:lang w:val="cs-CZ"/>
        </w:rPr>
      </w:pPr>
      <w:r w:rsidRPr="00B20576">
        <w:rPr>
          <w:lang w:val="cs-CZ"/>
        </w:rPr>
        <w:t>Podrobné členění Produktu:</w:t>
      </w:r>
    </w:p>
    <w:tbl>
      <w:tblPr>
        <w:tblW w:w="0" w:type="auto"/>
        <w:jc w:val="center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5447"/>
        <w:gridCol w:w="1750"/>
      </w:tblGrid>
      <w:tr w:rsidR="00224CB1" w:rsidRPr="00B20576" w:rsidTr="00224CB1">
        <w:trPr>
          <w:tblHeader/>
          <w:jc w:val="center"/>
        </w:trPr>
        <w:tc>
          <w:tcPr>
            <w:tcW w:w="5447" w:type="dxa"/>
            <w:shd w:val="clear" w:color="auto" w:fill="D9D9D9"/>
          </w:tcPr>
          <w:p w:rsidR="00224CB1" w:rsidRPr="00B20576" w:rsidRDefault="00224CB1" w:rsidP="00F60ADC">
            <w:pPr>
              <w:pStyle w:val="Tabulkatext0"/>
              <w:rPr>
                <w:b/>
                <w:bCs/>
              </w:rPr>
            </w:pPr>
            <w:r w:rsidRPr="00B20576">
              <w:rPr>
                <w:b/>
                <w:bCs/>
                <w:color w:val="920042"/>
              </w:rPr>
              <w:t>SW/Modul</w:t>
            </w:r>
          </w:p>
        </w:tc>
        <w:tc>
          <w:tcPr>
            <w:tcW w:w="1750" w:type="dxa"/>
            <w:shd w:val="clear" w:color="auto" w:fill="D9D9D9"/>
          </w:tcPr>
          <w:p w:rsidR="00224CB1" w:rsidRPr="00B20576" w:rsidRDefault="00224CB1" w:rsidP="00FB3E57">
            <w:pPr>
              <w:pStyle w:val="Tabulkatext0"/>
              <w:rPr>
                <w:b/>
                <w:bCs/>
              </w:rPr>
            </w:pPr>
            <w:r w:rsidRPr="00B20576">
              <w:rPr>
                <w:b/>
                <w:bCs/>
                <w:color w:val="920042"/>
              </w:rPr>
              <w:t>Licenční smlouva</w:t>
            </w:r>
            <w:r>
              <w:rPr>
                <w:b/>
                <w:bCs/>
                <w:color w:val="920042"/>
              </w:rPr>
              <w:t xml:space="preserve">, </w:t>
            </w:r>
            <w:r w:rsidRPr="00B20576">
              <w:rPr>
                <w:b/>
                <w:bCs/>
                <w:color w:val="920042"/>
              </w:rPr>
              <w:t>Smlouva o dílo</w:t>
            </w:r>
            <w:r>
              <w:rPr>
                <w:b/>
                <w:bCs/>
                <w:color w:val="920042"/>
              </w:rPr>
              <w:t xml:space="preserve">, </w:t>
            </w:r>
            <w:r w:rsidRPr="00B20576">
              <w:rPr>
                <w:b/>
                <w:bCs/>
                <w:color w:val="920042"/>
              </w:rPr>
              <w:t xml:space="preserve">Objednávka </w:t>
            </w:r>
          </w:p>
        </w:tc>
      </w:tr>
      <w:tr w:rsidR="00224CB1" w:rsidRPr="00B20576" w:rsidTr="00224CB1">
        <w:trPr>
          <w:jc w:val="center"/>
        </w:trPr>
        <w:tc>
          <w:tcPr>
            <w:tcW w:w="5447" w:type="dxa"/>
          </w:tcPr>
          <w:p w:rsidR="00224CB1" w:rsidRPr="00C270FE" w:rsidRDefault="00224CB1" w:rsidP="00707811">
            <w:pPr>
              <w:pStyle w:val="Tabulkatext0"/>
            </w:pPr>
            <w:r w:rsidRPr="00C270FE">
              <w:t xml:space="preserve">Koncentrátor plateb </w:t>
            </w:r>
            <w:r>
              <w:t>včetně dodatečně zhotoveného webového rozhraní pro platby bankovní kartou na http://online.ff.cuni.cz</w:t>
            </w:r>
          </w:p>
        </w:tc>
        <w:tc>
          <w:tcPr>
            <w:tcW w:w="1750" w:type="dxa"/>
          </w:tcPr>
          <w:p w:rsidR="00224CB1" w:rsidRPr="00C270FE" w:rsidRDefault="00224CB1" w:rsidP="00D63086">
            <w:pPr>
              <w:pStyle w:val="Tabulkatext0"/>
            </w:pPr>
            <w:r w:rsidRPr="00C270FE">
              <w:t xml:space="preserve"> LS – 001/13, </w:t>
            </w:r>
          </w:p>
        </w:tc>
      </w:tr>
      <w:tr w:rsidR="00224CB1" w:rsidRPr="00B20576" w:rsidTr="00224CB1">
        <w:trPr>
          <w:jc w:val="center"/>
        </w:trPr>
        <w:tc>
          <w:tcPr>
            <w:tcW w:w="5447" w:type="dxa"/>
          </w:tcPr>
          <w:p w:rsidR="00224CB1" w:rsidRPr="00C270FE" w:rsidRDefault="00224CB1" w:rsidP="00036F1E">
            <w:pPr>
              <w:pStyle w:val="Tabulkatext0"/>
            </w:pPr>
            <w:proofErr w:type="spellStart"/>
            <w:r w:rsidRPr="00C270FE">
              <w:t>eObchod</w:t>
            </w:r>
            <w:proofErr w:type="spellEnd"/>
          </w:p>
        </w:tc>
        <w:tc>
          <w:tcPr>
            <w:tcW w:w="1750" w:type="dxa"/>
          </w:tcPr>
          <w:p w:rsidR="00224CB1" w:rsidRPr="00C270FE" w:rsidRDefault="00224CB1" w:rsidP="00D63086">
            <w:pPr>
              <w:pStyle w:val="Tabulkatext0"/>
            </w:pPr>
            <w:r w:rsidRPr="00C270FE">
              <w:t xml:space="preserve">LS – 001/13, </w:t>
            </w:r>
          </w:p>
        </w:tc>
      </w:tr>
      <w:tr w:rsidR="00224CB1" w:rsidRPr="00B20576" w:rsidTr="00224CB1">
        <w:trPr>
          <w:jc w:val="center"/>
        </w:trPr>
        <w:tc>
          <w:tcPr>
            <w:tcW w:w="5447" w:type="dxa"/>
          </w:tcPr>
          <w:p w:rsidR="00224CB1" w:rsidRPr="00C270FE" w:rsidRDefault="00224CB1" w:rsidP="00036F1E">
            <w:pPr>
              <w:pStyle w:val="Tabulkatext0"/>
            </w:pPr>
            <w:r>
              <w:t>Moje služby (MOSL) – rozcestník</w:t>
            </w:r>
          </w:p>
        </w:tc>
        <w:tc>
          <w:tcPr>
            <w:tcW w:w="1750" w:type="dxa"/>
          </w:tcPr>
          <w:p w:rsidR="00224CB1" w:rsidRPr="00C270FE" w:rsidRDefault="00224CB1" w:rsidP="00D63086">
            <w:pPr>
              <w:pStyle w:val="Tabulkatext0"/>
            </w:pPr>
            <w:r>
              <w:t>LS – 006/13</w:t>
            </w:r>
          </w:p>
        </w:tc>
      </w:tr>
      <w:tr w:rsidR="00224CB1" w:rsidRPr="00B20576" w:rsidTr="00224CB1">
        <w:trPr>
          <w:jc w:val="center"/>
        </w:trPr>
        <w:tc>
          <w:tcPr>
            <w:tcW w:w="5447" w:type="dxa"/>
          </w:tcPr>
          <w:p w:rsidR="00224CB1" w:rsidRDefault="00224CB1" w:rsidP="00036F1E">
            <w:pPr>
              <w:pStyle w:val="Tabulkatext0"/>
            </w:pPr>
            <w:r>
              <w:t>Legislativa (LEG)</w:t>
            </w:r>
          </w:p>
        </w:tc>
        <w:tc>
          <w:tcPr>
            <w:tcW w:w="1750" w:type="dxa"/>
          </w:tcPr>
          <w:p w:rsidR="00224CB1" w:rsidRDefault="00224CB1" w:rsidP="00D63086">
            <w:pPr>
              <w:pStyle w:val="Tabulkatext0"/>
            </w:pPr>
            <w:r>
              <w:t>LS – 006/13</w:t>
            </w:r>
          </w:p>
        </w:tc>
      </w:tr>
      <w:tr w:rsidR="00224CB1" w:rsidRPr="00B20576" w:rsidTr="00224CB1">
        <w:trPr>
          <w:jc w:val="center"/>
        </w:trPr>
        <w:tc>
          <w:tcPr>
            <w:tcW w:w="5447" w:type="dxa"/>
          </w:tcPr>
          <w:p w:rsidR="00224CB1" w:rsidRDefault="00224CB1" w:rsidP="00036F1E">
            <w:pPr>
              <w:pStyle w:val="Tabulkatext0"/>
            </w:pPr>
            <w:r>
              <w:lastRenderedPageBreak/>
              <w:t>CIS</w:t>
            </w:r>
          </w:p>
        </w:tc>
        <w:tc>
          <w:tcPr>
            <w:tcW w:w="1750" w:type="dxa"/>
          </w:tcPr>
          <w:p w:rsidR="00224CB1" w:rsidRDefault="00224CB1" w:rsidP="00D63086">
            <w:pPr>
              <w:pStyle w:val="Tabulkatext0"/>
            </w:pPr>
            <w:r>
              <w:t>LS – 006/13</w:t>
            </w:r>
          </w:p>
        </w:tc>
      </w:tr>
    </w:tbl>
    <w:p w:rsidR="00266E81" w:rsidRPr="00B20576" w:rsidRDefault="00266E81" w:rsidP="00B51E6C">
      <w:pPr>
        <w:pStyle w:val="Odstavecsmlouvy"/>
        <w:numPr>
          <w:ilvl w:val="2"/>
          <w:numId w:val="9"/>
        </w:numPr>
        <w:tabs>
          <w:tab w:val="clear" w:pos="851"/>
        </w:tabs>
        <w:rPr>
          <w:lang w:val="cs-CZ"/>
        </w:rPr>
      </w:pPr>
      <w:bookmarkStart w:id="1" w:name="_Ref269308626"/>
      <w:r w:rsidRPr="00B20576">
        <w:rPr>
          <w:lang w:val="cs-CZ"/>
        </w:rPr>
        <w:t>Konkrétní specifikace funkcionality Produktu, ke které je poskytována</w:t>
      </w:r>
      <w:r w:rsidR="00E931AB" w:rsidRPr="00B20576">
        <w:rPr>
          <w:lang w:val="cs-CZ"/>
        </w:rPr>
        <w:t xml:space="preserve"> mimozáruční</w:t>
      </w:r>
      <w:r w:rsidRPr="00B20576">
        <w:rPr>
          <w:lang w:val="cs-CZ"/>
        </w:rPr>
        <w:t xml:space="preserve"> servisní podpora, vyplývá z uzavřených licenčních smluv, smluv o dílo či objednávek (funkcionalita vytvořená na zakázku). Účelem </w:t>
      </w:r>
      <w:r w:rsidR="00E931AB" w:rsidRPr="00B20576">
        <w:rPr>
          <w:lang w:val="cs-CZ"/>
        </w:rPr>
        <w:t xml:space="preserve">mimozáruční </w:t>
      </w:r>
      <w:r w:rsidRPr="00B20576">
        <w:rPr>
          <w:lang w:val="cs-CZ"/>
        </w:rPr>
        <w:t>servisní podpory je zabezpečení provozu Produktu.</w:t>
      </w:r>
    </w:p>
    <w:p w:rsidR="00266E81" w:rsidRPr="00B20576" w:rsidRDefault="00A30A7A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>S</w:t>
      </w:r>
      <w:r w:rsidR="00266E81" w:rsidRPr="00B20576">
        <w:rPr>
          <w:lang w:val="cs-CZ"/>
        </w:rPr>
        <w:t>mlouva upravuje poskytování mimozáruční servisní podpory spočívající</w:t>
      </w:r>
      <w:r w:rsidR="00842D44" w:rsidRPr="00B20576">
        <w:rPr>
          <w:lang w:val="cs-CZ"/>
        </w:rPr>
        <w:t xml:space="preserve"> v </w:t>
      </w:r>
      <w:r w:rsidR="00266E81" w:rsidRPr="00B20576">
        <w:rPr>
          <w:lang w:val="cs-CZ"/>
        </w:rPr>
        <w:t xml:space="preserve">připravenosti a schopnosti Poskytovatele řešit problémy, které se v souvislosti s Produktem vyskytnou, podmínky jejich odstranění a podmínky poskytování dalších služeb v této </w:t>
      </w:r>
      <w:r w:rsidRPr="00B20576">
        <w:rPr>
          <w:lang w:val="cs-CZ"/>
        </w:rPr>
        <w:t xml:space="preserve">Smlouvě </w:t>
      </w:r>
      <w:r w:rsidR="00266E81" w:rsidRPr="00B20576">
        <w:rPr>
          <w:lang w:val="cs-CZ"/>
        </w:rPr>
        <w:t xml:space="preserve">specifikovaných. </w:t>
      </w:r>
    </w:p>
    <w:p w:rsidR="00266E81" w:rsidRPr="00B20576" w:rsidRDefault="00266E81" w:rsidP="00B51E6C">
      <w:pPr>
        <w:pStyle w:val="lneksmlouvy"/>
        <w:numPr>
          <w:ilvl w:val="1"/>
          <w:numId w:val="9"/>
        </w:numPr>
      </w:pPr>
      <w:bookmarkStart w:id="2" w:name="_Ref352839262"/>
      <w:r w:rsidRPr="00B20576">
        <w:t xml:space="preserve">Období </w:t>
      </w:r>
      <w:r w:rsidR="001E4F8D">
        <w:t>trvání</w:t>
      </w:r>
      <w:r w:rsidR="001E4F8D" w:rsidRPr="00B20576">
        <w:t xml:space="preserve"> </w:t>
      </w:r>
      <w:r w:rsidRPr="00B20576">
        <w:t>smlouvy</w:t>
      </w:r>
      <w:bookmarkEnd w:id="1"/>
      <w:bookmarkEnd w:id="2"/>
    </w:p>
    <w:p w:rsidR="00FA3976" w:rsidRDefault="00266E81" w:rsidP="00B60ABF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bookmarkStart w:id="3" w:name="_Ref335741680"/>
      <w:r w:rsidRPr="00FA3976">
        <w:rPr>
          <w:lang w:val="cs-CZ"/>
        </w:rPr>
        <w:t xml:space="preserve">Tato Smlouva se uzavírá na období </w:t>
      </w:r>
      <w:r w:rsidR="008A7D30" w:rsidRPr="00FA3976">
        <w:rPr>
          <w:lang w:val="cs-CZ"/>
        </w:rPr>
        <w:t xml:space="preserve">od </w:t>
      </w:r>
      <w:proofErr w:type="gramStart"/>
      <w:r w:rsidR="008A4405" w:rsidRPr="00FA3976">
        <w:rPr>
          <w:lang w:val="cs-CZ"/>
        </w:rPr>
        <w:t>01.01.201</w:t>
      </w:r>
      <w:r w:rsidR="00B26845" w:rsidRPr="00FA3976">
        <w:rPr>
          <w:lang w:val="cs-CZ"/>
        </w:rPr>
        <w:t>6</w:t>
      </w:r>
      <w:proofErr w:type="gramEnd"/>
      <w:r w:rsidR="008A7D30" w:rsidRPr="00FA3976">
        <w:rPr>
          <w:lang w:val="cs-CZ"/>
        </w:rPr>
        <w:t xml:space="preserve"> do </w:t>
      </w:r>
      <w:r w:rsidR="008A4405" w:rsidRPr="00FA3976">
        <w:rPr>
          <w:lang w:val="cs-CZ"/>
        </w:rPr>
        <w:t>31.12.201</w:t>
      </w:r>
      <w:r w:rsidR="00B26845" w:rsidRPr="00FA3976">
        <w:rPr>
          <w:lang w:val="cs-CZ"/>
        </w:rPr>
        <w:t>6</w:t>
      </w:r>
      <w:r w:rsidRPr="00FA3976">
        <w:rPr>
          <w:lang w:val="cs-CZ"/>
        </w:rPr>
        <w:t xml:space="preserve"> včetně</w:t>
      </w:r>
      <w:bookmarkEnd w:id="3"/>
      <w:r w:rsidR="00FA3976">
        <w:rPr>
          <w:lang w:val="cs-CZ"/>
        </w:rPr>
        <w:t>.</w:t>
      </w:r>
    </w:p>
    <w:p w:rsidR="00266E81" w:rsidRPr="00FA3976" w:rsidRDefault="001E4F8D" w:rsidP="00B60ABF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FA3976">
        <w:rPr>
          <w:lang w:val="cs-CZ"/>
        </w:rPr>
        <w:t>Ú</w:t>
      </w:r>
      <w:r w:rsidR="00266E81" w:rsidRPr="00FA3976">
        <w:rPr>
          <w:lang w:val="cs-CZ"/>
        </w:rPr>
        <w:t>činnost Smlouvy se automaticky prodlužuje za podmínek stanovených v </w:t>
      </w:r>
      <w:proofErr w:type="gramStart"/>
      <w:r w:rsidR="00266E81" w:rsidRPr="00FA3976">
        <w:rPr>
          <w:lang w:val="cs-CZ"/>
        </w:rPr>
        <w:t>odstavci</w:t>
      </w:r>
      <w:r w:rsidR="00DE6A6B" w:rsidRPr="00FA3976">
        <w:rPr>
          <w:lang w:val="cs-CZ"/>
        </w:rPr>
        <w:t> </w:t>
      </w:r>
      <w:r w:rsidR="00C81CE1" w:rsidRPr="00FA3976">
        <w:rPr>
          <w:lang w:val="cs-CZ"/>
        </w:rPr>
        <w:fldChar w:fldCharType="begin"/>
      </w:r>
      <w:r w:rsidR="00C81CE1" w:rsidRPr="00FA3976">
        <w:rPr>
          <w:lang w:val="cs-CZ"/>
        </w:rPr>
        <w:instrText xml:space="preserve"> REF _Ref376496695 \r \h </w:instrText>
      </w:r>
      <w:r w:rsidR="00C81CE1">
        <w:rPr>
          <w:lang w:val="cs-CZ"/>
        </w:rPr>
      </w:r>
      <w:r w:rsidR="00C81CE1" w:rsidRPr="00FA3976">
        <w:rPr>
          <w:lang w:val="cs-CZ"/>
        </w:rPr>
        <w:fldChar w:fldCharType="separate"/>
      </w:r>
      <w:r w:rsidR="00C81CE1" w:rsidRPr="00FA3976">
        <w:rPr>
          <w:lang w:val="cs-CZ"/>
        </w:rPr>
        <w:t>7.10</w:t>
      </w:r>
      <w:proofErr w:type="gramEnd"/>
      <w:r w:rsidR="00C81CE1" w:rsidRPr="00FA3976">
        <w:rPr>
          <w:lang w:val="cs-CZ"/>
        </w:rPr>
        <w:fldChar w:fldCharType="end"/>
      </w:r>
      <w:r w:rsidR="00266E81" w:rsidRPr="00FA3976">
        <w:rPr>
          <w:lang w:val="cs-CZ"/>
        </w:rPr>
        <w:t xml:space="preserve">. </w:t>
      </w:r>
    </w:p>
    <w:p w:rsidR="00266E81" w:rsidRPr="00B20576" w:rsidRDefault="007E5F2F" w:rsidP="00B51E6C">
      <w:pPr>
        <w:pStyle w:val="lneksmlouvy"/>
        <w:numPr>
          <w:ilvl w:val="1"/>
          <w:numId w:val="9"/>
        </w:numPr>
      </w:pPr>
      <w:r w:rsidRPr="00B20576">
        <w:t>Mimozáruční s</w:t>
      </w:r>
      <w:r w:rsidR="00266E81" w:rsidRPr="00B20576">
        <w:t xml:space="preserve">ervisní </w:t>
      </w:r>
      <w:r w:rsidR="001858F7">
        <w:t>podpora</w:t>
      </w:r>
    </w:p>
    <w:p w:rsidR="00266E81" w:rsidRPr="00B20576" w:rsidRDefault="001858F7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>
        <w:rPr>
          <w:lang w:val="cs-CZ"/>
        </w:rPr>
        <w:t>Mimozáruční s</w:t>
      </w:r>
      <w:r w:rsidR="00266E81" w:rsidRPr="00B20576">
        <w:rPr>
          <w:lang w:val="cs-CZ"/>
        </w:rPr>
        <w:t xml:space="preserve">ervisní </w:t>
      </w:r>
      <w:r>
        <w:rPr>
          <w:lang w:val="cs-CZ"/>
        </w:rPr>
        <w:t xml:space="preserve">podpora </w:t>
      </w:r>
      <w:r w:rsidR="002E620D" w:rsidRPr="00B20576">
        <w:rPr>
          <w:lang w:val="cs-CZ"/>
        </w:rPr>
        <w:t>pro Produkt</w:t>
      </w:r>
      <w:r w:rsidR="00266E81" w:rsidRPr="00B20576">
        <w:rPr>
          <w:lang w:val="cs-CZ"/>
        </w:rPr>
        <w:t xml:space="preserve"> </w:t>
      </w:r>
      <w:r w:rsidR="00AB4FBF" w:rsidRPr="00B20576">
        <w:rPr>
          <w:lang w:val="cs-CZ"/>
        </w:rPr>
        <w:t xml:space="preserve">se pro období uvedené v kapitole </w:t>
      </w:r>
      <w:r w:rsidR="00B20194" w:rsidRPr="00B20576">
        <w:rPr>
          <w:lang w:val="cs-CZ"/>
        </w:rPr>
        <w:fldChar w:fldCharType="begin"/>
      </w:r>
      <w:r w:rsidR="00AB4FBF" w:rsidRPr="00B20576">
        <w:rPr>
          <w:lang w:val="cs-CZ"/>
        </w:rPr>
        <w:instrText xml:space="preserve"> REF _Ref352839262 \r \h </w:instrText>
      </w:r>
      <w:r w:rsidR="00B20194" w:rsidRPr="00B20576">
        <w:rPr>
          <w:lang w:val="cs-CZ"/>
        </w:rPr>
      </w:r>
      <w:r w:rsidR="00B20194" w:rsidRPr="00B20576">
        <w:rPr>
          <w:lang w:val="cs-CZ"/>
        </w:rPr>
        <w:fldChar w:fldCharType="separate"/>
      </w:r>
      <w:r w:rsidR="00041400">
        <w:rPr>
          <w:lang w:val="cs-CZ"/>
        </w:rPr>
        <w:t>II</w:t>
      </w:r>
      <w:r w:rsidR="00B20194" w:rsidRPr="00B20576">
        <w:rPr>
          <w:lang w:val="cs-CZ"/>
        </w:rPr>
        <w:fldChar w:fldCharType="end"/>
      </w:r>
      <w:r w:rsidR="00DF036A" w:rsidRPr="00B20576">
        <w:rPr>
          <w:lang w:val="cs-CZ"/>
        </w:rPr>
        <w:t xml:space="preserve">. </w:t>
      </w:r>
      <w:r w:rsidR="00AB4FBF" w:rsidRPr="00B20576">
        <w:rPr>
          <w:lang w:val="cs-CZ"/>
        </w:rPr>
        <w:t>Smlouvy</w:t>
      </w:r>
      <w:r w:rsidR="00266E81" w:rsidRPr="00B20576">
        <w:rPr>
          <w:lang w:val="cs-CZ"/>
        </w:rPr>
        <w:t xml:space="preserve"> stanovuj</w:t>
      </w:r>
      <w:r>
        <w:rPr>
          <w:lang w:val="cs-CZ"/>
        </w:rPr>
        <w:t>e</w:t>
      </w:r>
      <w:r w:rsidR="00266E81" w:rsidRPr="00B20576">
        <w:rPr>
          <w:lang w:val="cs-CZ"/>
        </w:rPr>
        <w:t xml:space="preserve"> takto:</w:t>
      </w:r>
    </w:p>
    <w:tbl>
      <w:tblPr>
        <w:tblW w:w="8080" w:type="dxa"/>
        <w:tblInd w:w="675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1482"/>
        <w:gridCol w:w="6598"/>
      </w:tblGrid>
      <w:tr w:rsidR="00A23BC1" w:rsidRPr="00B20576" w:rsidTr="00A23BC1">
        <w:trPr>
          <w:trHeight w:val="72"/>
        </w:trPr>
        <w:tc>
          <w:tcPr>
            <w:tcW w:w="1482" w:type="dxa"/>
            <w:shd w:val="clear" w:color="auto" w:fill="D9D9D9"/>
          </w:tcPr>
          <w:p w:rsidR="00A23BC1" w:rsidRPr="00B20576" w:rsidRDefault="00A23BC1" w:rsidP="002540DB">
            <w:pPr>
              <w:pStyle w:val="Tabulkatext0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Kód služby</w:t>
            </w:r>
          </w:p>
        </w:tc>
        <w:tc>
          <w:tcPr>
            <w:tcW w:w="6598" w:type="dxa"/>
            <w:shd w:val="clear" w:color="auto" w:fill="D9D9D9"/>
          </w:tcPr>
          <w:p w:rsidR="00A23BC1" w:rsidRPr="00B20576" w:rsidRDefault="00A23BC1" w:rsidP="002540DB">
            <w:pPr>
              <w:pStyle w:val="Tabulkatext0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Název služby</w:t>
            </w:r>
          </w:p>
        </w:tc>
      </w:tr>
      <w:tr w:rsidR="00A23BC1" w:rsidRPr="00B20576" w:rsidTr="00A23BC1">
        <w:trPr>
          <w:trHeight w:val="245"/>
        </w:trPr>
        <w:tc>
          <w:tcPr>
            <w:tcW w:w="1482" w:type="dxa"/>
            <w:shd w:val="clear" w:color="auto" w:fill="FBD4B4"/>
          </w:tcPr>
          <w:p w:rsidR="00A23BC1" w:rsidRPr="00B20576" w:rsidRDefault="00A23BC1" w:rsidP="002540DB">
            <w:pPr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6598" w:type="dxa"/>
            <w:shd w:val="clear" w:color="auto" w:fill="FBD4B4"/>
          </w:tcPr>
          <w:p w:rsidR="00A23BC1" w:rsidRPr="00B20576" w:rsidRDefault="00A23BC1" w:rsidP="002540DB">
            <w:pPr>
              <w:rPr>
                <w:b/>
                <w:bCs/>
                <w:sz w:val="20"/>
                <w:szCs w:val="20"/>
              </w:rPr>
            </w:pPr>
            <w:r w:rsidRPr="00B20576">
              <w:rPr>
                <w:b/>
                <w:bCs/>
                <w:sz w:val="20"/>
                <w:szCs w:val="20"/>
              </w:rPr>
              <w:t xml:space="preserve">Moduly </w:t>
            </w:r>
            <w:r>
              <w:rPr>
                <w:b/>
                <w:bCs/>
                <w:sz w:val="20"/>
                <w:szCs w:val="20"/>
              </w:rPr>
              <w:t>VERSO</w:t>
            </w:r>
          </w:p>
        </w:tc>
      </w:tr>
      <w:tr w:rsidR="00A23BC1" w:rsidRPr="00DB18A4" w:rsidTr="00A23BC1">
        <w:trPr>
          <w:trHeight w:val="444"/>
        </w:trPr>
        <w:tc>
          <w:tcPr>
            <w:tcW w:w="1482" w:type="dxa"/>
            <w:vAlign w:val="center"/>
          </w:tcPr>
          <w:p w:rsidR="00A23BC1" w:rsidRPr="00DB18A4" w:rsidRDefault="00A23BC1" w:rsidP="002540DB">
            <w:pPr>
              <w:rPr>
                <w:sz w:val="18"/>
                <w:szCs w:val="18"/>
              </w:rPr>
            </w:pPr>
            <w:r w:rsidRPr="00DB18A4">
              <w:rPr>
                <w:sz w:val="18"/>
                <w:szCs w:val="18"/>
              </w:rPr>
              <w:t>D8x5</w:t>
            </w:r>
          </w:p>
        </w:tc>
        <w:tc>
          <w:tcPr>
            <w:tcW w:w="6598" w:type="dxa"/>
            <w:vAlign w:val="center"/>
          </w:tcPr>
          <w:p w:rsidR="00A23BC1" w:rsidRPr="00DB18A4" w:rsidRDefault="00A23BC1" w:rsidP="002540DB">
            <w:pPr>
              <w:rPr>
                <w:sz w:val="18"/>
                <w:szCs w:val="18"/>
              </w:rPr>
            </w:pPr>
            <w:r w:rsidRPr="00DB18A4">
              <w:rPr>
                <w:rFonts w:eastAsia="Calibri"/>
                <w:sz w:val="18"/>
                <w:szCs w:val="18"/>
                <w:lang w:eastAsia="en-US"/>
              </w:rPr>
              <w:t xml:space="preserve">Dostupnost 8x5 (8:00 – 16:00; Po-Pá) </w:t>
            </w:r>
            <w:r w:rsidRPr="00DB18A4">
              <w:rPr>
                <w:sz w:val="18"/>
                <w:szCs w:val="18"/>
              </w:rPr>
              <w:t xml:space="preserve">– viz příloha č. 1 kapitola II. Terminologie, </w:t>
            </w:r>
            <w:proofErr w:type="gramStart"/>
            <w:r w:rsidRPr="00DB18A4">
              <w:rPr>
                <w:sz w:val="18"/>
                <w:szCs w:val="18"/>
              </w:rPr>
              <w:t>odst.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_Ref366756253 \r \h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2.16</w:t>
            </w:r>
            <w:proofErr w:type="gramEnd"/>
            <w:r>
              <w:rPr>
                <w:sz w:val="18"/>
                <w:szCs w:val="18"/>
              </w:rPr>
              <w:fldChar w:fldCharType="end"/>
            </w:r>
            <w:r w:rsidRPr="00DB18A4">
              <w:rPr>
                <w:sz w:val="18"/>
                <w:szCs w:val="18"/>
              </w:rPr>
              <w:t xml:space="preserve"> </w:t>
            </w:r>
          </w:p>
        </w:tc>
      </w:tr>
      <w:tr w:rsidR="00A23BC1" w:rsidRPr="00DB18A4" w:rsidTr="00A23BC1">
        <w:trPr>
          <w:trHeight w:val="215"/>
        </w:trPr>
        <w:tc>
          <w:tcPr>
            <w:tcW w:w="1482" w:type="dxa"/>
            <w:vAlign w:val="center"/>
          </w:tcPr>
          <w:p w:rsidR="00A23BC1" w:rsidRPr="00DB18A4" w:rsidRDefault="00A23BC1" w:rsidP="002540DB">
            <w:pPr>
              <w:rPr>
                <w:sz w:val="18"/>
                <w:szCs w:val="18"/>
              </w:rPr>
            </w:pPr>
            <w:r w:rsidRPr="00DB18A4">
              <w:rPr>
                <w:sz w:val="18"/>
                <w:szCs w:val="18"/>
              </w:rPr>
              <w:t>RD8H</w:t>
            </w:r>
          </w:p>
        </w:tc>
        <w:tc>
          <w:tcPr>
            <w:tcW w:w="6598" w:type="dxa"/>
            <w:vAlign w:val="center"/>
          </w:tcPr>
          <w:p w:rsidR="00A23BC1" w:rsidRPr="00DB18A4" w:rsidRDefault="00A23BC1" w:rsidP="002540DB">
            <w:pPr>
              <w:rPr>
                <w:sz w:val="18"/>
                <w:szCs w:val="18"/>
              </w:rPr>
            </w:pPr>
            <w:r w:rsidRPr="00DB18A4">
              <w:rPr>
                <w:sz w:val="18"/>
                <w:szCs w:val="18"/>
              </w:rPr>
              <w:t xml:space="preserve">Reakční doba 8 hodin pro Chyby s vysokou prioritou – viz příloha č. 1 kapitola II. Terminologie, </w:t>
            </w:r>
            <w:proofErr w:type="gramStart"/>
            <w:r w:rsidRPr="00DB18A4">
              <w:rPr>
                <w:sz w:val="18"/>
                <w:szCs w:val="18"/>
              </w:rPr>
              <w:t xml:space="preserve">odst.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_Ref366756272 \r \h  \* MERGEFORMAT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2.19</w:t>
            </w:r>
            <w:proofErr w:type="gramEnd"/>
            <w:r>
              <w:rPr>
                <w:sz w:val="18"/>
                <w:szCs w:val="18"/>
              </w:rPr>
              <w:fldChar w:fldCharType="end"/>
            </w:r>
          </w:p>
        </w:tc>
      </w:tr>
      <w:tr w:rsidR="00A23BC1" w:rsidRPr="00DB18A4" w:rsidTr="00A23BC1">
        <w:trPr>
          <w:trHeight w:val="444"/>
        </w:trPr>
        <w:tc>
          <w:tcPr>
            <w:tcW w:w="1482" w:type="dxa"/>
            <w:vAlign w:val="center"/>
          </w:tcPr>
          <w:p w:rsidR="00A23BC1" w:rsidRPr="00DB18A4" w:rsidRDefault="00A23BC1" w:rsidP="002540DB">
            <w:pPr>
              <w:rPr>
                <w:sz w:val="18"/>
                <w:szCs w:val="18"/>
              </w:rPr>
            </w:pPr>
            <w:r w:rsidRPr="00DB18A4">
              <w:rPr>
                <w:sz w:val="18"/>
                <w:szCs w:val="18"/>
              </w:rPr>
              <w:t>DOZB36H</w:t>
            </w:r>
          </w:p>
        </w:tc>
        <w:tc>
          <w:tcPr>
            <w:tcW w:w="6598" w:type="dxa"/>
            <w:vAlign w:val="center"/>
          </w:tcPr>
          <w:p w:rsidR="00A23BC1" w:rsidRPr="00DB18A4" w:rsidRDefault="00A23BC1" w:rsidP="002540DB">
            <w:pPr>
              <w:rPr>
                <w:sz w:val="18"/>
                <w:szCs w:val="18"/>
              </w:rPr>
            </w:pPr>
            <w:r w:rsidRPr="00DB18A4">
              <w:rPr>
                <w:sz w:val="18"/>
                <w:szCs w:val="18"/>
              </w:rPr>
              <w:t xml:space="preserve">Doba odstranění Chyby/závady – </w:t>
            </w:r>
            <w:proofErr w:type="spellStart"/>
            <w:r w:rsidRPr="00DB18A4">
              <w:rPr>
                <w:sz w:val="18"/>
                <w:szCs w:val="18"/>
              </w:rPr>
              <w:t>blocker</w:t>
            </w:r>
            <w:proofErr w:type="spellEnd"/>
            <w:r w:rsidRPr="00DB18A4">
              <w:rPr>
                <w:sz w:val="18"/>
                <w:szCs w:val="18"/>
              </w:rPr>
              <w:t xml:space="preserve"> 36 hodin – viz příloha č. 1 kapitola II. Terminologie,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odst.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_Ref366756300 \r \h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2.20</w:t>
            </w:r>
            <w:proofErr w:type="gramEnd"/>
            <w:r>
              <w:rPr>
                <w:sz w:val="18"/>
                <w:szCs w:val="18"/>
              </w:rPr>
              <w:fldChar w:fldCharType="end"/>
            </w:r>
          </w:p>
        </w:tc>
      </w:tr>
      <w:tr w:rsidR="00A23BC1" w:rsidRPr="00DB18A4" w:rsidTr="00A23BC1">
        <w:trPr>
          <w:trHeight w:val="215"/>
        </w:trPr>
        <w:tc>
          <w:tcPr>
            <w:tcW w:w="1482" w:type="dxa"/>
            <w:vAlign w:val="center"/>
          </w:tcPr>
          <w:p w:rsidR="00A23BC1" w:rsidRPr="00DB18A4" w:rsidRDefault="00A23BC1" w:rsidP="002540DB">
            <w:pPr>
              <w:rPr>
                <w:sz w:val="18"/>
                <w:szCs w:val="18"/>
              </w:rPr>
            </w:pPr>
            <w:r w:rsidRPr="00DB18A4">
              <w:rPr>
                <w:sz w:val="18"/>
                <w:szCs w:val="18"/>
              </w:rPr>
              <w:t>DOZC56H</w:t>
            </w:r>
          </w:p>
        </w:tc>
        <w:tc>
          <w:tcPr>
            <w:tcW w:w="6598" w:type="dxa"/>
            <w:vAlign w:val="center"/>
          </w:tcPr>
          <w:p w:rsidR="00A23BC1" w:rsidRPr="00DB18A4" w:rsidRDefault="00A23BC1" w:rsidP="002540DB">
            <w:pPr>
              <w:rPr>
                <w:sz w:val="18"/>
                <w:szCs w:val="18"/>
              </w:rPr>
            </w:pPr>
            <w:r w:rsidRPr="00DB18A4">
              <w:rPr>
                <w:sz w:val="18"/>
                <w:szCs w:val="18"/>
              </w:rPr>
              <w:t xml:space="preserve">Doba odstranění Chyby/závady – </w:t>
            </w:r>
            <w:proofErr w:type="spellStart"/>
            <w:r w:rsidRPr="00DB18A4">
              <w:rPr>
                <w:sz w:val="18"/>
                <w:szCs w:val="18"/>
              </w:rPr>
              <w:t>critical</w:t>
            </w:r>
            <w:proofErr w:type="spellEnd"/>
            <w:r w:rsidRPr="00DB18A4">
              <w:rPr>
                <w:sz w:val="18"/>
                <w:szCs w:val="18"/>
              </w:rPr>
              <w:t xml:space="preserve"> 56 hodin</w:t>
            </w:r>
          </w:p>
        </w:tc>
      </w:tr>
      <w:tr w:rsidR="00A23BC1" w:rsidRPr="00DB18A4" w:rsidTr="00A23BC1">
        <w:trPr>
          <w:trHeight w:val="215"/>
        </w:trPr>
        <w:tc>
          <w:tcPr>
            <w:tcW w:w="1482" w:type="dxa"/>
            <w:vAlign w:val="center"/>
          </w:tcPr>
          <w:p w:rsidR="00A23BC1" w:rsidRPr="00DB18A4" w:rsidRDefault="00A23BC1" w:rsidP="002540DB">
            <w:pPr>
              <w:rPr>
                <w:sz w:val="18"/>
                <w:szCs w:val="18"/>
              </w:rPr>
            </w:pPr>
            <w:r w:rsidRPr="00DB18A4">
              <w:rPr>
                <w:sz w:val="18"/>
                <w:szCs w:val="18"/>
              </w:rPr>
              <w:t>RD24H</w:t>
            </w:r>
          </w:p>
        </w:tc>
        <w:tc>
          <w:tcPr>
            <w:tcW w:w="6598" w:type="dxa"/>
            <w:vAlign w:val="center"/>
          </w:tcPr>
          <w:p w:rsidR="00A23BC1" w:rsidRPr="00DB18A4" w:rsidRDefault="00A23BC1" w:rsidP="002540DB">
            <w:pPr>
              <w:rPr>
                <w:sz w:val="18"/>
                <w:szCs w:val="18"/>
              </w:rPr>
            </w:pPr>
            <w:r w:rsidRPr="00DB18A4">
              <w:rPr>
                <w:sz w:val="18"/>
                <w:szCs w:val="18"/>
              </w:rPr>
              <w:t xml:space="preserve">Reakční doba 24 hodin pro Chyby s nízkou prioritou – viz příloha č. 1 kapitola II. Terminologie, </w:t>
            </w:r>
            <w:proofErr w:type="gramStart"/>
            <w:r w:rsidRPr="00DB18A4">
              <w:rPr>
                <w:sz w:val="18"/>
                <w:szCs w:val="18"/>
              </w:rPr>
              <w:t xml:space="preserve">odst.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_Ref366756272 \r \h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2.19</w:t>
            </w:r>
            <w:proofErr w:type="gramEnd"/>
            <w:r>
              <w:rPr>
                <w:sz w:val="18"/>
                <w:szCs w:val="18"/>
              </w:rPr>
              <w:fldChar w:fldCharType="end"/>
            </w:r>
          </w:p>
        </w:tc>
      </w:tr>
      <w:tr w:rsidR="00A23BC1" w:rsidRPr="00DB18A4" w:rsidTr="00A23BC1">
        <w:trPr>
          <w:trHeight w:val="230"/>
        </w:trPr>
        <w:tc>
          <w:tcPr>
            <w:tcW w:w="1482" w:type="dxa"/>
            <w:vAlign w:val="center"/>
          </w:tcPr>
          <w:p w:rsidR="00A23BC1" w:rsidRPr="00DB18A4" w:rsidRDefault="00A23BC1" w:rsidP="002540DB">
            <w:pPr>
              <w:rPr>
                <w:sz w:val="18"/>
                <w:szCs w:val="18"/>
              </w:rPr>
            </w:pPr>
            <w:r w:rsidRPr="00DB18A4">
              <w:rPr>
                <w:sz w:val="18"/>
                <w:szCs w:val="18"/>
              </w:rPr>
              <w:t>DOZM240H</w:t>
            </w:r>
          </w:p>
        </w:tc>
        <w:tc>
          <w:tcPr>
            <w:tcW w:w="6598" w:type="dxa"/>
            <w:vAlign w:val="center"/>
          </w:tcPr>
          <w:p w:rsidR="00A23BC1" w:rsidRPr="00DB18A4" w:rsidRDefault="00A23BC1" w:rsidP="002540DB">
            <w:pPr>
              <w:rPr>
                <w:sz w:val="18"/>
                <w:szCs w:val="18"/>
              </w:rPr>
            </w:pPr>
            <w:r w:rsidRPr="00DB18A4">
              <w:rPr>
                <w:sz w:val="18"/>
                <w:szCs w:val="18"/>
              </w:rPr>
              <w:t>Doba odstranění Chyby/závady - major 240 hodin (30 dnů)</w:t>
            </w:r>
          </w:p>
        </w:tc>
      </w:tr>
      <w:tr w:rsidR="00A23BC1" w:rsidRPr="00DB18A4" w:rsidTr="00A23BC1">
        <w:trPr>
          <w:trHeight w:val="215"/>
        </w:trPr>
        <w:tc>
          <w:tcPr>
            <w:tcW w:w="1482" w:type="dxa"/>
            <w:vAlign w:val="center"/>
          </w:tcPr>
          <w:p w:rsidR="00A23BC1" w:rsidRPr="00DB18A4" w:rsidRDefault="00A23BC1" w:rsidP="002540DB">
            <w:pPr>
              <w:rPr>
                <w:sz w:val="18"/>
                <w:szCs w:val="18"/>
              </w:rPr>
            </w:pPr>
            <w:r w:rsidRPr="00DB18A4">
              <w:rPr>
                <w:sz w:val="18"/>
                <w:szCs w:val="18"/>
              </w:rPr>
              <w:t>DOZT480H</w:t>
            </w:r>
          </w:p>
        </w:tc>
        <w:tc>
          <w:tcPr>
            <w:tcW w:w="6598" w:type="dxa"/>
            <w:vAlign w:val="center"/>
          </w:tcPr>
          <w:p w:rsidR="00A23BC1" w:rsidRPr="00DB18A4" w:rsidRDefault="00A23BC1" w:rsidP="002540DB">
            <w:pPr>
              <w:rPr>
                <w:sz w:val="18"/>
                <w:szCs w:val="18"/>
              </w:rPr>
            </w:pPr>
            <w:r w:rsidRPr="00DB18A4">
              <w:rPr>
                <w:sz w:val="18"/>
                <w:szCs w:val="18"/>
              </w:rPr>
              <w:t xml:space="preserve">Doba odstranění Chyby/závady - minor a </w:t>
            </w:r>
            <w:proofErr w:type="spellStart"/>
            <w:r w:rsidRPr="00DB18A4">
              <w:rPr>
                <w:sz w:val="18"/>
                <w:szCs w:val="18"/>
              </w:rPr>
              <w:t>trivial</w:t>
            </w:r>
            <w:proofErr w:type="spellEnd"/>
            <w:r w:rsidRPr="00DB18A4">
              <w:rPr>
                <w:sz w:val="18"/>
                <w:szCs w:val="18"/>
              </w:rPr>
              <w:t xml:space="preserve"> v rámci další nasazované verze</w:t>
            </w:r>
          </w:p>
        </w:tc>
      </w:tr>
      <w:tr w:rsidR="00A23BC1" w:rsidRPr="00DB18A4" w:rsidTr="00A23BC1">
        <w:trPr>
          <w:trHeight w:val="215"/>
        </w:trPr>
        <w:tc>
          <w:tcPr>
            <w:tcW w:w="1482" w:type="dxa"/>
            <w:vAlign w:val="center"/>
          </w:tcPr>
          <w:p w:rsidR="00A23BC1" w:rsidRPr="00DB18A4" w:rsidRDefault="00A23BC1" w:rsidP="002540DB">
            <w:pPr>
              <w:rPr>
                <w:sz w:val="18"/>
                <w:szCs w:val="18"/>
              </w:rPr>
            </w:pPr>
            <w:r w:rsidRPr="00DB18A4">
              <w:rPr>
                <w:sz w:val="18"/>
                <w:szCs w:val="18"/>
              </w:rPr>
              <w:t>AKTUL</w:t>
            </w:r>
          </w:p>
        </w:tc>
        <w:tc>
          <w:tcPr>
            <w:tcW w:w="6598" w:type="dxa"/>
            <w:vAlign w:val="bottom"/>
          </w:tcPr>
          <w:p w:rsidR="00A23BC1" w:rsidRPr="00DB18A4" w:rsidRDefault="00A23BC1" w:rsidP="002540DB">
            <w:pPr>
              <w:rPr>
                <w:sz w:val="18"/>
                <w:szCs w:val="18"/>
              </w:rPr>
            </w:pPr>
            <w:proofErr w:type="spellStart"/>
            <w:r w:rsidRPr="00DB18A4">
              <w:rPr>
                <w:sz w:val="18"/>
                <w:szCs w:val="18"/>
              </w:rPr>
              <w:t>Hotfix</w:t>
            </w:r>
            <w:proofErr w:type="spellEnd"/>
            <w:r w:rsidRPr="00DB18A4">
              <w:rPr>
                <w:sz w:val="18"/>
                <w:szCs w:val="18"/>
              </w:rPr>
              <w:t xml:space="preserve"> aktualizace – viz příloha č. 1 kapitola II. Terminologie, </w:t>
            </w:r>
            <w:proofErr w:type="gramStart"/>
            <w:r w:rsidRPr="00DB18A4">
              <w:rPr>
                <w:sz w:val="18"/>
                <w:szCs w:val="18"/>
              </w:rPr>
              <w:t xml:space="preserve">odst.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_Ref430686794 \r \h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2.28</w:t>
            </w:r>
            <w:proofErr w:type="gramEnd"/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301BA6" w:rsidRPr="00301BA6" w:rsidRDefault="00301BA6" w:rsidP="00301BA6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301BA6">
        <w:rPr>
          <w:lang w:val="cs-CZ"/>
        </w:rPr>
        <w:t xml:space="preserve">Poskytovatel nijak neodpovídá za nedostupnost Aplikace </w:t>
      </w:r>
      <w:r w:rsidR="007C715E">
        <w:rPr>
          <w:lang w:val="cs-CZ"/>
        </w:rPr>
        <w:t xml:space="preserve">prokazatelně </w:t>
      </w:r>
      <w:r w:rsidRPr="00301BA6">
        <w:rPr>
          <w:lang w:val="cs-CZ"/>
        </w:rPr>
        <w:t xml:space="preserve">způsobenou technologiemi (hardware, software), </w:t>
      </w:r>
    </w:p>
    <w:p w:rsidR="00301BA6" w:rsidRPr="00301BA6" w:rsidRDefault="00301BA6" w:rsidP="00301BA6">
      <w:pPr>
        <w:pStyle w:val="Odstavecsmlouvy"/>
        <w:numPr>
          <w:ilvl w:val="0"/>
          <w:numId w:val="33"/>
        </w:numPr>
        <w:rPr>
          <w:lang w:val="cs-CZ"/>
        </w:rPr>
      </w:pPr>
      <w:r w:rsidRPr="00301BA6">
        <w:rPr>
          <w:lang w:val="cs-CZ"/>
        </w:rPr>
        <w:t>na nichž je Aplikace provozována a/nebo</w:t>
      </w:r>
    </w:p>
    <w:p w:rsidR="00301BA6" w:rsidRPr="00301BA6" w:rsidRDefault="00301BA6" w:rsidP="00301BA6">
      <w:pPr>
        <w:pStyle w:val="Odstavecsmlouvy"/>
        <w:numPr>
          <w:ilvl w:val="0"/>
          <w:numId w:val="33"/>
        </w:numPr>
        <w:rPr>
          <w:lang w:val="cs-CZ"/>
        </w:rPr>
      </w:pPr>
      <w:r w:rsidRPr="00301BA6">
        <w:rPr>
          <w:lang w:val="cs-CZ"/>
        </w:rPr>
        <w:t xml:space="preserve">které slouží pro připojení k Aplikaci a/nebo k technologiím, na nichž je Aplikace provozována </w:t>
      </w:r>
    </w:p>
    <w:p w:rsidR="00301BA6" w:rsidRPr="00301BA6" w:rsidRDefault="00301BA6" w:rsidP="00301BA6">
      <w:pPr>
        <w:pStyle w:val="Odstavecsmlouvy"/>
        <w:numPr>
          <w:ilvl w:val="0"/>
          <w:numId w:val="0"/>
        </w:numPr>
        <w:ind w:left="567"/>
        <w:rPr>
          <w:lang w:val="cs-CZ"/>
        </w:rPr>
      </w:pPr>
      <w:r w:rsidRPr="00301BA6">
        <w:rPr>
          <w:lang w:val="cs-CZ"/>
        </w:rPr>
        <w:t>pokud tyto nebyly poskytnuty Poskytovatelem za účelem provozování Aplikace, nebo pokud takto Poskytovatelem poskytnuty byly, avšak byla na nich provedena změna, jež nebyla ze strany Poskytovatele pro provozování Aplikace autorizována.</w:t>
      </w:r>
    </w:p>
    <w:p w:rsidR="00301BA6" w:rsidRPr="00301BA6" w:rsidRDefault="00301BA6" w:rsidP="00301BA6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301BA6">
        <w:rPr>
          <w:lang w:val="cs-CZ"/>
        </w:rPr>
        <w:t xml:space="preserve">Objednatel je v případě uplatnění nároku vůči Poskytovateli z titulu nedostupnosti Aplikace povinen </w:t>
      </w:r>
      <w:r w:rsidR="007C715E">
        <w:rPr>
          <w:lang w:val="cs-CZ"/>
        </w:rPr>
        <w:t xml:space="preserve">přiměřeným způsobem </w:t>
      </w:r>
      <w:r w:rsidRPr="00301BA6">
        <w:rPr>
          <w:lang w:val="cs-CZ"/>
        </w:rPr>
        <w:t>prokázat, že veškeré výše uvedené technologie fungovaly správně a že za nedostupnost Aplikace je odpovědný Poskytovatel.</w:t>
      </w:r>
      <w:r w:rsidR="007C715E">
        <w:rPr>
          <w:lang w:val="cs-CZ"/>
        </w:rPr>
        <w:t xml:space="preserve"> Poskytovatel je povinen za účelem zjištění odpovědnosti zpřístupnit Objednateli všechna přístupná data informace o běhu Aplikace.</w:t>
      </w:r>
    </w:p>
    <w:p w:rsidR="00301BA6" w:rsidRPr="00301BA6" w:rsidRDefault="00301BA6" w:rsidP="00301BA6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301BA6">
        <w:rPr>
          <w:lang w:val="cs-CZ"/>
        </w:rPr>
        <w:lastRenderedPageBreak/>
        <w:t>Poskytovatel žádným způsobem neodpovídá za nedostupnost Aplikace způsobenou třetí stranou, nebo událostí, za kterou tato strana odpovídá, nebo k níž došlo z důvodu překážek vylučujících odpovědnost, jak jsou vymezeny v § 2913 odst. 2 občanského zákoníku, v platném znění.</w:t>
      </w:r>
    </w:p>
    <w:p w:rsidR="007D0099" w:rsidRPr="00B20576" w:rsidRDefault="007D0099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 xml:space="preserve">Další podmínky </w:t>
      </w:r>
      <w:r w:rsidR="001858F7">
        <w:rPr>
          <w:lang w:val="cs-CZ"/>
        </w:rPr>
        <w:t xml:space="preserve">mimozáruční </w:t>
      </w:r>
      <w:r w:rsidRPr="00B20576">
        <w:rPr>
          <w:lang w:val="cs-CZ"/>
        </w:rPr>
        <w:t>servisní podpory</w:t>
      </w:r>
      <w:r w:rsidR="006D770C" w:rsidRPr="00B20576">
        <w:rPr>
          <w:lang w:val="cs-CZ"/>
        </w:rPr>
        <w:t xml:space="preserve"> jsou</w:t>
      </w:r>
      <w:r w:rsidRPr="00B20576">
        <w:rPr>
          <w:lang w:val="cs-CZ"/>
        </w:rPr>
        <w:t xml:space="preserve"> uvedeny v Příloze č. 1</w:t>
      </w:r>
      <w:r w:rsidR="002F26D8" w:rsidRPr="00B20576">
        <w:rPr>
          <w:lang w:val="cs-CZ"/>
        </w:rPr>
        <w:t xml:space="preserve"> této Smlouvy</w:t>
      </w:r>
      <w:r w:rsidRPr="00B20576">
        <w:rPr>
          <w:lang w:val="cs-CZ"/>
        </w:rPr>
        <w:t>.</w:t>
      </w:r>
      <w:r w:rsidR="00267A64">
        <w:rPr>
          <w:lang w:val="cs-CZ"/>
        </w:rPr>
        <w:t xml:space="preserve"> V případě rozporu mezi textem smlouvy a textem přílohy 1 má přednost text smlouvy.</w:t>
      </w:r>
    </w:p>
    <w:p w:rsidR="009C60D3" w:rsidRDefault="009C60D3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>Pro případ nutného zásahu Poskytovatele s ohledem na udržení Produktu v chodu jsou stanoveny tyto osoby:</w:t>
      </w:r>
    </w:p>
    <w:p w:rsidR="00301BA6" w:rsidRPr="00301BA6" w:rsidRDefault="00301BA6" w:rsidP="00E0003F">
      <w:pPr>
        <w:pStyle w:val="Odstavecsmlouvy"/>
        <w:keepLines/>
        <w:numPr>
          <w:ilvl w:val="0"/>
          <w:numId w:val="9"/>
        </w:numPr>
        <w:ind w:left="567" w:hanging="567"/>
        <w:rPr>
          <w:lang w:val="cs-CZ"/>
        </w:rPr>
      </w:pPr>
      <w:r w:rsidRPr="00301BA6">
        <w:rPr>
          <w:lang w:val="cs-CZ"/>
        </w:rPr>
        <w:t>Za Poskytovatele:</w:t>
      </w:r>
    </w:p>
    <w:tbl>
      <w:tblPr>
        <w:tblW w:w="8080" w:type="dxa"/>
        <w:tblInd w:w="675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1843"/>
        <w:gridCol w:w="2585"/>
        <w:gridCol w:w="3652"/>
      </w:tblGrid>
      <w:tr w:rsidR="00301BA6" w:rsidRPr="00B20576" w:rsidTr="005B78C9">
        <w:tc>
          <w:tcPr>
            <w:tcW w:w="1843" w:type="dxa"/>
            <w:shd w:val="clear" w:color="auto" w:fill="D9D9D9"/>
          </w:tcPr>
          <w:p w:rsidR="00301BA6" w:rsidRPr="00B20576" w:rsidRDefault="00301BA6" w:rsidP="002540DB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Jméno a příjmení</w:t>
            </w:r>
          </w:p>
        </w:tc>
        <w:tc>
          <w:tcPr>
            <w:tcW w:w="2585" w:type="dxa"/>
            <w:shd w:val="clear" w:color="auto" w:fill="D9D9D9"/>
          </w:tcPr>
          <w:p w:rsidR="00301BA6" w:rsidRPr="00B20576" w:rsidRDefault="00301BA6" w:rsidP="002540DB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Odpovědnost</w:t>
            </w:r>
          </w:p>
        </w:tc>
        <w:tc>
          <w:tcPr>
            <w:tcW w:w="3652" w:type="dxa"/>
            <w:shd w:val="clear" w:color="auto" w:fill="D9D9D9"/>
          </w:tcPr>
          <w:p w:rsidR="00301BA6" w:rsidRPr="00B20576" w:rsidRDefault="009D6DA6" w:rsidP="009D6DA6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>
              <w:rPr>
                <w:b/>
                <w:bCs/>
                <w:color w:val="920042"/>
              </w:rPr>
              <w:t>Kontakt</w:t>
            </w:r>
          </w:p>
        </w:tc>
      </w:tr>
      <w:tr w:rsidR="00301BA6" w:rsidRPr="00B20576" w:rsidTr="005B78C9">
        <w:tc>
          <w:tcPr>
            <w:tcW w:w="1843" w:type="dxa"/>
          </w:tcPr>
          <w:p w:rsidR="00301BA6" w:rsidRPr="00B20576" w:rsidRDefault="00FA3976" w:rsidP="002540DB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585" w:type="dxa"/>
          </w:tcPr>
          <w:p w:rsidR="00301BA6" w:rsidRPr="00B20576" w:rsidRDefault="00FA3976" w:rsidP="002540DB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652" w:type="dxa"/>
          </w:tcPr>
          <w:p w:rsidR="00301BA6" w:rsidRPr="00B20576" w:rsidRDefault="00FA3976" w:rsidP="00FA3976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 w:rsidR="00301BA6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</w:tr>
    </w:tbl>
    <w:p w:rsidR="00301BA6" w:rsidRPr="00301BA6" w:rsidRDefault="00301BA6" w:rsidP="00E0003F">
      <w:pPr>
        <w:pStyle w:val="Odstavecsmlouvy"/>
        <w:keepNext/>
        <w:keepLines/>
        <w:numPr>
          <w:ilvl w:val="0"/>
          <w:numId w:val="9"/>
        </w:numPr>
        <w:ind w:left="567" w:hanging="567"/>
        <w:rPr>
          <w:lang w:val="cs-CZ"/>
        </w:rPr>
      </w:pPr>
      <w:r w:rsidRPr="00301BA6">
        <w:rPr>
          <w:lang w:val="cs-CZ"/>
        </w:rPr>
        <w:t>Za Uživatele:</w:t>
      </w:r>
    </w:p>
    <w:tbl>
      <w:tblPr>
        <w:tblW w:w="0" w:type="auto"/>
        <w:tblInd w:w="675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1843"/>
        <w:gridCol w:w="2552"/>
        <w:gridCol w:w="3721"/>
      </w:tblGrid>
      <w:tr w:rsidR="009C60D3" w:rsidRPr="00B20576" w:rsidTr="005B78C9">
        <w:tc>
          <w:tcPr>
            <w:tcW w:w="1843" w:type="dxa"/>
            <w:shd w:val="clear" w:color="auto" w:fill="D9D9D9"/>
          </w:tcPr>
          <w:p w:rsidR="009C60D3" w:rsidRPr="00B20576" w:rsidRDefault="009C60D3" w:rsidP="006D770C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Jméno a příjmení</w:t>
            </w:r>
          </w:p>
        </w:tc>
        <w:tc>
          <w:tcPr>
            <w:tcW w:w="2552" w:type="dxa"/>
            <w:shd w:val="clear" w:color="auto" w:fill="D9D9D9"/>
          </w:tcPr>
          <w:p w:rsidR="009C60D3" w:rsidRPr="00B20576" w:rsidRDefault="009C60D3" w:rsidP="006D770C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Odpovědnost</w:t>
            </w:r>
          </w:p>
        </w:tc>
        <w:tc>
          <w:tcPr>
            <w:tcW w:w="3721" w:type="dxa"/>
            <w:shd w:val="clear" w:color="auto" w:fill="D9D9D9"/>
          </w:tcPr>
          <w:p w:rsidR="009C60D3" w:rsidRPr="00B20576" w:rsidRDefault="009C60D3" w:rsidP="009D6DA6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 xml:space="preserve">Kontakt </w:t>
            </w:r>
          </w:p>
        </w:tc>
      </w:tr>
      <w:tr w:rsidR="00294447" w:rsidTr="005B7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tcBorders>
              <w:top w:val="nil"/>
              <w:left w:val="single" w:sz="8" w:space="0" w:color="CA005D"/>
              <w:bottom w:val="single" w:sz="8" w:space="0" w:color="CA005D"/>
              <w:right w:val="single" w:sz="8" w:space="0" w:color="CA005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47" w:rsidRDefault="00FA3976">
            <w:pPr>
              <w:pStyle w:val="Tabulkatext0"/>
              <w:keepNext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47" w:rsidRDefault="00FA3976">
            <w:pPr>
              <w:pStyle w:val="Tabulkatext0"/>
              <w:keepNext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47" w:rsidRDefault="00FA3976">
            <w:pPr>
              <w:pStyle w:val="Tabulkatext0"/>
              <w:keepNext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 w:rsidR="00294447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  <w:szCs w:val="18"/>
              </w:rPr>
              <w:t>xxx</w:t>
            </w:r>
            <w:proofErr w:type="spellEnd"/>
          </w:p>
        </w:tc>
      </w:tr>
      <w:tr w:rsidR="00294447" w:rsidTr="005B7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tcBorders>
              <w:top w:val="nil"/>
              <w:left w:val="single" w:sz="8" w:space="0" w:color="CA005D"/>
              <w:bottom w:val="single" w:sz="8" w:space="0" w:color="CA005D"/>
              <w:right w:val="single" w:sz="8" w:space="0" w:color="CA005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47" w:rsidRDefault="00FA3976">
            <w:pPr>
              <w:pStyle w:val="Tabulkatext0"/>
              <w:keepNext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47" w:rsidRDefault="00FA3976">
            <w:pPr>
              <w:pStyle w:val="Tabulkatext0"/>
              <w:keepNext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447" w:rsidRDefault="00FA3976">
            <w:pPr>
              <w:pStyle w:val="Tabulkatext0"/>
              <w:keepNext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 w:rsidR="00294447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  <w:szCs w:val="18"/>
              </w:rPr>
              <w:t>xxx</w:t>
            </w:r>
            <w:proofErr w:type="spellEnd"/>
          </w:p>
        </w:tc>
      </w:tr>
    </w:tbl>
    <w:p w:rsidR="009C60D3" w:rsidRPr="00B20576" w:rsidRDefault="009C60D3" w:rsidP="001321FA">
      <w:pPr>
        <w:pStyle w:val="Odstavecsmlouvy"/>
        <w:keepLines/>
        <w:numPr>
          <w:ilvl w:val="0"/>
          <w:numId w:val="0"/>
        </w:numPr>
        <w:ind w:left="567"/>
        <w:rPr>
          <w:lang w:val="cs-CZ"/>
        </w:rPr>
      </w:pPr>
      <w:r w:rsidRPr="00B20576">
        <w:rPr>
          <w:lang w:val="cs-CZ"/>
        </w:rPr>
        <w:t>Tuto osobu bude Poskytovatel v případě potřeby kontaktovat a Uživatel se zavazuje zajistit její plnou součinnost</w:t>
      </w:r>
      <w:r w:rsidR="00596A5F">
        <w:rPr>
          <w:lang w:val="cs-CZ"/>
        </w:rPr>
        <w:t>.</w:t>
      </w:r>
    </w:p>
    <w:p w:rsidR="00C3087B" w:rsidRPr="00C3087B" w:rsidRDefault="00C3087B" w:rsidP="00C3087B">
      <w:pPr>
        <w:pStyle w:val="Odstavecseseznamem"/>
        <w:keepNext/>
        <w:keepLines/>
        <w:numPr>
          <w:ilvl w:val="1"/>
          <w:numId w:val="9"/>
        </w:numPr>
        <w:spacing w:before="120" w:after="120"/>
        <w:jc w:val="both"/>
        <w:outlineLvl w:val="1"/>
        <w:rPr>
          <w:rFonts w:cs="Times New Roman"/>
          <w:vanish/>
          <w:sz w:val="20"/>
          <w:szCs w:val="20"/>
          <w:lang w:eastAsia="en-US"/>
        </w:rPr>
      </w:pPr>
    </w:p>
    <w:p w:rsidR="00C3087B" w:rsidRPr="00C3087B" w:rsidRDefault="00C3087B" w:rsidP="00C3087B">
      <w:pPr>
        <w:pStyle w:val="Odstavecseseznamem"/>
        <w:keepNext/>
        <w:keepLines/>
        <w:numPr>
          <w:ilvl w:val="1"/>
          <w:numId w:val="9"/>
        </w:numPr>
        <w:spacing w:before="120" w:after="120"/>
        <w:jc w:val="both"/>
        <w:outlineLvl w:val="1"/>
        <w:rPr>
          <w:rFonts w:cs="Times New Roman"/>
          <w:vanish/>
          <w:sz w:val="20"/>
          <w:szCs w:val="20"/>
          <w:lang w:eastAsia="en-US"/>
        </w:rPr>
      </w:pPr>
    </w:p>
    <w:p w:rsidR="00C3087B" w:rsidRPr="00C3087B" w:rsidRDefault="00C3087B" w:rsidP="00C3087B">
      <w:pPr>
        <w:pStyle w:val="Odstavecseseznamem"/>
        <w:keepNext/>
        <w:keepLines/>
        <w:numPr>
          <w:ilvl w:val="1"/>
          <w:numId w:val="9"/>
        </w:numPr>
        <w:spacing w:before="120" w:after="120"/>
        <w:jc w:val="both"/>
        <w:outlineLvl w:val="1"/>
        <w:rPr>
          <w:rFonts w:cs="Times New Roman"/>
          <w:vanish/>
          <w:sz w:val="20"/>
          <w:szCs w:val="20"/>
          <w:lang w:eastAsia="en-US"/>
        </w:rPr>
      </w:pPr>
    </w:p>
    <w:p w:rsidR="00C3087B" w:rsidRPr="00C3087B" w:rsidRDefault="00C3087B" w:rsidP="00C3087B">
      <w:pPr>
        <w:pStyle w:val="Odstavecseseznamem"/>
        <w:keepNext/>
        <w:keepLines/>
        <w:numPr>
          <w:ilvl w:val="2"/>
          <w:numId w:val="9"/>
        </w:numPr>
        <w:spacing w:before="120" w:after="120"/>
        <w:jc w:val="both"/>
        <w:outlineLvl w:val="1"/>
        <w:rPr>
          <w:rFonts w:cs="Times New Roman"/>
          <w:vanish/>
          <w:sz w:val="20"/>
          <w:szCs w:val="20"/>
          <w:lang w:eastAsia="en-US"/>
        </w:rPr>
      </w:pPr>
    </w:p>
    <w:p w:rsidR="00C3087B" w:rsidRPr="00C3087B" w:rsidRDefault="00C3087B" w:rsidP="00C3087B">
      <w:pPr>
        <w:pStyle w:val="Odstavecseseznamem"/>
        <w:keepNext/>
        <w:keepLines/>
        <w:numPr>
          <w:ilvl w:val="2"/>
          <w:numId w:val="9"/>
        </w:numPr>
        <w:spacing w:before="120" w:after="120"/>
        <w:jc w:val="both"/>
        <w:outlineLvl w:val="1"/>
        <w:rPr>
          <w:rFonts w:cs="Times New Roman"/>
          <w:vanish/>
          <w:sz w:val="20"/>
          <w:szCs w:val="20"/>
          <w:lang w:eastAsia="en-US"/>
        </w:rPr>
      </w:pPr>
    </w:p>
    <w:p w:rsidR="00C3087B" w:rsidRPr="00C3087B" w:rsidRDefault="00C3087B" w:rsidP="00C3087B">
      <w:pPr>
        <w:pStyle w:val="Odstavecseseznamem"/>
        <w:keepNext/>
        <w:keepLines/>
        <w:numPr>
          <w:ilvl w:val="2"/>
          <w:numId w:val="9"/>
        </w:numPr>
        <w:spacing w:before="120" w:after="120"/>
        <w:jc w:val="both"/>
        <w:outlineLvl w:val="1"/>
        <w:rPr>
          <w:rFonts w:cs="Times New Roman"/>
          <w:vanish/>
          <w:sz w:val="20"/>
          <w:szCs w:val="20"/>
          <w:lang w:eastAsia="en-US"/>
        </w:rPr>
      </w:pPr>
    </w:p>
    <w:p w:rsidR="00C3087B" w:rsidRPr="00C3087B" w:rsidRDefault="00C3087B" w:rsidP="00C3087B">
      <w:pPr>
        <w:pStyle w:val="Odstavecseseznamem"/>
        <w:keepNext/>
        <w:keepLines/>
        <w:numPr>
          <w:ilvl w:val="2"/>
          <w:numId w:val="9"/>
        </w:numPr>
        <w:spacing w:before="120" w:after="120"/>
        <w:jc w:val="both"/>
        <w:outlineLvl w:val="1"/>
        <w:rPr>
          <w:rFonts w:cs="Times New Roman"/>
          <w:vanish/>
          <w:sz w:val="20"/>
          <w:szCs w:val="20"/>
          <w:lang w:eastAsia="en-US"/>
        </w:rPr>
      </w:pPr>
    </w:p>
    <w:p w:rsidR="00C3087B" w:rsidRPr="00C3087B" w:rsidRDefault="00C3087B" w:rsidP="00C3087B">
      <w:pPr>
        <w:pStyle w:val="Odstavecseseznamem"/>
        <w:keepNext/>
        <w:keepLines/>
        <w:numPr>
          <w:ilvl w:val="2"/>
          <w:numId w:val="9"/>
        </w:numPr>
        <w:spacing w:before="120" w:after="120"/>
        <w:jc w:val="both"/>
        <w:outlineLvl w:val="1"/>
        <w:rPr>
          <w:rFonts w:cs="Times New Roman"/>
          <w:vanish/>
          <w:sz w:val="20"/>
          <w:szCs w:val="20"/>
          <w:lang w:eastAsia="en-US"/>
        </w:rPr>
      </w:pPr>
    </w:p>
    <w:p w:rsidR="00C3087B" w:rsidRPr="00C3087B" w:rsidRDefault="00C3087B" w:rsidP="00C3087B">
      <w:pPr>
        <w:pStyle w:val="Odstavecseseznamem"/>
        <w:keepNext/>
        <w:keepLines/>
        <w:numPr>
          <w:ilvl w:val="2"/>
          <w:numId w:val="9"/>
        </w:numPr>
        <w:spacing w:before="120" w:after="120"/>
        <w:jc w:val="both"/>
        <w:outlineLvl w:val="1"/>
        <w:rPr>
          <w:rFonts w:cs="Times New Roman"/>
          <w:vanish/>
          <w:sz w:val="20"/>
          <w:szCs w:val="20"/>
          <w:lang w:eastAsia="en-US"/>
        </w:rPr>
      </w:pPr>
    </w:p>
    <w:p w:rsidR="006934F8" w:rsidRPr="00B20576" w:rsidRDefault="006934F8" w:rsidP="00C3087B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567"/>
        </w:tabs>
        <w:rPr>
          <w:lang w:val="cs-CZ"/>
        </w:rPr>
      </w:pPr>
      <w:r w:rsidRPr="00B20576">
        <w:rPr>
          <w:lang w:val="cs-CZ"/>
        </w:rPr>
        <w:t xml:space="preserve">Kalkulace ceny </w:t>
      </w:r>
      <w:r w:rsidR="001858F7">
        <w:rPr>
          <w:lang w:val="cs-CZ"/>
        </w:rPr>
        <w:t xml:space="preserve">mimozáruční </w:t>
      </w:r>
      <w:r w:rsidRPr="00B20576">
        <w:rPr>
          <w:lang w:val="cs-CZ"/>
        </w:rPr>
        <w:t>servisní</w:t>
      </w:r>
      <w:r w:rsidR="001858F7">
        <w:rPr>
          <w:lang w:val="cs-CZ"/>
        </w:rPr>
        <w:t xml:space="preserve"> podpory</w:t>
      </w:r>
      <w:r w:rsidRPr="00B20576">
        <w:rPr>
          <w:lang w:val="cs-CZ"/>
        </w:rPr>
        <w:t>:</w:t>
      </w:r>
    </w:p>
    <w:tbl>
      <w:tblPr>
        <w:tblW w:w="7230" w:type="dxa"/>
        <w:tblInd w:w="675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4012"/>
        <w:gridCol w:w="1658"/>
        <w:gridCol w:w="1560"/>
      </w:tblGrid>
      <w:tr w:rsidR="00D432B4" w:rsidRPr="00B20576" w:rsidTr="00D432B4">
        <w:tc>
          <w:tcPr>
            <w:tcW w:w="4012" w:type="dxa"/>
            <w:tcBorders>
              <w:bottom w:val="single" w:sz="4" w:space="0" w:color="CA005D"/>
            </w:tcBorders>
            <w:shd w:val="clear" w:color="auto" w:fill="D9D9D9"/>
          </w:tcPr>
          <w:p w:rsidR="00D432B4" w:rsidRPr="00B20576" w:rsidRDefault="00D432B4" w:rsidP="001321FA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Název služby</w:t>
            </w:r>
          </w:p>
        </w:tc>
        <w:tc>
          <w:tcPr>
            <w:tcW w:w="1658" w:type="dxa"/>
            <w:tcBorders>
              <w:bottom w:val="single" w:sz="4" w:space="0" w:color="CA005D"/>
            </w:tcBorders>
            <w:shd w:val="clear" w:color="auto" w:fill="D9D9D9"/>
          </w:tcPr>
          <w:p w:rsidR="00D432B4" w:rsidRPr="00B20576" w:rsidRDefault="00D432B4" w:rsidP="001321FA">
            <w:pPr>
              <w:pStyle w:val="Tabulkatext0"/>
              <w:keepNext/>
              <w:keepLines/>
              <w:jc w:val="center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Cena za 1 rok v Kč bez DPH</w:t>
            </w:r>
          </w:p>
        </w:tc>
        <w:tc>
          <w:tcPr>
            <w:tcW w:w="1560" w:type="dxa"/>
            <w:tcBorders>
              <w:bottom w:val="single" w:sz="4" w:space="0" w:color="CA005D"/>
            </w:tcBorders>
            <w:shd w:val="clear" w:color="auto" w:fill="D9D9D9"/>
          </w:tcPr>
          <w:p w:rsidR="00D432B4" w:rsidRPr="00B20576" w:rsidRDefault="00D432B4" w:rsidP="00D432B4">
            <w:pPr>
              <w:pStyle w:val="Tabulkatext0"/>
              <w:keepNext/>
              <w:keepLines/>
              <w:jc w:val="center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 xml:space="preserve">Cena za </w:t>
            </w:r>
            <w:r>
              <w:rPr>
                <w:b/>
                <w:bCs/>
                <w:color w:val="920042"/>
              </w:rPr>
              <w:t xml:space="preserve">1 </w:t>
            </w:r>
            <w:proofErr w:type="gramStart"/>
            <w:r>
              <w:rPr>
                <w:b/>
                <w:bCs/>
                <w:color w:val="920042"/>
              </w:rPr>
              <w:t xml:space="preserve">rok </w:t>
            </w:r>
            <w:r w:rsidRPr="00B20576">
              <w:rPr>
                <w:b/>
                <w:bCs/>
                <w:color w:val="920042"/>
              </w:rPr>
              <w:t xml:space="preserve"> v Kč</w:t>
            </w:r>
            <w:proofErr w:type="gramEnd"/>
            <w:r w:rsidRPr="00B20576">
              <w:rPr>
                <w:b/>
                <w:bCs/>
                <w:color w:val="920042"/>
              </w:rPr>
              <w:t xml:space="preserve"> včetně DPH</w:t>
            </w:r>
          </w:p>
        </w:tc>
      </w:tr>
      <w:tr w:rsidR="00B8578B" w:rsidRPr="00B20576" w:rsidTr="00B8578B">
        <w:tc>
          <w:tcPr>
            <w:tcW w:w="4012" w:type="dxa"/>
            <w:shd w:val="clear" w:color="auto" w:fill="FFFFFF"/>
          </w:tcPr>
          <w:p w:rsidR="00B8578B" w:rsidRDefault="00B8578B" w:rsidP="00B8578B">
            <w:pPr>
              <w:keepNext/>
              <w:keepLines/>
              <w:rPr>
                <w:bCs/>
                <w:sz w:val="20"/>
                <w:szCs w:val="20"/>
              </w:rPr>
            </w:pPr>
            <w:r w:rsidRPr="00B20576">
              <w:rPr>
                <w:bCs/>
                <w:sz w:val="20"/>
                <w:szCs w:val="20"/>
              </w:rPr>
              <w:t xml:space="preserve">Mimozáruční servisní </w:t>
            </w:r>
            <w:r>
              <w:rPr>
                <w:bCs/>
                <w:sz w:val="20"/>
                <w:szCs w:val="20"/>
              </w:rPr>
              <w:t>podpora</w:t>
            </w:r>
            <w:r w:rsidRPr="00B20576">
              <w:rPr>
                <w:bCs/>
                <w:sz w:val="20"/>
                <w:szCs w:val="20"/>
              </w:rPr>
              <w:t xml:space="preserve"> k modulům VERSO</w:t>
            </w:r>
          </w:p>
          <w:p w:rsidR="00B8578B" w:rsidRPr="00B20576" w:rsidRDefault="00B8578B" w:rsidP="00B8578B">
            <w:pPr>
              <w:keepNext/>
              <w:keepLines/>
              <w:numPr>
                <w:ilvl w:val="0"/>
                <w:numId w:val="3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Produkční instance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B8578B" w:rsidRPr="00B20576" w:rsidRDefault="00B8578B" w:rsidP="00B8578B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72.960,-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8578B" w:rsidRPr="00B20576" w:rsidRDefault="00B8578B" w:rsidP="00B8578B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88.282,-</w:t>
            </w:r>
          </w:p>
        </w:tc>
      </w:tr>
      <w:tr w:rsidR="00D432B4" w:rsidRPr="00B20576" w:rsidTr="00B8578B">
        <w:trPr>
          <w:trHeight w:val="122"/>
        </w:trPr>
        <w:tc>
          <w:tcPr>
            <w:tcW w:w="4012" w:type="dxa"/>
            <w:shd w:val="clear" w:color="auto" w:fill="FFCC99"/>
          </w:tcPr>
          <w:p w:rsidR="00D432B4" w:rsidRPr="00B20576" w:rsidRDefault="00D432B4" w:rsidP="001321FA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 w:rsidRPr="00B20576">
              <w:rPr>
                <w:b/>
                <w:bCs/>
                <w:sz w:val="20"/>
                <w:szCs w:val="20"/>
              </w:rPr>
              <w:t>Mimozáruční servisní podpora celkem</w:t>
            </w:r>
          </w:p>
        </w:tc>
        <w:tc>
          <w:tcPr>
            <w:tcW w:w="1658" w:type="dxa"/>
            <w:shd w:val="clear" w:color="auto" w:fill="FFCC99"/>
            <w:vAlign w:val="center"/>
          </w:tcPr>
          <w:p w:rsidR="00D432B4" w:rsidRPr="00B20576" w:rsidRDefault="00D432B4" w:rsidP="00B8578B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72.960,-</w:t>
            </w:r>
          </w:p>
        </w:tc>
        <w:tc>
          <w:tcPr>
            <w:tcW w:w="1560" w:type="dxa"/>
            <w:shd w:val="clear" w:color="auto" w:fill="FFCC99"/>
            <w:vAlign w:val="center"/>
          </w:tcPr>
          <w:p w:rsidR="00D432B4" w:rsidRPr="00B20576" w:rsidRDefault="00686D33" w:rsidP="00B8578B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88.282</w:t>
            </w:r>
            <w:r w:rsidR="00D432B4">
              <w:rPr>
                <w:b/>
                <w:bCs/>
                <w:sz w:val="20"/>
                <w:szCs w:val="20"/>
              </w:rPr>
              <w:t>,-</w:t>
            </w:r>
          </w:p>
        </w:tc>
      </w:tr>
    </w:tbl>
    <w:p w:rsidR="00666A9E" w:rsidRPr="00B20576" w:rsidRDefault="00666A9E" w:rsidP="00855090">
      <w:pPr>
        <w:pStyle w:val="Odstavecsmlouvy"/>
        <w:numPr>
          <w:ilvl w:val="0"/>
          <w:numId w:val="0"/>
        </w:numPr>
        <w:ind w:left="360" w:firstLine="207"/>
        <w:rPr>
          <w:lang w:val="cs-CZ"/>
        </w:rPr>
      </w:pPr>
      <w:r w:rsidRPr="00B20576">
        <w:rPr>
          <w:lang w:val="cs-CZ"/>
        </w:rPr>
        <w:t>Nedílnou souč</w:t>
      </w:r>
      <w:r w:rsidR="005E3916" w:rsidRPr="00B20576">
        <w:rPr>
          <w:lang w:val="cs-CZ"/>
        </w:rPr>
        <w:t xml:space="preserve">ástí Smlouvy je Příloha č. 2 – </w:t>
      </w:r>
      <w:r w:rsidR="00B76C2D" w:rsidRPr="00B20576">
        <w:rPr>
          <w:lang w:val="cs-CZ"/>
        </w:rPr>
        <w:t>Kalkulace</w:t>
      </w:r>
      <w:r w:rsidRPr="00B20576">
        <w:rPr>
          <w:lang w:val="cs-CZ"/>
        </w:rPr>
        <w:t xml:space="preserve"> ceny.</w:t>
      </w:r>
    </w:p>
    <w:p w:rsidR="00266E81" w:rsidRPr="00B20576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>Podmínky dalšího rozvoje a úprav Produktu</w:t>
      </w:r>
      <w:r w:rsidR="00895A95">
        <w:rPr>
          <w:lang w:val="cs-CZ"/>
        </w:rPr>
        <w:t>:</w:t>
      </w:r>
    </w:p>
    <w:p w:rsidR="00266E81" w:rsidRPr="00B2057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 xml:space="preserve">Dalším rozvojem je míněn rozvoj nad rámec </w:t>
      </w:r>
      <w:r w:rsidR="00866E26">
        <w:t>paušálních (předplacených)</w:t>
      </w:r>
      <w:r w:rsidRPr="00B20576">
        <w:t xml:space="preserve"> konzultačních hodin (jsou-li Uživatelem objednány).  </w:t>
      </w:r>
    </w:p>
    <w:p w:rsidR="00266E81" w:rsidRPr="008A4405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 xml:space="preserve">Další rozvoj, úpravy a změny </w:t>
      </w:r>
      <w:r w:rsidR="002C7323" w:rsidRPr="00B20576">
        <w:t>P</w:t>
      </w:r>
      <w:r w:rsidRPr="00B20576">
        <w:t xml:space="preserve">roduktu budou provedeny na základě </w:t>
      </w:r>
      <w:r w:rsidRPr="008A4405">
        <w:t>objednávek.</w:t>
      </w:r>
    </w:p>
    <w:p w:rsidR="00266E81" w:rsidRPr="00B2057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 xml:space="preserve">Hodinová sazba pro objednávky </w:t>
      </w:r>
      <w:r w:rsidR="007E2E03" w:rsidRPr="00B20576">
        <w:t>a servisní zásahy mimo rozsah sje</w:t>
      </w:r>
      <w:r w:rsidR="008A4405">
        <w:t>dnaný touto Smlouvou (</w:t>
      </w:r>
      <w:proofErr w:type="gramStart"/>
      <w:r w:rsidR="008A4405">
        <w:t>odst.3.1</w:t>
      </w:r>
      <w:proofErr w:type="gramEnd"/>
      <w:r w:rsidR="007E2E03" w:rsidRPr="00B20576">
        <w:t xml:space="preserve">) </w:t>
      </w:r>
      <w:r w:rsidRPr="00B20576">
        <w:t xml:space="preserve">je stanovena na </w:t>
      </w:r>
      <w:r w:rsidR="008A4405" w:rsidRPr="008A4405">
        <w:t>==</w:t>
      </w:r>
      <w:r w:rsidR="00C70DC7" w:rsidRPr="008A4405">
        <w:t>1.</w:t>
      </w:r>
      <w:r w:rsidR="00A8503F">
        <w:t>2</w:t>
      </w:r>
      <w:r w:rsidRPr="008A4405">
        <w:t>50</w:t>
      </w:r>
      <w:r w:rsidR="008A4405" w:rsidRPr="008A4405">
        <w:t xml:space="preserve">== </w:t>
      </w:r>
      <w:r w:rsidRPr="008A4405">
        <w:t>Kč</w:t>
      </w:r>
      <w:r w:rsidRPr="00B20576">
        <w:t xml:space="preserve"> bez DPH.</w:t>
      </w:r>
    </w:p>
    <w:p w:rsidR="00266E81" w:rsidRPr="00B20576" w:rsidRDefault="00266E81" w:rsidP="00B51E6C">
      <w:pPr>
        <w:pStyle w:val="lneksmlouvy"/>
        <w:numPr>
          <w:ilvl w:val="1"/>
          <w:numId w:val="9"/>
        </w:numPr>
      </w:pPr>
      <w:bookmarkStart w:id="4" w:name="_Ref368576126"/>
      <w:r w:rsidRPr="00B20576">
        <w:t>Cena</w:t>
      </w:r>
      <w:bookmarkEnd w:id="4"/>
    </w:p>
    <w:p w:rsidR="00266E81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 xml:space="preserve">Cena za servisní podporu Produktu ze strany Poskytovatele dle této Smlouvy je na období uvedené výše v kapitole </w:t>
      </w:r>
      <w:r w:rsidR="00A30A7A" w:rsidRPr="00B20576">
        <w:rPr>
          <w:lang w:val="cs-CZ"/>
        </w:rPr>
        <w:t xml:space="preserve">II. </w:t>
      </w:r>
      <w:proofErr w:type="spellStart"/>
      <w:r w:rsidR="00151680">
        <w:rPr>
          <w:lang w:val="cs-CZ"/>
        </w:rPr>
        <w:t>reps</w:t>
      </w:r>
      <w:proofErr w:type="spellEnd"/>
      <w:r w:rsidR="00151680">
        <w:rPr>
          <w:lang w:val="cs-CZ"/>
        </w:rPr>
        <w:t xml:space="preserve">. kapitole I. </w:t>
      </w:r>
      <w:r w:rsidRPr="00B20576">
        <w:rPr>
          <w:lang w:val="cs-CZ"/>
        </w:rPr>
        <w:t xml:space="preserve">stanovena na </w:t>
      </w:r>
      <w:r w:rsidR="00082923" w:rsidRPr="00B20576">
        <w:rPr>
          <w:b/>
          <w:lang w:val="cs-CZ"/>
        </w:rPr>
        <w:t>==</w:t>
      </w:r>
      <w:r w:rsidR="00686D33">
        <w:rPr>
          <w:b/>
          <w:lang w:val="cs-CZ"/>
        </w:rPr>
        <w:t>72.960</w:t>
      </w:r>
      <w:r w:rsidR="00082923" w:rsidRPr="00B20576">
        <w:rPr>
          <w:b/>
          <w:bCs/>
          <w:lang w:val="cs-CZ"/>
        </w:rPr>
        <w:t>==</w:t>
      </w:r>
      <w:r w:rsidRPr="00B20576">
        <w:rPr>
          <w:b/>
          <w:bCs/>
          <w:lang w:val="cs-CZ"/>
        </w:rPr>
        <w:t>Kč</w:t>
      </w:r>
      <w:r w:rsidRPr="00B20576">
        <w:rPr>
          <w:lang w:val="cs-CZ"/>
        </w:rPr>
        <w:t xml:space="preserve"> bez </w:t>
      </w:r>
      <w:r w:rsidR="003B4909" w:rsidRPr="00B20576">
        <w:rPr>
          <w:lang w:val="cs-CZ"/>
        </w:rPr>
        <w:t>DPH. K této ceně bude připočteno</w:t>
      </w:r>
      <w:r w:rsidRPr="00B20576">
        <w:rPr>
          <w:lang w:val="cs-CZ"/>
        </w:rPr>
        <w:t xml:space="preserve"> DPH dle aktuálně platných předpisů. Cena vč. DPH činí </w:t>
      </w:r>
      <w:r w:rsidR="00082923" w:rsidRPr="008A4405">
        <w:rPr>
          <w:b/>
          <w:bCs/>
          <w:lang w:val="cs-CZ"/>
        </w:rPr>
        <w:t>==</w:t>
      </w:r>
      <w:r w:rsidR="00686D33">
        <w:rPr>
          <w:b/>
          <w:bCs/>
          <w:lang w:val="cs-CZ"/>
        </w:rPr>
        <w:t>88.282</w:t>
      </w:r>
      <w:r w:rsidR="00082923" w:rsidRPr="00B20576">
        <w:rPr>
          <w:b/>
          <w:bCs/>
          <w:lang w:val="cs-CZ"/>
        </w:rPr>
        <w:t>==</w:t>
      </w:r>
      <w:r w:rsidRPr="00B20576">
        <w:rPr>
          <w:b/>
          <w:bCs/>
          <w:lang w:val="cs-CZ"/>
        </w:rPr>
        <w:t xml:space="preserve"> Kč</w:t>
      </w:r>
      <w:r w:rsidR="00F40D30">
        <w:rPr>
          <w:lang w:val="cs-CZ"/>
        </w:rPr>
        <w:t>.</w:t>
      </w:r>
    </w:p>
    <w:p w:rsidR="00266E81" w:rsidRPr="00BB3974" w:rsidRDefault="00266E81" w:rsidP="00BB3974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B3974">
        <w:rPr>
          <w:lang w:val="cs-CZ"/>
        </w:rPr>
        <w:t xml:space="preserve">Cena je </w:t>
      </w:r>
      <w:r w:rsidRPr="00B8578B">
        <w:rPr>
          <w:lang w:val="cs-CZ"/>
        </w:rPr>
        <w:t>splatná</w:t>
      </w:r>
      <w:r w:rsidRPr="00BB3974">
        <w:rPr>
          <w:lang w:val="cs-CZ"/>
        </w:rPr>
        <w:t xml:space="preserve"> na základě faktury </w:t>
      </w:r>
      <w:r w:rsidR="004341C5" w:rsidRPr="00BB3974">
        <w:rPr>
          <w:lang w:val="cs-CZ"/>
        </w:rPr>
        <w:t xml:space="preserve">se </w:t>
      </w:r>
      <w:r w:rsidR="008A4405" w:rsidRPr="00BB3974">
        <w:rPr>
          <w:lang w:val="cs-CZ"/>
        </w:rPr>
        <w:t>14</w:t>
      </w:r>
      <w:r w:rsidR="004341C5" w:rsidRPr="00BB3974">
        <w:rPr>
          <w:lang w:val="cs-CZ"/>
        </w:rPr>
        <w:t xml:space="preserve"> denní splatností </w:t>
      </w:r>
      <w:r w:rsidRPr="00BB3974">
        <w:rPr>
          <w:lang w:val="cs-CZ"/>
        </w:rPr>
        <w:t>vystavené ke dni zah</w:t>
      </w:r>
      <w:r w:rsidR="004341C5" w:rsidRPr="00BB3974">
        <w:rPr>
          <w:lang w:val="cs-CZ"/>
        </w:rPr>
        <w:t xml:space="preserve">ájení </w:t>
      </w:r>
      <w:r w:rsidR="00C20F5C" w:rsidRPr="00BB3974">
        <w:rPr>
          <w:lang w:val="cs-CZ"/>
        </w:rPr>
        <w:t xml:space="preserve">účinnosti </w:t>
      </w:r>
      <w:r w:rsidR="00596A5F" w:rsidRPr="00BB3974">
        <w:rPr>
          <w:lang w:val="cs-CZ"/>
        </w:rPr>
        <w:t>S</w:t>
      </w:r>
      <w:r w:rsidR="004341C5" w:rsidRPr="00BB3974">
        <w:rPr>
          <w:lang w:val="cs-CZ"/>
        </w:rPr>
        <w:t>mlouvy</w:t>
      </w:r>
      <w:r w:rsidRPr="00BB3974">
        <w:rPr>
          <w:lang w:val="cs-CZ"/>
        </w:rPr>
        <w:t>.</w:t>
      </w:r>
      <w:r w:rsidR="00596A5F" w:rsidRPr="00BB3974">
        <w:rPr>
          <w:lang w:val="cs-CZ"/>
        </w:rPr>
        <w:t xml:space="preserve"> Cena za </w:t>
      </w:r>
      <w:r w:rsidR="00642A80" w:rsidRPr="00BB3974">
        <w:rPr>
          <w:lang w:val="cs-CZ"/>
        </w:rPr>
        <w:t xml:space="preserve">případná </w:t>
      </w:r>
      <w:r w:rsidR="00596A5F" w:rsidRPr="00BB3974">
        <w:rPr>
          <w:lang w:val="cs-CZ"/>
        </w:rPr>
        <w:t>plnění ze strany Poskytovatele</w:t>
      </w:r>
      <w:r w:rsidR="00642A80" w:rsidRPr="00BB3974">
        <w:rPr>
          <w:lang w:val="cs-CZ"/>
        </w:rPr>
        <w:t xml:space="preserve"> </w:t>
      </w:r>
      <w:r w:rsidR="00F233F4" w:rsidRPr="00BB3974">
        <w:rPr>
          <w:lang w:val="cs-CZ"/>
        </w:rPr>
        <w:t>za</w:t>
      </w:r>
      <w:r w:rsidR="00642A80" w:rsidRPr="00B20576">
        <w:t xml:space="preserve"> objednávky a servisní zásahy mimo rozsah sjednaný touto Smlouvou</w:t>
      </w:r>
      <w:r w:rsidR="00642A80" w:rsidRPr="00BB3974">
        <w:rPr>
          <w:lang w:val="cs-CZ"/>
        </w:rPr>
        <w:t xml:space="preserve"> je splatná na základě faktury </w:t>
      </w:r>
      <w:proofErr w:type="gramStart"/>
      <w:r w:rsidR="00642A80" w:rsidRPr="00BB3974">
        <w:rPr>
          <w:lang w:val="cs-CZ"/>
        </w:rPr>
        <w:t>se</w:t>
      </w:r>
      <w:proofErr w:type="gramEnd"/>
      <w:r w:rsidR="00642A80" w:rsidRPr="00BB3974">
        <w:rPr>
          <w:lang w:val="cs-CZ"/>
        </w:rPr>
        <w:t xml:space="preserve"> </w:t>
      </w:r>
      <w:r w:rsidR="008A4405" w:rsidRPr="00BB3974">
        <w:rPr>
          <w:lang w:val="cs-CZ"/>
        </w:rPr>
        <w:t>14</w:t>
      </w:r>
      <w:r w:rsidR="00642A80" w:rsidRPr="00BB3974">
        <w:rPr>
          <w:lang w:val="cs-CZ"/>
        </w:rPr>
        <w:t>denní splatností vystavené ke dni doručení objednávky</w:t>
      </w:r>
      <w:r w:rsidR="00F233F4" w:rsidRPr="00BB3974">
        <w:rPr>
          <w:lang w:val="cs-CZ"/>
        </w:rPr>
        <w:t xml:space="preserve"> Uživatele</w:t>
      </w:r>
      <w:r w:rsidR="00642A80" w:rsidRPr="00BB3974">
        <w:rPr>
          <w:lang w:val="cs-CZ"/>
        </w:rPr>
        <w:t>, případně ke dni platnosti smlouvy sjednané ohledně tohoto plnění.</w:t>
      </w:r>
      <w:r w:rsidRPr="00BB3974">
        <w:rPr>
          <w:lang w:val="cs-CZ"/>
        </w:rPr>
        <w:t xml:space="preserve"> </w:t>
      </w:r>
      <w:r w:rsidR="004341C5" w:rsidRPr="00BB3974">
        <w:rPr>
          <w:lang w:val="cs-CZ"/>
        </w:rPr>
        <w:t>Faktura vystavená Poskytovatelem dle této Smlouvy bude vystavena jako daňový doklad se zúčtováním DPH dle předpisů platných k datu zdanitelného plnění a musí mít náležitosti stanovené pro daňový doklad.</w:t>
      </w:r>
    </w:p>
    <w:p w:rsidR="00266E81" w:rsidRPr="00B20576" w:rsidRDefault="00266E81" w:rsidP="00B51E6C">
      <w:pPr>
        <w:pStyle w:val="lneksmlouvy"/>
        <w:numPr>
          <w:ilvl w:val="1"/>
          <w:numId w:val="9"/>
        </w:numPr>
      </w:pPr>
      <w:r w:rsidRPr="00B20576">
        <w:lastRenderedPageBreak/>
        <w:t>Závazky smluvních stran</w:t>
      </w:r>
    </w:p>
    <w:p w:rsidR="00266E81" w:rsidRPr="00B20576" w:rsidRDefault="00D03C3F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>Poskytovatel se zavazuje:</w:t>
      </w:r>
    </w:p>
    <w:p w:rsidR="00F50CF2" w:rsidRDefault="00266E81" w:rsidP="00DA5460">
      <w:pPr>
        <w:pStyle w:val="Odrazkysmlouva"/>
        <w:numPr>
          <w:ilvl w:val="3"/>
          <w:numId w:val="9"/>
        </w:numPr>
        <w:ind w:left="1418" w:hanging="851"/>
      </w:pPr>
      <w:r w:rsidRPr="00B20576">
        <w:t xml:space="preserve">dodržet podmínky uvedené v této </w:t>
      </w:r>
      <w:r w:rsidR="00EE6536">
        <w:t>S</w:t>
      </w:r>
      <w:r w:rsidRPr="00B20576">
        <w:t>mlouvě a jejích přílohách</w:t>
      </w:r>
      <w:r w:rsidR="003F50AF">
        <w:t xml:space="preserve">, především </w:t>
      </w:r>
      <w:r w:rsidR="00AB2682">
        <w:t>poskytovat</w:t>
      </w:r>
      <w:r w:rsidR="003F50AF">
        <w:t xml:space="preserve"> příslušn</w:t>
      </w:r>
      <w:r w:rsidR="00AB2682">
        <w:t>é</w:t>
      </w:r>
      <w:r w:rsidR="003F50AF">
        <w:t xml:space="preserve"> služb</w:t>
      </w:r>
      <w:r w:rsidR="00AB2682">
        <w:t>y</w:t>
      </w:r>
      <w:r w:rsidR="003F50AF">
        <w:t xml:space="preserve"> včas a řádným způsobem</w:t>
      </w:r>
      <w:r w:rsidRPr="00B20576">
        <w:t>;</w:t>
      </w:r>
    </w:p>
    <w:p w:rsidR="00B87915" w:rsidRPr="00B20576" w:rsidRDefault="00B87915" w:rsidP="00B51E6C">
      <w:pPr>
        <w:pStyle w:val="Odrazkysmlouva"/>
        <w:numPr>
          <w:ilvl w:val="3"/>
          <w:numId w:val="9"/>
        </w:numPr>
        <w:ind w:left="1418" w:hanging="851"/>
      </w:pPr>
      <w:r>
        <w:t>sdělit písemně nebo elektronicky Uživateli veškeré požadavky na součinnost při plnění této Smlouvy, a to před zahájením plnění této Smlouvy, a vznikn</w:t>
      </w:r>
      <w:r w:rsidR="00F50CF2">
        <w:t>e</w:t>
      </w:r>
      <w:r>
        <w:t xml:space="preserve">-li </w:t>
      </w:r>
      <w:r w:rsidR="00F50CF2">
        <w:t xml:space="preserve">potřeba součinnosti </w:t>
      </w:r>
      <w:r>
        <w:t xml:space="preserve">až v průběhu plnění této Smlouvy, pak bezodkladně poté, co potřebu </w:t>
      </w:r>
      <w:r w:rsidR="00F50CF2">
        <w:t xml:space="preserve">součinnosti </w:t>
      </w:r>
      <w:r>
        <w:t>mohl Poskytovatel zjistit;</w:t>
      </w:r>
    </w:p>
    <w:p w:rsidR="00266E81" w:rsidRPr="00B2057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 xml:space="preserve">zachovat mlčenlivost o všech informacích, se </w:t>
      </w:r>
      <w:r w:rsidR="00D03C3F" w:rsidRPr="00B20576">
        <w:t>kterými při provádění servisní</w:t>
      </w:r>
      <w:r w:rsidRPr="00B20576">
        <w:t xml:space="preserve"> podpory dle této Smlouvy u Uživatele přišel do styku, a postupovat při provádění podpory vždy tak, aby zachoval bezpečnost a důvěrnost všech dat, jež mu Uživatel v souvislosti s prováděním servisní podpory dle této Smlouvy poskytl. Povinnost mlčenlivosti trvá i po ukončení této Smlouvy;</w:t>
      </w:r>
    </w:p>
    <w:p w:rsidR="00266E81" w:rsidRPr="00B2057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>postupovat při nakládání s osobními údaji v souladu se zákonem č. 101/2000 Sb., o ochraně osobních údajů</w:t>
      </w:r>
      <w:r w:rsidR="00A30A7A" w:rsidRPr="00B20576">
        <w:t>;</w:t>
      </w:r>
      <w:r w:rsidRPr="00B20576">
        <w:t xml:space="preserve"> </w:t>
      </w:r>
    </w:p>
    <w:p w:rsidR="00CD0DA0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>Poskytovatel odpovídá pouze za služby výslovně uvedené a předplacené Uživatelem v rámci této Smlouvy</w:t>
      </w:r>
      <w:r w:rsidR="00A30A7A" w:rsidRPr="00B20576">
        <w:t>;</w:t>
      </w:r>
    </w:p>
    <w:p w:rsidR="00266E81" w:rsidRPr="00B20576" w:rsidRDefault="00CD0DA0" w:rsidP="00CD0DA0">
      <w:pPr>
        <w:pStyle w:val="Odrazkysmlouva"/>
        <w:numPr>
          <w:ilvl w:val="3"/>
          <w:numId w:val="9"/>
        </w:numPr>
        <w:ind w:left="1418" w:hanging="851"/>
      </w:pPr>
      <w:r>
        <w:t>v souladu se</w:t>
      </w:r>
      <w:r w:rsidRPr="00CD0DA0">
        <w:t xml:space="preserve"> zákon</w:t>
      </w:r>
      <w:r>
        <w:t>em</w:t>
      </w:r>
      <w:r w:rsidRPr="00CD0DA0">
        <w:t xml:space="preserve"> č. 320/2001 Sb., o finanční kontrole ve veřejné správě a o změně některých zákonů (zákon o finanční kontrole), ve znění pozdějších předpisů, </w:t>
      </w:r>
      <w:r>
        <w:t xml:space="preserve">jako </w:t>
      </w:r>
      <w:r w:rsidRPr="00CD0DA0">
        <w:t>osob</w:t>
      </w:r>
      <w:r>
        <w:t>a</w:t>
      </w:r>
      <w:r w:rsidRPr="00CD0DA0">
        <w:t xml:space="preserve"> povinn</w:t>
      </w:r>
      <w:r>
        <w:t>á</w:t>
      </w:r>
      <w:r w:rsidRPr="00CD0DA0">
        <w:t xml:space="preserve"> spolupůsobit při výkonu finanční kontroly prováděné v souvislosti s úhradou zboží nebo služeb z veřejných výdajů.</w:t>
      </w:r>
    </w:p>
    <w:p w:rsidR="00266E81" w:rsidRPr="00B2057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 xml:space="preserve">Smluvní strany sjednávají, že za maximálně předvídatelnou výši škody (tj. skutečná škoda a ušlý zisk), jež by mohla v souvislosti s touto Smlouvou Uživateli vzniknout, považují částku odpovídající sjednané ceně za roční </w:t>
      </w:r>
      <w:r w:rsidR="00EE6536">
        <w:t xml:space="preserve">mimozáruční </w:t>
      </w:r>
      <w:r w:rsidRPr="00B20576">
        <w:t>servisní podporu uhrazenou Uživatelem. Škoda, jež mohla být Smluvními stranami předvídána, tak v žádném případě nepřevýší tuto částku. Poskytovatel tak odpovídá Uživateli za jakoukoliv škodu vzniklou v souvislosti s touto Smlouvou pouze do výše této ceny.</w:t>
      </w:r>
    </w:p>
    <w:p w:rsidR="00266E81" w:rsidRPr="00B20576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 xml:space="preserve">Uživatel se v rámci </w:t>
      </w:r>
      <w:r w:rsidR="00EE6536">
        <w:rPr>
          <w:lang w:val="cs-CZ"/>
        </w:rPr>
        <w:t xml:space="preserve">této </w:t>
      </w:r>
      <w:r w:rsidRPr="00B20576">
        <w:rPr>
          <w:lang w:val="cs-CZ"/>
        </w:rPr>
        <w:t>Smlouvy zavazuje</w:t>
      </w:r>
      <w:r w:rsidR="00EE6536">
        <w:rPr>
          <w:lang w:val="cs-CZ"/>
        </w:rPr>
        <w:t>:</w:t>
      </w:r>
    </w:p>
    <w:p w:rsidR="00266E81" w:rsidRPr="00B2057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>zaplatit sjednanou cenu v jedné splátce na základě f</w:t>
      </w:r>
      <w:r w:rsidR="009E3CBA" w:rsidRPr="00B20576">
        <w:t xml:space="preserve">aktury vystavené Poskytovatelem </w:t>
      </w:r>
      <w:r w:rsidRPr="00B20576">
        <w:t xml:space="preserve">se </w:t>
      </w:r>
      <w:r w:rsidR="00DC223D">
        <w:t>14denní</w:t>
      </w:r>
      <w:r w:rsidRPr="00B20576">
        <w:t xml:space="preserve"> splatností</w:t>
      </w:r>
      <w:r w:rsidR="00A30A7A" w:rsidRPr="00B20576">
        <w:t>;</w:t>
      </w:r>
    </w:p>
    <w:p w:rsidR="00266E81" w:rsidRPr="00B2057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>umožnit Poskytovateli komunikaci s klíčovými pracovníky Uživatele a poskytnout všechny další nezbytné informace pro zajištění chodu Produktu a plnění povinností Poskytovatele vyplývajících z této Smlouvy</w:t>
      </w:r>
      <w:r w:rsidR="00A30A7A" w:rsidRPr="00B20576">
        <w:t>;</w:t>
      </w:r>
    </w:p>
    <w:p w:rsidR="00DA5460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>spolupracovat při organizaci školení zaměstnanců Uživatele, pokud si Uživatel tuto službu objedná</w:t>
      </w:r>
    </w:p>
    <w:p w:rsidR="00266E81" w:rsidRPr="00B2057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>umožnit realizaci dálkové administrace datového serveru Uživatele, v případě, že si ji Uživatel objedná</w:t>
      </w:r>
      <w:r w:rsidR="000E0E31">
        <w:t>,</w:t>
      </w:r>
      <w:r w:rsidR="00EE6536">
        <w:t xml:space="preserve"> a poskytnout Poskytovateli veškerou součinnost </w:t>
      </w:r>
      <w:r w:rsidR="00F50CF2">
        <w:t>p</w:t>
      </w:r>
      <w:r w:rsidR="000E0E31">
        <w:t>ředem písemně nebo elektronicky</w:t>
      </w:r>
      <w:r w:rsidR="00F50CF2">
        <w:t xml:space="preserve"> </w:t>
      </w:r>
      <w:r w:rsidR="00EE6536">
        <w:t>požadovanou Poskytovatelem za tímto účelem</w:t>
      </w:r>
      <w:r w:rsidR="00A30A7A" w:rsidRPr="00B20576">
        <w:t>;</w:t>
      </w:r>
    </w:p>
    <w:p w:rsidR="002D4AD6" w:rsidRPr="00B20576" w:rsidRDefault="00266E81" w:rsidP="00B51E6C">
      <w:pPr>
        <w:pStyle w:val="Odrazkysmlouva"/>
        <w:numPr>
          <w:ilvl w:val="3"/>
          <w:numId w:val="9"/>
        </w:numPr>
        <w:ind w:left="1418" w:hanging="851"/>
        <w:rPr>
          <w:rFonts w:ascii="Times New Roman" w:hAnsi="Times New Roman" w:cs="Times New Roman"/>
        </w:rPr>
      </w:pPr>
      <w:r w:rsidRPr="00B20576">
        <w:t>zachovat důvěrnost všech informací, jež mu Poskytovatel v souvislosti s prováděním servisní podpory dle této Smlouvy sdělil. Povinnost mlčenlivosti trvá i po ukončení této Smlouvy.</w:t>
      </w:r>
    </w:p>
    <w:p w:rsidR="00266E81" w:rsidRPr="00B20576" w:rsidRDefault="00266E81" w:rsidP="00B51E6C">
      <w:pPr>
        <w:pStyle w:val="lneksmlouvy"/>
        <w:numPr>
          <w:ilvl w:val="1"/>
          <w:numId w:val="9"/>
        </w:numPr>
      </w:pPr>
      <w:r w:rsidRPr="00B20576">
        <w:t>Sankce</w:t>
      </w:r>
    </w:p>
    <w:p w:rsidR="00D8022E" w:rsidRDefault="005D66CA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>
        <w:rPr>
          <w:lang w:val="cs-CZ"/>
        </w:rPr>
        <w:t>Uživatel je oprávněn požadovat po Poskytovateli</w:t>
      </w:r>
      <w:r w:rsidR="00266E81" w:rsidRPr="00D8022E">
        <w:rPr>
          <w:lang w:val="cs-CZ"/>
        </w:rPr>
        <w:t xml:space="preserve"> při nedodržení termínů reakční doby a doby pro vyřešení incidentu typu Chyba (jak je tento termín definován v Příloze č. 1 Smlouvy) </w:t>
      </w:r>
      <w:r w:rsidR="00A13729">
        <w:rPr>
          <w:lang w:val="cs-CZ"/>
        </w:rPr>
        <w:t>ú</w:t>
      </w:r>
      <w:r w:rsidR="00266E81" w:rsidRPr="00D8022E">
        <w:rPr>
          <w:lang w:val="cs-CZ"/>
        </w:rPr>
        <w:t>hrad</w:t>
      </w:r>
      <w:r>
        <w:rPr>
          <w:lang w:val="cs-CZ"/>
        </w:rPr>
        <w:t>u</w:t>
      </w:r>
      <w:r w:rsidR="00266E81" w:rsidRPr="00D8022E">
        <w:rPr>
          <w:lang w:val="cs-CZ"/>
        </w:rPr>
        <w:t xml:space="preserve"> smluvní pokut</w:t>
      </w:r>
      <w:r>
        <w:rPr>
          <w:lang w:val="cs-CZ"/>
        </w:rPr>
        <w:t>y</w:t>
      </w:r>
      <w:r w:rsidR="00266E81" w:rsidRPr="00D8022E">
        <w:rPr>
          <w:lang w:val="cs-CZ"/>
        </w:rPr>
        <w:t xml:space="preserve"> ve výši 0,</w:t>
      </w:r>
      <w:r w:rsidR="008B00C2">
        <w:rPr>
          <w:lang w:val="cs-CZ"/>
        </w:rPr>
        <w:t>3</w:t>
      </w:r>
      <w:r w:rsidR="00266E81" w:rsidRPr="00D8022E">
        <w:rPr>
          <w:lang w:val="cs-CZ"/>
        </w:rPr>
        <w:t>% ze sjednané ceny</w:t>
      </w:r>
      <w:r w:rsidR="000D3A3E">
        <w:rPr>
          <w:lang w:val="cs-CZ"/>
        </w:rPr>
        <w:t xml:space="preserve"> v odst. 4.1 bez DPH</w:t>
      </w:r>
      <w:r w:rsidR="00266E81" w:rsidRPr="00D8022E">
        <w:rPr>
          <w:lang w:val="cs-CZ"/>
        </w:rPr>
        <w:t xml:space="preserve"> dle této Smlouvy za každý </w:t>
      </w:r>
      <w:r w:rsidR="000D01A5">
        <w:rPr>
          <w:lang w:val="cs-CZ"/>
        </w:rPr>
        <w:t xml:space="preserve">započatý </w:t>
      </w:r>
      <w:r w:rsidR="00266E81" w:rsidRPr="00D8022E">
        <w:rPr>
          <w:lang w:val="cs-CZ"/>
        </w:rPr>
        <w:t>den prodlení.</w:t>
      </w:r>
      <w:r w:rsidR="000D01A5">
        <w:rPr>
          <w:lang w:val="cs-CZ"/>
        </w:rPr>
        <w:t xml:space="preserve"> Tím není dotčen nárok Uživatele na náhradu škody.</w:t>
      </w:r>
    </w:p>
    <w:p w:rsidR="00266E81" w:rsidRPr="00D8022E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D8022E">
        <w:rPr>
          <w:lang w:val="cs-CZ"/>
        </w:rPr>
        <w:t xml:space="preserve">Úhrady prováděné Uživatelem Poskytovateli dle této Smlouvy se považují za uhrazené okamžikem </w:t>
      </w:r>
      <w:r w:rsidR="005D66CA">
        <w:rPr>
          <w:lang w:val="cs-CZ"/>
        </w:rPr>
        <w:t>odepsáním příslušné</w:t>
      </w:r>
      <w:r w:rsidRPr="00D8022E">
        <w:rPr>
          <w:lang w:val="cs-CZ"/>
        </w:rPr>
        <w:t xml:space="preserve"> částky </w:t>
      </w:r>
      <w:r w:rsidR="005D66CA">
        <w:rPr>
          <w:lang w:val="cs-CZ"/>
        </w:rPr>
        <w:t>z</w:t>
      </w:r>
      <w:r w:rsidRPr="00D8022E">
        <w:rPr>
          <w:lang w:val="cs-CZ"/>
        </w:rPr>
        <w:t xml:space="preserve"> účt</w:t>
      </w:r>
      <w:r w:rsidR="005D66CA">
        <w:rPr>
          <w:lang w:val="cs-CZ"/>
        </w:rPr>
        <w:t>u</w:t>
      </w:r>
      <w:r w:rsidRPr="00D8022E">
        <w:rPr>
          <w:lang w:val="cs-CZ"/>
        </w:rPr>
        <w:t xml:space="preserve"> </w:t>
      </w:r>
      <w:r w:rsidR="005D66CA">
        <w:rPr>
          <w:lang w:val="cs-CZ"/>
        </w:rPr>
        <w:t>Uživatele</w:t>
      </w:r>
      <w:r w:rsidRPr="00D8022E">
        <w:rPr>
          <w:lang w:val="cs-CZ"/>
        </w:rPr>
        <w:t xml:space="preserve">. </w:t>
      </w:r>
      <w:r w:rsidR="003814EB">
        <w:rPr>
          <w:lang w:val="cs-CZ"/>
        </w:rPr>
        <w:t>Poskytovate</w:t>
      </w:r>
      <w:r w:rsidR="003814EB" w:rsidRPr="00D8022E">
        <w:rPr>
          <w:lang w:val="cs-CZ"/>
        </w:rPr>
        <w:t xml:space="preserve">l </w:t>
      </w:r>
      <w:r w:rsidR="003814EB">
        <w:rPr>
          <w:lang w:val="cs-CZ"/>
        </w:rPr>
        <w:t>je v případě prodlení Uživatele s úhradou oprávněn požadovat</w:t>
      </w:r>
      <w:r w:rsidRPr="00D8022E">
        <w:rPr>
          <w:lang w:val="cs-CZ"/>
        </w:rPr>
        <w:t xml:space="preserve"> </w:t>
      </w:r>
      <w:r w:rsidR="005D66CA">
        <w:rPr>
          <w:lang w:val="cs-CZ"/>
        </w:rPr>
        <w:t>úrok z prodlení</w:t>
      </w:r>
      <w:r w:rsidRPr="00D8022E">
        <w:rPr>
          <w:lang w:val="cs-CZ"/>
        </w:rPr>
        <w:t xml:space="preserve"> ve výši 0,</w:t>
      </w:r>
      <w:r w:rsidR="005F2C0A">
        <w:rPr>
          <w:lang w:val="cs-CZ"/>
        </w:rPr>
        <w:t xml:space="preserve">3 </w:t>
      </w:r>
      <w:r w:rsidRPr="00D8022E">
        <w:rPr>
          <w:lang w:val="cs-CZ"/>
        </w:rPr>
        <w:t>% z </w:t>
      </w:r>
      <w:r w:rsidR="003814EB">
        <w:rPr>
          <w:lang w:val="cs-CZ"/>
        </w:rPr>
        <w:t>dlužné</w:t>
      </w:r>
      <w:r w:rsidR="003814EB" w:rsidRPr="00D8022E">
        <w:rPr>
          <w:lang w:val="cs-CZ"/>
        </w:rPr>
        <w:t xml:space="preserve"> </w:t>
      </w:r>
      <w:r w:rsidRPr="00D8022E">
        <w:rPr>
          <w:lang w:val="cs-CZ"/>
        </w:rPr>
        <w:t>částky za každý den prodlení. Tím není dotčen nárok Poskytovatele na náhradu škody.</w:t>
      </w:r>
    </w:p>
    <w:p w:rsidR="00266E81" w:rsidRPr="00B20576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 xml:space="preserve">Splatnost </w:t>
      </w:r>
      <w:r w:rsidR="00A30A7A" w:rsidRPr="00B20576">
        <w:rPr>
          <w:lang w:val="cs-CZ"/>
        </w:rPr>
        <w:t xml:space="preserve">sankce </w:t>
      </w:r>
      <w:r w:rsidRPr="00B20576">
        <w:rPr>
          <w:lang w:val="cs-CZ"/>
        </w:rPr>
        <w:t xml:space="preserve">je 14 dní od doručení </w:t>
      </w:r>
      <w:r w:rsidR="00A30A7A" w:rsidRPr="00B20576">
        <w:rPr>
          <w:lang w:val="cs-CZ"/>
        </w:rPr>
        <w:t xml:space="preserve">jejího </w:t>
      </w:r>
      <w:r w:rsidRPr="00B20576">
        <w:rPr>
          <w:lang w:val="cs-CZ"/>
        </w:rPr>
        <w:t xml:space="preserve">písemného vyúčtování </w:t>
      </w:r>
      <w:r w:rsidR="003814EB">
        <w:rPr>
          <w:lang w:val="cs-CZ"/>
        </w:rPr>
        <w:t>druhé Smluvní straně</w:t>
      </w:r>
      <w:r w:rsidRPr="00B20576">
        <w:rPr>
          <w:lang w:val="cs-CZ"/>
        </w:rPr>
        <w:t>.</w:t>
      </w:r>
    </w:p>
    <w:p w:rsidR="00266E81" w:rsidRPr="00B20576" w:rsidRDefault="00266E81" w:rsidP="00B51E6C">
      <w:pPr>
        <w:pStyle w:val="lneksmlouvy"/>
        <w:numPr>
          <w:ilvl w:val="1"/>
          <w:numId w:val="9"/>
        </w:numPr>
      </w:pPr>
      <w:bookmarkStart w:id="5" w:name="_Ref269305764"/>
      <w:r w:rsidRPr="00B20576">
        <w:t>Závěrečná ustanovení</w:t>
      </w:r>
      <w:bookmarkEnd w:id="5"/>
    </w:p>
    <w:p w:rsidR="001027F9" w:rsidRDefault="007B075C" w:rsidP="001027F9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7B075C">
        <w:rPr>
          <w:lang w:val="cs-CZ"/>
        </w:rPr>
        <w:t xml:space="preserve">Tato Smlouva ukončuje účinnost Servisní smlouvy </w:t>
      </w:r>
      <w:r w:rsidRPr="00EE526D">
        <w:rPr>
          <w:lang w:val="cs-CZ"/>
        </w:rPr>
        <w:t xml:space="preserve">č. </w:t>
      </w:r>
      <w:r w:rsidR="00E708CC">
        <w:rPr>
          <w:lang w:val="cs-CZ"/>
        </w:rPr>
        <w:t>SS – 007/15</w:t>
      </w:r>
      <w:r w:rsidRPr="007B075C">
        <w:rPr>
          <w:lang w:val="cs-CZ"/>
        </w:rPr>
        <w:t xml:space="preserve"> podepsané dne </w:t>
      </w:r>
      <w:proofErr w:type="gramStart"/>
      <w:r w:rsidR="00E708CC">
        <w:rPr>
          <w:lang w:val="cs-CZ"/>
        </w:rPr>
        <w:t>18.11.2014</w:t>
      </w:r>
      <w:proofErr w:type="gramEnd"/>
      <w:r w:rsidR="00E708CC">
        <w:rPr>
          <w:lang w:val="cs-CZ"/>
        </w:rPr>
        <w:t xml:space="preserve"> k 31.12.2015</w:t>
      </w:r>
      <w:r w:rsidR="00C81CE1">
        <w:rPr>
          <w:lang w:val="cs-CZ"/>
        </w:rPr>
        <w:t>.</w:t>
      </w:r>
    </w:p>
    <w:p w:rsidR="001027F9" w:rsidRDefault="00266E81" w:rsidP="001027F9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1027F9">
        <w:rPr>
          <w:lang w:val="cs-CZ"/>
        </w:rPr>
        <w:lastRenderedPageBreak/>
        <w:t xml:space="preserve">Smluvní strany se dohodly, že jejich závazkový vztah založený touto Smlouvou se </w:t>
      </w:r>
      <w:r w:rsidR="00B25E06" w:rsidRPr="001027F9">
        <w:rPr>
          <w:lang w:val="cs-CZ"/>
        </w:rPr>
        <w:t>občanským zákoníkem</w:t>
      </w:r>
      <w:r w:rsidRPr="001027F9">
        <w:rPr>
          <w:lang w:val="cs-CZ"/>
        </w:rPr>
        <w:t>, pokud není v této Smlouvě stanoveno jinak.</w:t>
      </w:r>
      <w:bookmarkStart w:id="6" w:name="_Ref339373768"/>
    </w:p>
    <w:p w:rsidR="001027F9" w:rsidRDefault="00266E81" w:rsidP="001027F9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1027F9">
        <w:rPr>
          <w:lang w:val="cs-CZ"/>
        </w:rPr>
        <w:t>Smlouvu lze ukončit dohodou nebo písemnou výpovědí jedné ze Smluvních stran. Výpovědní lhůta činí 3</w:t>
      </w:r>
      <w:r w:rsidR="008850F7" w:rsidRPr="001027F9">
        <w:rPr>
          <w:lang w:val="cs-CZ"/>
        </w:rPr>
        <w:t xml:space="preserve"> měsíce</w:t>
      </w:r>
      <w:r w:rsidRPr="001027F9">
        <w:rPr>
          <w:lang w:val="cs-CZ"/>
        </w:rPr>
        <w:t xml:space="preserve"> a začíná běžet 1. den kalendářního měsíce následujícího po doručení výpovědi druhé Smluvní straně.</w:t>
      </w:r>
      <w:bookmarkStart w:id="7" w:name="_Ref376497264"/>
      <w:bookmarkEnd w:id="6"/>
    </w:p>
    <w:p w:rsidR="00DE59F8" w:rsidRPr="001027F9" w:rsidRDefault="00FF1FD0" w:rsidP="001027F9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1027F9">
        <w:rPr>
          <w:lang w:val="cs-CZ"/>
        </w:rPr>
        <w:t xml:space="preserve">Uživatel </w:t>
      </w:r>
      <w:r w:rsidR="00F123C8" w:rsidRPr="001027F9">
        <w:rPr>
          <w:lang w:val="cs-CZ"/>
        </w:rPr>
        <w:t xml:space="preserve">i Poskytovatel </w:t>
      </w:r>
      <w:r w:rsidRPr="001027F9">
        <w:rPr>
          <w:lang w:val="cs-CZ"/>
        </w:rPr>
        <w:t>j</w:t>
      </w:r>
      <w:r w:rsidR="00F123C8" w:rsidRPr="001027F9">
        <w:rPr>
          <w:lang w:val="cs-CZ"/>
        </w:rPr>
        <w:t>sou</w:t>
      </w:r>
      <w:r w:rsidRPr="001027F9">
        <w:rPr>
          <w:lang w:val="cs-CZ"/>
        </w:rPr>
        <w:t xml:space="preserve"> dále oprávněn</w:t>
      </w:r>
      <w:r w:rsidR="00F123C8" w:rsidRPr="001027F9">
        <w:rPr>
          <w:lang w:val="cs-CZ"/>
        </w:rPr>
        <w:t>i</w:t>
      </w:r>
      <w:r w:rsidRPr="001027F9">
        <w:rPr>
          <w:lang w:val="cs-CZ"/>
        </w:rPr>
        <w:t xml:space="preserve"> o</w:t>
      </w:r>
      <w:r w:rsidR="00DE59F8" w:rsidRPr="001027F9">
        <w:rPr>
          <w:lang w:val="cs-CZ"/>
        </w:rPr>
        <w:t>d</w:t>
      </w:r>
      <w:r w:rsidRPr="001027F9">
        <w:rPr>
          <w:lang w:val="cs-CZ"/>
        </w:rPr>
        <w:t xml:space="preserve"> této Smlouvy odstoupit </w:t>
      </w:r>
      <w:r w:rsidR="00DE59F8" w:rsidRPr="001027F9">
        <w:rPr>
          <w:lang w:val="cs-CZ"/>
        </w:rPr>
        <w:t xml:space="preserve">s účinností od doručení takového odstoupení </w:t>
      </w:r>
      <w:r w:rsidR="00F123C8" w:rsidRPr="001027F9">
        <w:rPr>
          <w:lang w:val="cs-CZ"/>
        </w:rPr>
        <w:t>druhé Smluvní straně</w:t>
      </w:r>
      <w:r w:rsidR="00DE59F8" w:rsidRPr="001027F9">
        <w:rPr>
          <w:lang w:val="cs-CZ"/>
        </w:rPr>
        <w:t xml:space="preserve"> </w:t>
      </w:r>
      <w:r w:rsidRPr="001027F9">
        <w:rPr>
          <w:lang w:val="cs-CZ"/>
        </w:rPr>
        <w:t xml:space="preserve">v případě podstatného porušení této Smlouvy </w:t>
      </w:r>
      <w:r w:rsidR="00F123C8" w:rsidRPr="001027F9">
        <w:rPr>
          <w:lang w:val="cs-CZ"/>
        </w:rPr>
        <w:t>jednou ze Smluvních stran</w:t>
      </w:r>
      <w:r w:rsidRPr="001027F9">
        <w:rPr>
          <w:lang w:val="cs-CZ"/>
        </w:rPr>
        <w:t>. Za podstatné porušení je považováno</w:t>
      </w:r>
      <w:r w:rsidR="00DE59F8" w:rsidRPr="001027F9">
        <w:rPr>
          <w:lang w:val="cs-CZ"/>
        </w:rPr>
        <w:t xml:space="preserve"> Smluvními stranami:</w:t>
      </w:r>
      <w:bookmarkEnd w:id="7"/>
    </w:p>
    <w:p w:rsidR="00FF1FD0" w:rsidRDefault="00FF1FD0" w:rsidP="003F433E">
      <w:pPr>
        <w:pStyle w:val="Odrazkysmlouva"/>
        <w:numPr>
          <w:ilvl w:val="3"/>
          <w:numId w:val="9"/>
        </w:numPr>
        <w:ind w:left="1418" w:hanging="851"/>
      </w:pPr>
      <w:r>
        <w:t xml:space="preserve">prodlení </w:t>
      </w:r>
      <w:r w:rsidR="00E54888">
        <w:t xml:space="preserve">Poskytovatele </w:t>
      </w:r>
      <w:r>
        <w:t>se splněním</w:t>
      </w:r>
      <w:r w:rsidRPr="00D8022E">
        <w:t xml:space="preserve"> termínů reakční doby a doby pro vyřešení incidentu</w:t>
      </w:r>
      <w:r w:rsidR="00DE59F8">
        <w:t xml:space="preserve"> dle kapitoly III. odst. 3.1 této Smlouvy</w:t>
      </w:r>
      <w:r w:rsidRPr="00D8022E">
        <w:t xml:space="preserve"> </w:t>
      </w:r>
      <w:r>
        <w:t xml:space="preserve">o více </w:t>
      </w:r>
      <w:r w:rsidRPr="00000FFE">
        <w:t xml:space="preserve">než </w:t>
      </w:r>
      <w:r w:rsidR="002A5836" w:rsidRPr="00000FFE">
        <w:t>8</w:t>
      </w:r>
      <w:r w:rsidRPr="00000FFE">
        <w:t xml:space="preserve"> hodiny</w:t>
      </w:r>
      <w:r w:rsidR="00DE59F8" w:rsidRPr="00000FFE">
        <w:t xml:space="preserve"> u Chyb s vysokou prioritou</w:t>
      </w:r>
      <w:r w:rsidRPr="00000FFE">
        <w:t xml:space="preserve"> </w:t>
      </w:r>
      <w:r w:rsidR="006D2580" w:rsidRPr="00000FFE">
        <w:t>(</w:t>
      </w:r>
      <w:proofErr w:type="spellStart"/>
      <w:r w:rsidR="006D2580" w:rsidRPr="00000FFE">
        <w:t>blocker</w:t>
      </w:r>
      <w:proofErr w:type="spellEnd"/>
      <w:r w:rsidR="006D2580" w:rsidRPr="00000FFE">
        <w:t xml:space="preserve"> a </w:t>
      </w:r>
      <w:proofErr w:type="spellStart"/>
      <w:r w:rsidR="006D2580" w:rsidRPr="00000FFE">
        <w:t>critical</w:t>
      </w:r>
      <w:proofErr w:type="spellEnd"/>
      <w:r w:rsidR="006D2580" w:rsidRPr="00000FFE">
        <w:t xml:space="preserve">) </w:t>
      </w:r>
      <w:r w:rsidR="004508E8" w:rsidRPr="00000FFE">
        <w:t xml:space="preserve">ve vztahu k Dostupnosti Poskytovatele </w:t>
      </w:r>
      <w:r w:rsidRPr="00000FFE">
        <w:t>a o více než 4 dny</w:t>
      </w:r>
      <w:r w:rsidR="00DE59F8" w:rsidRPr="00000FFE">
        <w:t xml:space="preserve"> u Chyb</w:t>
      </w:r>
      <w:r w:rsidR="00DE59F8">
        <w:t xml:space="preserve"> s nízkou prioritou</w:t>
      </w:r>
      <w:r w:rsidR="006D2580">
        <w:t xml:space="preserve"> </w:t>
      </w:r>
      <w:r w:rsidR="006D2580" w:rsidRPr="00B20576">
        <w:t xml:space="preserve">(major, minor a </w:t>
      </w:r>
      <w:proofErr w:type="spellStart"/>
      <w:r w:rsidR="006D2580" w:rsidRPr="00B20576">
        <w:t>trivial</w:t>
      </w:r>
      <w:proofErr w:type="spellEnd"/>
      <w:r w:rsidR="006D2580" w:rsidRPr="00B20576">
        <w:t>)</w:t>
      </w:r>
      <w:r w:rsidR="004508E8">
        <w:t xml:space="preserve"> ve vztahu k Dostupnosti Poskytovatele</w:t>
      </w:r>
      <w:r w:rsidR="00DE59F8">
        <w:t>;</w:t>
      </w:r>
    </w:p>
    <w:p w:rsidR="003F4E0E" w:rsidRDefault="00DE59F8" w:rsidP="003F433E">
      <w:pPr>
        <w:pStyle w:val="Odrazkysmlouva"/>
        <w:numPr>
          <w:ilvl w:val="3"/>
          <w:numId w:val="9"/>
        </w:numPr>
        <w:ind w:left="1418" w:hanging="851"/>
      </w:pPr>
      <w:r>
        <w:t>porušení povinností</w:t>
      </w:r>
      <w:r w:rsidR="00E54888">
        <w:t xml:space="preserve"> ze strany Poskytovatele </w:t>
      </w:r>
      <w:r>
        <w:t>stanovených v kapitole V. odst. 5.1, bodech 5.1.2, 5.1.3, 5.1.4, 5.1.5 a 5.1.7 této Smlouvy</w:t>
      </w:r>
      <w:r w:rsidR="003F4E0E">
        <w:t>;</w:t>
      </w:r>
    </w:p>
    <w:p w:rsidR="003F4E0E" w:rsidRDefault="003F4E0E" w:rsidP="003F433E">
      <w:pPr>
        <w:pStyle w:val="Odrazkysmlouva"/>
        <w:numPr>
          <w:ilvl w:val="3"/>
          <w:numId w:val="9"/>
        </w:numPr>
        <w:ind w:left="1418" w:hanging="851"/>
      </w:pPr>
      <w:r>
        <w:t>prodlení Uživatele s úhradou sjednané ceny dle kapitoly IV., odst. 4.1 o více jak 7 kalendářních dnů oproti datu splatnosti;</w:t>
      </w:r>
    </w:p>
    <w:p w:rsidR="003F433E" w:rsidRDefault="003F4E0E" w:rsidP="003F433E">
      <w:pPr>
        <w:pStyle w:val="Odrazkysmlouva"/>
        <w:numPr>
          <w:ilvl w:val="3"/>
          <w:numId w:val="9"/>
        </w:numPr>
        <w:ind w:left="1418" w:hanging="851"/>
      </w:pPr>
      <w:r>
        <w:t xml:space="preserve">porušení povinností ze strany Uživatele stanovených v kapitole V. odst. 5.2, bodech 5.2.1, </w:t>
      </w:r>
      <w:proofErr w:type="gramStart"/>
      <w:r>
        <w:t>5.1. 2, 5.1.3</w:t>
      </w:r>
      <w:proofErr w:type="gramEnd"/>
      <w:r>
        <w:t xml:space="preserve">, 5.1.4 a 5.1.5 této </w:t>
      </w:r>
      <w:r w:rsidR="002C6A92">
        <w:t>S</w:t>
      </w:r>
      <w:r>
        <w:t>mlouvy.</w:t>
      </w:r>
      <w:r w:rsidDel="003F4E0E">
        <w:t xml:space="preserve"> </w:t>
      </w:r>
    </w:p>
    <w:p w:rsidR="00B33BE3" w:rsidRDefault="00C934C0" w:rsidP="003F433E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>
        <w:rPr>
          <w:lang w:val="cs-CZ"/>
        </w:rPr>
        <w:t>Při předčasném ukončení Smlouvy se Smluvní strany zavazují vypořádat veškeré</w:t>
      </w:r>
      <w:r w:rsidR="00264175">
        <w:rPr>
          <w:lang w:val="cs-CZ"/>
        </w:rPr>
        <w:t xml:space="preserve"> závazk</w:t>
      </w:r>
      <w:r>
        <w:rPr>
          <w:lang w:val="cs-CZ"/>
        </w:rPr>
        <w:t>y vyplývající jim z této Smlouvy</w:t>
      </w:r>
      <w:r w:rsidR="00264175">
        <w:rPr>
          <w:lang w:val="cs-CZ"/>
        </w:rPr>
        <w:t>.</w:t>
      </w:r>
      <w:r>
        <w:rPr>
          <w:lang w:val="cs-CZ"/>
        </w:rPr>
        <w:t xml:space="preserve"> Vypořádání</w:t>
      </w:r>
      <w:r w:rsidR="00BF5F6E">
        <w:rPr>
          <w:lang w:val="cs-CZ"/>
        </w:rPr>
        <w:t xml:space="preserve"> bude provedeno poměrným způsobem, kdy Poskytovateli </w:t>
      </w:r>
      <w:r w:rsidR="00FF1FD0">
        <w:rPr>
          <w:lang w:val="cs-CZ"/>
        </w:rPr>
        <w:t xml:space="preserve">za řádně a včas poskytnuté plnění </w:t>
      </w:r>
      <w:r w:rsidR="00BF5F6E">
        <w:rPr>
          <w:lang w:val="cs-CZ"/>
        </w:rPr>
        <w:t xml:space="preserve">náleží </w:t>
      </w:r>
      <w:r w:rsidR="004853BD">
        <w:rPr>
          <w:lang w:val="cs-CZ"/>
        </w:rPr>
        <w:t xml:space="preserve">poměrná část z ceny uvedené v kapitole </w:t>
      </w:r>
      <w:r w:rsidR="004853BD">
        <w:rPr>
          <w:lang w:val="cs-CZ"/>
        </w:rPr>
        <w:fldChar w:fldCharType="begin"/>
      </w:r>
      <w:r w:rsidR="004853BD">
        <w:rPr>
          <w:lang w:val="cs-CZ"/>
        </w:rPr>
        <w:instrText xml:space="preserve"> REF _Ref368576126 \r \h </w:instrText>
      </w:r>
      <w:r w:rsidR="004853BD">
        <w:rPr>
          <w:lang w:val="cs-CZ"/>
        </w:rPr>
      </w:r>
      <w:r w:rsidR="004853BD">
        <w:rPr>
          <w:lang w:val="cs-CZ"/>
        </w:rPr>
        <w:fldChar w:fldCharType="separate"/>
      </w:r>
      <w:r w:rsidR="00041400">
        <w:rPr>
          <w:lang w:val="cs-CZ"/>
        </w:rPr>
        <w:t>IV</w:t>
      </w:r>
      <w:r w:rsidR="004853BD">
        <w:rPr>
          <w:lang w:val="cs-CZ"/>
        </w:rPr>
        <w:fldChar w:fldCharType="end"/>
      </w:r>
      <w:r>
        <w:rPr>
          <w:lang w:val="cs-CZ"/>
        </w:rPr>
        <w:t>.</w:t>
      </w:r>
      <w:r w:rsidR="004853BD">
        <w:rPr>
          <w:lang w:val="cs-CZ"/>
        </w:rPr>
        <w:t xml:space="preserve"> Smlouvy</w:t>
      </w:r>
      <w:r w:rsidR="00FF1FD0">
        <w:rPr>
          <w:lang w:val="cs-CZ"/>
        </w:rPr>
        <w:t>,</w:t>
      </w:r>
      <w:r>
        <w:rPr>
          <w:lang w:val="cs-CZ"/>
        </w:rPr>
        <w:t xml:space="preserve"> </w:t>
      </w:r>
      <w:r w:rsidR="00FF1FD0">
        <w:rPr>
          <w:lang w:val="cs-CZ"/>
        </w:rPr>
        <w:t>a</w:t>
      </w:r>
      <w:r>
        <w:rPr>
          <w:lang w:val="cs-CZ"/>
        </w:rPr>
        <w:t xml:space="preserve">likvotní část ceny za neposkytnuté služby se Poskytovatel zavazuje bezodkladně </w:t>
      </w:r>
      <w:r w:rsidR="00FF1FD0">
        <w:rPr>
          <w:lang w:val="cs-CZ"/>
        </w:rPr>
        <w:t>uhradit</w:t>
      </w:r>
      <w:r>
        <w:rPr>
          <w:lang w:val="cs-CZ"/>
        </w:rPr>
        <w:t xml:space="preserve"> Uživateli na základě </w:t>
      </w:r>
      <w:r w:rsidR="00FF1FD0">
        <w:rPr>
          <w:lang w:val="cs-CZ"/>
        </w:rPr>
        <w:t xml:space="preserve">vystaveného opravného daňového dokladu </w:t>
      </w:r>
      <w:r w:rsidR="00DA3182">
        <w:rPr>
          <w:lang w:val="cs-CZ"/>
        </w:rPr>
        <w:t>se 14 denní splatností.</w:t>
      </w:r>
    </w:p>
    <w:p w:rsidR="00B33BE3" w:rsidRPr="00B20576" w:rsidRDefault="00B33BE3" w:rsidP="003F433E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>Smlouva je vyhotovena ve dvou stejnopisech a každá ze Smluvních stran obdrží jedno vyhotovení.</w:t>
      </w:r>
    </w:p>
    <w:p w:rsidR="00B33BE3" w:rsidRPr="00B20576" w:rsidRDefault="00B33BE3" w:rsidP="003F433E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>Nedílnou součástí této Smlouvy je její Příloha č. 1 –</w:t>
      </w:r>
      <w:r w:rsidRPr="00B20576" w:rsidDel="00A30A7A">
        <w:rPr>
          <w:lang w:val="cs-CZ"/>
        </w:rPr>
        <w:t xml:space="preserve"> </w:t>
      </w:r>
      <w:r w:rsidRPr="00B20576">
        <w:rPr>
          <w:lang w:val="cs-CZ"/>
        </w:rPr>
        <w:t>Servisní podmínky a Příloha č. 2 – Kalkulace ceny.</w:t>
      </w:r>
      <w:r>
        <w:rPr>
          <w:lang w:val="cs-CZ"/>
        </w:rPr>
        <w:t xml:space="preserve"> Uživatel výslovně potvrzuje, že je seznámen se Servisními podmínkami i s Kalkulací ceny a podpisem této Smlouvy s nimi vyslovuje svůj souhlas. </w:t>
      </w:r>
    </w:p>
    <w:p w:rsidR="00B33BE3" w:rsidRPr="00B20576" w:rsidRDefault="00B33BE3" w:rsidP="003F433E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>Smlouva nabývá platnosti a účinnosti dnem jejího uzavření Smluvními stranami.</w:t>
      </w:r>
    </w:p>
    <w:p w:rsidR="00B33BE3" w:rsidRPr="00B20576" w:rsidRDefault="00B33BE3" w:rsidP="003F433E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>Smlouva může být měněna pouze písemnými dodatky uzavřenými mezi Smluvními stranami.</w:t>
      </w:r>
    </w:p>
    <w:p w:rsidR="003F433E" w:rsidRPr="00B33BE3" w:rsidRDefault="00B33BE3" w:rsidP="00E4412E">
      <w:pPr>
        <w:pStyle w:val="Odstavecsmlouvy"/>
        <w:keepNext/>
        <w:keepLines/>
        <w:numPr>
          <w:ilvl w:val="2"/>
          <w:numId w:val="15"/>
        </w:numPr>
        <w:tabs>
          <w:tab w:val="clear" w:pos="851"/>
        </w:tabs>
        <w:rPr>
          <w:lang w:val="cs-CZ"/>
        </w:rPr>
      </w:pPr>
      <w:bookmarkStart w:id="8" w:name="_Ref376496695"/>
      <w:r w:rsidRPr="00B20576">
        <w:rPr>
          <w:lang w:val="cs-CZ"/>
        </w:rPr>
        <w:t>Tato Smlouva se uzavírá na dobu uvedenou v</w:t>
      </w:r>
      <w:r>
        <w:rPr>
          <w:lang w:val="cs-CZ"/>
        </w:rPr>
        <w:t xml:space="preserve"> kapitole II. </w:t>
      </w:r>
      <w:proofErr w:type="gramStart"/>
      <w:r>
        <w:rPr>
          <w:lang w:val="cs-CZ"/>
        </w:rPr>
        <w:t>odst.</w:t>
      </w:r>
      <w:r w:rsidR="0009641D">
        <w:rPr>
          <w:lang w:val="cs-CZ"/>
        </w:rPr>
        <w:t xml:space="preserve"> </w:t>
      </w:r>
      <w:r w:rsidRPr="00B20576">
        <w:rPr>
          <w:lang w:val="cs-CZ"/>
        </w:rPr>
        <w:fldChar w:fldCharType="begin"/>
      </w:r>
      <w:r w:rsidRPr="00B20576">
        <w:rPr>
          <w:lang w:val="cs-CZ"/>
        </w:rPr>
        <w:instrText xml:space="preserve"> REF _Ref335741680 \r \h </w:instrText>
      </w:r>
      <w:r w:rsidRPr="00B20576">
        <w:rPr>
          <w:lang w:val="cs-CZ"/>
        </w:rPr>
      </w:r>
      <w:r w:rsidRPr="00B20576">
        <w:rPr>
          <w:lang w:val="cs-CZ"/>
        </w:rPr>
        <w:fldChar w:fldCharType="separate"/>
      </w:r>
      <w:r w:rsidR="00041400">
        <w:rPr>
          <w:lang w:val="cs-CZ"/>
        </w:rPr>
        <w:t>2.1</w:t>
      </w:r>
      <w:r w:rsidRPr="00B20576">
        <w:rPr>
          <w:lang w:val="cs-CZ"/>
        </w:rPr>
        <w:fldChar w:fldCharType="end"/>
      </w:r>
      <w:r w:rsidR="00673F76">
        <w:rPr>
          <w:lang w:val="cs-CZ"/>
        </w:rPr>
        <w:t xml:space="preserve"> </w:t>
      </w:r>
      <w:r w:rsidRPr="00B20576">
        <w:rPr>
          <w:lang w:val="cs-CZ"/>
        </w:rPr>
        <w:t>s tím</w:t>
      </w:r>
      <w:proofErr w:type="gramEnd"/>
      <w:r w:rsidRPr="00B20576">
        <w:rPr>
          <w:lang w:val="cs-CZ"/>
        </w:rPr>
        <w:t>, že pokud Smluvní strany nenahradí tuto Smlouvu novou servisní smlouvou nebo smlouvu neukončí</w:t>
      </w:r>
      <w:r w:rsidR="006A43EE">
        <w:rPr>
          <w:lang w:val="cs-CZ"/>
        </w:rPr>
        <w:t xml:space="preserve"> </w:t>
      </w:r>
      <w:r w:rsidR="009B2649">
        <w:rPr>
          <w:lang w:val="cs-CZ"/>
        </w:rPr>
        <w:t xml:space="preserve">dle odst. </w:t>
      </w:r>
      <w:r w:rsidR="009B2649">
        <w:rPr>
          <w:lang w:val="cs-CZ"/>
        </w:rPr>
        <w:fldChar w:fldCharType="begin"/>
      </w:r>
      <w:r w:rsidR="009B2649">
        <w:rPr>
          <w:lang w:val="cs-CZ"/>
        </w:rPr>
        <w:instrText xml:space="preserve"> REF _Ref339373768 \r \h </w:instrText>
      </w:r>
      <w:r w:rsidR="009B2649">
        <w:rPr>
          <w:lang w:val="cs-CZ"/>
        </w:rPr>
      </w:r>
      <w:r w:rsidR="009B2649">
        <w:rPr>
          <w:lang w:val="cs-CZ"/>
        </w:rPr>
        <w:fldChar w:fldCharType="separate"/>
      </w:r>
      <w:r w:rsidR="00041400">
        <w:rPr>
          <w:lang w:val="cs-CZ"/>
        </w:rPr>
        <w:t>7.2</w:t>
      </w:r>
      <w:r w:rsidR="009B2649">
        <w:rPr>
          <w:lang w:val="cs-CZ"/>
        </w:rPr>
        <w:fldChar w:fldCharType="end"/>
      </w:r>
      <w:r w:rsidR="009B2649">
        <w:rPr>
          <w:lang w:val="cs-CZ"/>
        </w:rPr>
        <w:t xml:space="preserve"> a/nebo odst. </w:t>
      </w:r>
      <w:r w:rsidR="009B2649">
        <w:rPr>
          <w:lang w:val="cs-CZ"/>
        </w:rPr>
        <w:fldChar w:fldCharType="begin"/>
      </w:r>
      <w:r w:rsidR="009B2649">
        <w:rPr>
          <w:lang w:val="cs-CZ"/>
        </w:rPr>
        <w:instrText xml:space="preserve"> REF _Ref376497264 \r \h </w:instrText>
      </w:r>
      <w:r w:rsidR="009B2649">
        <w:rPr>
          <w:lang w:val="cs-CZ"/>
        </w:rPr>
      </w:r>
      <w:r w:rsidR="009B2649">
        <w:rPr>
          <w:lang w:val="cs-CZ"/>
        </w:rPr>
        <w:fldChar w:fldCharType="separate"/>
      </w:r>
      <w:r w:rsidR="00041400">
        <w:rPr>
          <w:lang w:val="cs-CZ"/>
        </w:rPr>
        <w:t>7.3</w:t>
      </w:r>
      <w:r w:rsidR="009B2649">
        <w:rPr>
          <w:lang w:val="cs-CZ"/>
        </w:rPr>
        <w:fldChar w:fldCharType="end"/>
      </w:r>
      <w:r w:rsidR="009B2649">
        <w:rPr>
          <w:lang w:val="cs-CZ"/>
        </w:rPr>
        <w:t xml:space="preserve"> této Smlouvy</w:t>
      </w:r>
      <w:r w:rsidRPr="00B20576">
        <w:rPr>
          <w:lang w:val="cs-CZ"/>
        </w:rPr>
        <w:t xml:space="preserve">, </w:t>
      </w:r>
      <w:r>
        <w:rPr>
          <w:lang w:val="cs-CZ"/>
        </w:rPr>
        <w:t>trvání</w:t>
      </w:r>
      <w:r w:rsidR="00EA0ECD">
        <w:rPr>
          <w:lang w:val="cs-CZ"/>
        </w:rPr>
        <w:t xml:space="preserve"> stávající Smlouvy se automaticky p</w:t>
      </w:r>
      <w:r w:rsidR="009B2649">
        <w:rPr>
          <w:lang w:val="cs-CZ"/>
        </w:rPr>
        <w:t>rodlužuje o jeden rok a to i </w:t>
      </w:r>
      <w:r w:rsidR="00EA0ECD">
        <w:rPr>
          <w:lang w:val="cs-CZ"/>
        </w:rPr>
        <w:t>opakovaně. V takovém</w:t>
      </w:r>
      <w:r w:rsidRPr="00B20576">
        <w:rPr>
          <w:lang w:val="cs-CZ"/>
        </w:rPr>
        <w:t xml:space="preserve"> </w:t>
      </w:r>
      <w:r w:rsidR="003F433E" w:rsidRPr="00B20576">
        <w:rPr>
          <w:lang w:val="cs-CZ"/>
        </w:rPr>
        <w:t>případě je Poskytovatel vždy oprávněn navýšit cenu za servisní podporu sjednanou touto Smlouvou na další roční období o procento odpovídající průměrné meziroční míře inflace</w:t>
      </w:r>
      <w:r w:rsidR="003F433E">
        <w:rPr>
          <w:lang w:val="cs-CZ"/>
        </w:rPr>
        <w:t xml:space="preserve"> vyhlášené Českým statistickým úřadem</w:t>
      </w:r>
      <w:r w:rsidR="003F433E" w:rsidRPr="00B20576">
        <w:rPr>
          <w:lang w:val="cs-CZ"/>
        </w:rPr>
        <w:t>, a to jednostranným</w:t>
      </w:r>
      <w:r w:rsidR="003F433E">
        <w:rPr>
          <w:lang w:val="cs-CZ"/>
        </w:rPr>
        <w:t xml:space="preserve"> oznámením zaslaným Uživateli.</w:t>
      </w:r>
      <w:bookmarkEnd w:id="8"/>
    </w:p>
    <w:p w:rsidR="00E4412E" w:rsidRDefault="003C0C19" w:rsidP="00E4412E">
      <w:pPr>
        <w:pStyle w:val="Zkladntext"/>
        <w:keepNext/>
        <w:keepLines/>
      </w:pPr>
      <w:r w:rsidRPr="00B205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276860</wp:posOffset>
                </wp:positionV>
                <wp:extent cx="2495550" cy="158813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58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A06" w:rsidRPr="00C90904" w:rsidRDefault="00346A06" w:rsidP="000B64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0904">
                              <w:rPr>
                                <w:sz w:val="20"/>
                                <w:szCs w:val="20"/>
                              </w:rPr>
                              <w:t xml:space="preserve">V Hradci </w:t>
                            </w:r>
                            <w:proofErr w:type="gramStart"/>
                            <w:r w:rsidRPr="00C90904">
                              <w:rPr>
                                <w:sz w:val="20"/>
                                <w:szCs w:val="20"/>
                              </w:rPr>
                              <w:t>Králové</w:t>
                            </w:r>
                            <w:r w:rsidR="008B39F3">
                              <w:rPr>
                                <w:sz w:val="20"/>
                                <w:szCs w:val="20"/>
                              </w:rPr>
                              <w:t xml:space="preserve">  30</w:t>
                            </w:r>
                            <w:proofErr w:type="gramEnd"/>
                            <w:r w:rsidR="008B39F3">
                              <w:rPr>
                                <w:sz w:val="20"/>
                                <w:szCs w:val="20"/>
                              </w:rPr>
                              <w:t>. 11. 2015</w:t>
                            </w:r>
                          </w:p>
                          <w:p w:rsidR="00346A06" w:rsidRPr="00C90904" w:rsidRDefault="00346A06" w:rsidP="003F43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6A06" w:rsidRDefault="00346A06" w:rsidP="003F43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6A06" w:rsidRDefault="00346A06" w:rsidP="003F43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6A06" w:rsidRPr="00C90904" w:rsidRDefault="00346A06" w:rsidP="003F43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6A06" w:rsidRPr="00C90904" w:rsidRDefault="00346A06" w:rsidP="003F43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0904">
                              <w:rPr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:rsidR="00346A06" w:rsidRPr="00C90904" w:rsidRDefault="00346A06" w:rsidP="003F433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0904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Ing. Jan Mach, </w:t>
                            </w:r>
                            <w:r w:rsidRPr="00C90904">
                              <w:rPr>
                                <w:color w:val="000000"/>
                                <w:sz w:val="20"/>
                                <w:szCs w:val="20"/>
                              </w:rPr>
                              <w:t>jednatel</w:t>
                            </w:r>
                          </w:p>
                          <w:p w:rsidR="00346A06" w:rsidRPr="00C90904" w:rsidRDefault="00346A06" w:rsidP="003F43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0904">
                              <w:rPr>
                                <w:color w:val="000000"/>
                                <w:sz w:val="20"/>
                                <w:szCs w:val="20"/>
                              </w:rPr>
                              <w:t>společnosti</w:t>
                            </w:r>
                            <w:r w:rsidRPr="00C90904">
                              <w:rPr>
                                <w:sz w:val="20"/>
                                <w:szCs w:val="20"/>
                              </w:rPr>
                              <w:t xml:space="preserve"> DERS s. r. 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5.65pt;margin-top:21.8pt;width:196.5pt;height:12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uR0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" stroked="f">
                <v:textbox>
                  <w:txbxContent>
                    <w:p w:rsidR="00346A06" w:rsidRPr="00C90904" w:rsidRDefault="00346A06" w:rsidP="000B64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90904">
                        <w:rPr>
                          <w:sz w:val="20"/>
                          <w:szCs w:val="20"/>
                        </w:rPr>
                        <w:t xml:space="preserve">V Hradci </w:t>
                      </w:r>
                      <w:proofErr w:type="gramStart"/>
                      <w:r w:rsidRPr="00C90904">
                        <w:rPr>
                          <w:sz w:val="20"/>
                          <w:szCs w:val="20"/>
                        </w:rPr>
                        <w:t>Králové</w:t>
                      </w:r>
                      <w:r w:rsidR="008B39F3">
                        <w:rPr>
                          <w:sz w:val="20"/>
                          <w:szCs w:val="20"/>
                        </w:rPr>
                        <w:t xml:space="preserve">  30</w:t>
                      </w:r>
                      <w:proofErr w:type="gramEnd"/>
                      <w:r w:rsidR="008B39F3">
                        <w:rPr>
                          <w:sz w:val="20"/>
                          <w:szCs w:val="20"/>
                        </w:rPr>
                        <w:t>. 11. 2015</w:t>
                      </w:r>
                    </w:p>
                    <w:p w:rsidR="00346A06" w:rsidRPr="00C90904" w:rsidRDefault="00346A06" w:rsidP="003F43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46A06" w:rsidRDefault="00346A06" w:rsidP="003F43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46A06" w:rsidRDefault="00346A06" w:rsidP="003F43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46A06" w:rsidRPr="00C90904" w:rsidRDefault="00346A06" w:rsidP="003F43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46A06" w:rsidRPr="00C90904" w:rsidRDefault="00346A06" w:rsidP="003F43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90904">
                        <w:rPr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:rsidR="00346A06" w:rsidRPr="00C90904" w:rsidRDefault="00346A06" w:rsidP="003F433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C90904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Ing. Jan Mach, </w:t>
                      </w:r>
                      <w:r w:rsidRPr="00C90904">
                        <w:rPr>
                          <w:color w:val="000000"/>
                          <w:sz w:val="20"/>
                          <w:szCs w:val="20"/>
                        </w:rPr>
                        <w:t>jednatel</w:t>
                      </w:r>
                    </w:p>
                    <w:p w:rsidR="00346A06" w:rsidRPr="00C90904" w:rsidRDefault="00346A06" w:rsidP="003F43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90904">
                        <w:rPr>
                          <w:color w:val="000000"/>
                          <w:sz w:val="20"/>
                          <w:szCs w:val="20"/>
                        </w:rPr>
                        <w:t>společnosti</w:t>
                      </w:r>
                      <w:r w:rsidRPr="00C90904">
                        <w:rPr>
                          <w:sz w:val="20"/>
                          <w:szCs w:val="20"/>
                        </w:rPr>
                        <w:t xml:space="preserve"> DERS s. r. 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205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240030</wp:posOffset>
                </wp:positionV>
                <wp:extent cx="2581275" cy="1729740"/>
                <wp:effectExtent l="0" t="0" r="9525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A06" w:rsidRPr="00C90904" w:rsidRDefault="00346A06" w:rsidP="000B64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90904">
                              <w:rPr>
                                <w:sz w:val="20"/>
                                <w:szCs w:val="20"/>
                              </w:rPr>
                              <w:t>V </w:t>
                            </w:r>
                            <w:proofErr w:type="gramStart"/>
                            <w:r w:rsidRPr="00AD5C42">
                              <w:rPr>
                                <w:sz w:val="20"/>
                                <w:szCs w:val="20"/>
                              </w:rPr>
                              <w:t>Praze</w:t>
                            </w:r>
                            <w:r w:rsidRPr="00C9090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39F3">
                              <w:rPr>
                                <w:sz w:val="20"/>
                                <w:szCs w:val="20"/>
                              </w:rPr>
                              <w:t xml:space="preserve"> 2. 12</w:t>
                            </w:r>
                            <w:proofErr w:type="gramEnd"/>
                            <w:r w:rsidR="008B39F3">
                              <w:rPr>
                                <w:sz w:val="20"/>
                                <w:szCs w:val="20"/>
                              </w:rPr>
                              <w:t>. 2015</w:t>
                            </w:r>
                          </w:p>
                          <w:p w:rsidR="00346A06" w:rsidRPr="00C90904" w:rsidRDefault="00346A06" w:rsidP="003F43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6A06" w:rsidRDefault="00346A06" w:rsidP="003F43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6A06" w:rsidRDefault="00346A06" w:rsidP="003F43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6A06" w:rsidRPr="00C90904" w:rsidRDefault="00346A06" w:rsidP="003F43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6A06" w:rsidRPr="00C90904" w:rsidRDefault="00346A06" w:rsidP="003F43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0904">
                              <w:rPr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:rsidR="00346A06" w:rsidRDefault="00346A06" w:rsidP="006A16BC">
                            <w:pPr>
                              <w:pStyle w:val="Smlouvazkladntext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Filip Malý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>, tajemník</w:t>
                            </w:r>
                          </w:p>
                          <w:p w:rsidR="00346A06" w:rsidRDefault="00346A06" w:rsidP="006A16BC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>Filozofická fakulta Univerzity Karlovy v Praze</w:t>
                            </w:r>
                          </w:p>
                          <w:p w:rsidR="00346A06" w:rsidRPr="00AD5C42" w:rsidRDefault="00346A06" w:rsidP="006A16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41.75pt;margin-top:18.9pt;width:203.25pt;height:13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ZFhwIAABcFAAAOAAAAZHJzL2Uyb0RvYy54bWysVNuO2yAQfa/Uf0C8Z32ps46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" stroked="f">
                <v:textbox>
                  <w:txbxContent>
                    <w:p w:rsidR="00346A06" w:rsidRPr="00C90904" w:rsidRDefault="00346A06" w:rsidP="000B64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C90904">
                        <w:rPr>
                          <w:sz w:val="20"/>
                          <w:szCs w:val="20"/>
                        </w:rPr>
                        <w:t>V </w:t>
                      </w:r>
                      <w:proofErr w:type="gramStart"/>
                      <w:r w:rsidRPr="00AD5C42">
                        <w:rPr>
                          <w:sz w:val="20"/>
                          <w:szCs w:val="20"/>
                        </w:rPr>
                        <w:t>Praze</w:t>
                      </w:r>
                      <w:r w:rsidRPr="00C9090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B39F3">
                        <w:rPr>
                          <w:sz w:val="20"/>
                          <w:szCs w:val="20"/>
                        </w:rPr>
                        <w:t xml:space="preserve"> 2. 12</w:t>
                      </w:r>
                      <w:proofErr w:type="gramEnd"/>
                      <w:r w:rsidR="008B39F3">
                        <w:rPr>
                          <w:sz w:val="20"/>
                          <w:szCs w:val="20"/>
                        </w:rPr>
                        <w:t>. 2015</w:t>
                      </w:r>
                    </w:p>
                    <w:p w:rsidR="00346A06" w:rsidRPr="00C90904" w:rsidRDefault="00346A06" w:rsidP="003F43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46A06" w:rsidRDefault="00346A06" w:rsidP="003F43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46A06" w:rsidRDefault="00346A06" w:rsidP="003F43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46A06" w:rsidRPr="00C90904" w:rsidRDefault="00346A06" w:rsidP="003F43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46A06" w:rsidRPr="00C90904" w:rsidRDefault="00346A06" w:rsidP="003F43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90904">
                        <w:rPr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:rsidR="00346A06" w:rsidRDefault="00346A06" w:rsidP="006A16BC">
                      <w:pPr>
                        <w:pStyle w:val="Smlouvazkladntext"/>
                        <w:jc w:val="center"/>
                      </w:pPr>
                      <w:r>
                        <w:rPr>
                          <w:b/>
                          <w:sz w:val="22"/>
                          <w:szCs w:val="22"/>
                          <w:shd w:val="clear" w:color="auto" w:fill="FFFFFF"/>
                        </w:rPr>
                        <w:t>Filip Malý</w:t>
                      </w:r>
                      <w:r>
                        <w:rPr>
                          <w:sz w:val="22"/>
                          <w:szCs w:val="22"/>
                          <w:shd w:val="clear" w:color="auto" w:fill="FFFFFF"/>
                        </w:rPr>
                        <w:t>, tajemník</w:t>
                      </w:r>
                    </w:p>
                    <w:p w:rsidR="00346A06" w:rsidRDefault="00346A06" w:rsidP="006A16BC">
                      <w:pPr>
                        <w:pStyle w:val="Framecontents"/>
                        <w:jc w:val="center"/>
                      </w:pPr>
                      <w:r>
                        <w:rPr>
                          <w:sz w:val="22"/>
                          <w:szCs w:val="22"/>
                          <w:shd w:val="clear" w:color="auto" w:fill="FFFFFF"/>
                        </w:rPr>
                        <w:t>Filozofická fakulta Univerzity Karlovy v Praze</w:t>
                      </w:r>
                    </w:p>
                    <w:p w:rsidR="00346A06" w:rsidRPr="00AD5C42" w:rsidRDefault="00346A06" w:rsidP="006A16B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4412E" w:rsidRDefault="00E4412E" w:rsidP="00E4412E">
      <w:pPr>
        <w:pStyle w:val="Odstavecsmlouvy"/>
        <w:keepNext/>
        <w:keepLines/>
        <w:numPr>
          <w:ilvl w:val="0"/>
          <w:numId w:val="0"/>
        </w:numPr>
        <w:rPr>
          <w:lang w:val="cs-CZ"/>
        </w:rPr>
      </w:pPr>
    </w:p>
    <w:p w:rsidR="001027F9" w:rsidRDefault="001027F9" w:rsidP="00E4412E">
      <w:pPr>
        <w:pStyle w:val="Odstavecsmlouvy"/>
        <w:keepNext/>
        <w:keepLines/>
        <w:numPr>
          <w:ilvl w:val="0"/>
          <w:numId w:val="0"/>
        </w:numPr>
      </w:pPr>
    </w:p>
    <w:p w:rsidR="001027F9" w:rsidRPr="001027F9" w:rsidRDefault="001027F9" w:rsidP="001027F9">
      <w:pPr>
        <w:rPr>
          <w:lang w:val="x-none" w:eastAsia="en-US"/>
        </w:rPr>
      </w:pPr>
    </w:p>
    <w:p w:rsidR="001027F9" w:rsidRPr="001027F9" w:rsidRDefault="001027F9" w:rsidP="001027F9">
      <w:pPr>
        <w:rPr>
          <w:lang w:val="x-none" w:eastAsia="en-US"/>
        </w:rPr>
      </w:pPr>
    </w:p>
    <w:p w:rsidR="001027F9" w:rsidRPr="001027F9" w:rsidRDefault="001027F9" w:rsidP="001027F9">
      <w:pPr>
        <w:rPr>
          <w:lang w:val="x-none" w:eastAsia="en-US"/>
        </w:rPr>
      </w:pPr>
    </w:p>
    <w:p w:rsidR="001027F9" w:rsidRPr="001027F9" w:rsidRDefault="001027F9" w:rsidP="001027F9">
      <w:pPr>
        <w:rPr>
          <w:lang w:val="x-none" w:eastAsia="en-US"/>
        </w:rPr>
      </w:pPr>
    </w:p>
    <w:p w:rsidR="001027F9" w:rsidRPr="001027F9" w:rsidRDefault="001027F9" w:rsidP="001027F9">
      <w:pPr>
        <w:rPr>
          <w:lang w:val="x-none" w:eastAsia="en-US"/>
        </w:rPr>
      </w:pPr>
    </w:p>
    <w:p w:rsidR="001027F9" w:rsidRPr="001027F9" w:rsidRDefault="001027F9" w:rsidP="001027F9">
      <w:pPr>
        <w:rPr>
          <w:lang w:val="x-none" w:eastAsia="en-US"/>
        </w:rPr>
      </w:pPr>
    </w:p>
    <w:p w:rsidR="001027F9" w:rsidRPr="001027F9" w:rsidRDefault="001027F9" w:rsidP="001027F9">
      <w:pPr>
        <w:rPr>
          <w:lang w:val="x-none" w:eastAsia="en-US"/>
        </w:rPr>
      </w:pPr>
    </w:p>
    <w:p w:rsidR="001027F9" w:rsidRPr="001027F9" w:rsidRDefault="001027F9" w:rsidP="001027F9">
      <w:pPr>
        <w:rPr>
          <w:lang w:val="x-none" w:eastAsia="en-US"/>
        </w:rPr>
      </w:pPr>
    </w:p>
    <w:p w:rsidR="001027F9" w:rsidRPr="001027F9" w:rsidRDefault="001027F9" w:rsidP="001027F9">
      <w:pPr>
        <w:rPr>
          <w:lang w:val="x-none" w:eastAsia="en-US"/>
        </w:rPr>
      </w:pPr>
    </w:p>
    <w:p w:rsidR="001027F9" w:rsidRPr="001027F9" w:rsidRDefault="001027F9" w:rsidP="001027F9">
      <w:pPr>
        <w:rPr>
          <w:lang w:val="x-none" w:eastAsia="en-US"/>
        </w:rPr>
      </w:pPr>
    </w:p>
    <w:p w:rsidR="001027F9" w:rsidRPr="001027F9" w:rsidRDefault="001027F9" w:rsidP="001027F9">
      <w:pPr>
        <w:rPr>
          <w:lang w:val="x-none" w:eastAsia="en-US"/>
        </w:rPr>
      </w:pPr>
    </w:p>
    <w:p w:rsidR="001027F9" w:rsidRPr="001027F9" w:rsidRDefault="001027F9" w:rsidP="001027F9">
      <w:pPr>
        <w:rPr>
          <w:lang w:val="x-none" w:eastAsia="en-US"/>
        </w:rPr>
      </w:pPr>
    </w:p>
    <w:p w:rsidR="001027F9" w:rsidRDefault="001027F9" w:rsidP="001027F9">
      <w:pPr>
        <w:rPr>
          <w:lang w:val="x-none" w:eastAsia="en-US"/>
        </w:rPr>
      </w:pPr>
    </w:p>
    <w:p w:rsidR="001027F9" w:rsidRDefault="001027F9" w:rsidP="001027F9">
      <w:pPr>
        <w:tabs>
          <w:tab w:val="left" w:pos="6120"/>
        </w:tabs>
        <w:rPr>
          <w:lang w:val="x-none" w:eastAsia="en-US"/>
        </w:rPr>
      </w:pPr>
      <w:r>
        <w:rPr>
          <w:lang w:val="x-none" w:eastAsia="en-US"/>
        </w:rPr>
        <w:tab/>
      </w:r>
    </w:p>
    <w:p w:rsidR="00E4412E" w:rsidRPr="001027F9" w:rsidRDefault="001027F9" w:rsidP="001027F9">
      <w:pPr>
        <w:tabs>
          <w:tab w:val="left" w:pos="6120"/>
        </w:tabs>
        <w:rPr>
          <w:lang w:val="x-none" w:eastAsia="en-US"/>
        </w:rPr>
        <w:sectPr w:rsidR="00E4412E" w:rsidRPr="001027F9" w:rsidSect="00DC3CF6">
          <w:headerReference w:type="default" r:id="rId8"/>
          <w:footerReference w:type="default" r:id="rId9"/>
          <w:pgSz w:w="11906" w:h="16838" w:code="9"/>
          <w:pgMar w:top="1677" w:right="991" w:bottom="993" w:left="1985" w:header="709" w:footer="351" w:gutter="0"/>
          <w:cols w:space="708"/>
          <w:docGrid w:linePitch="360"/>
        </w:sectPr>
      </w:pPr>
      <w:r>
        <w:rPr>
          <w:lang w:val="x-none" w:eastAsia="en-US"/>
        </w:rPr>
        <w:tab/>
      </w:r>
    </w:p>
    <w:p w:rsidR="00E018A4" w:rsidRPr="00B20576" w:rsidRDefault="00E91396" w:rsidP="00E018A4">
      <w:pPr>
        <w:pStyle w:val="Nadpissmlouvy"/>
      </w:pPr>
      <w:bookmarkStart w:id="9" w:name="_Toc188848303"/>
      <w:bookmarkStart w:id="10" w:name="_Ref187680124"/>
      <w:bookmarkStart w:id="11" w:name="_Toc187680761"/>
      <w:bookmarkStart w:id="12" w:name="_Toc187680835"/>
      <w:r w:rsidRPr="00B20576">
        <w:rPr>
          <w:color w:val="8A003E"/>
        </w:rPr>
        <w:lastRenderedPageBreak/>
        <w:t>Příloha č. 1 Servisní smlouvy:</w:t>
      </w:r>
      <w:r w:rsidRPr="00B20576">
        <w:t xml:space="preserve"> </w:t>
      </w:r>
      <w:bookmarkEnd w:id="9"/>
      <w:r w:rsidRPr="00B20576">
        <w:t>Servisní podmínky</w:t>
      </w:r>
    </w:p>
    <w:p w:rsidR="00E91396" w:rsidRPr="00B20576" w:rsidRDefault="00E91396" w:rsidP="00B51E6C">
      <w:pPr>
        <w:pStyle w:val="lneksmlouvy"/>
        <w:numPr>
          <w:ilvl w:val="1"/>
          <w:numId w:val="16"/>
        </w:numPr>
      </w:pPr>
      <w:r w:rsidRPr="00B20576">
        <w:t>Preambule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567"/>
        </w:tabs>
        <w:rPr>
          <w:lang w:val="cs-CZ"/>
        </w:rPr>
      </w:pPr>
      <w:r w:rsidRPr="00B20576">
        <w:rPr>
          <w:lang w:val="cs-CZ"/>
        </w:rPr>
        <w:t xml:space="preserve">Poskytovatel se vždy snaží poskytovat služby v co nejkratším možném termínu a všechny svoje </w:t>
      </w:r>
      <w:r w:rsidR="002C7323" w:rsidRPr="00B20576">
        <w:rPr>
          <w:lang w:val="cs-CZ"/>
        </w:rPr>
        <w:t>P</w:t>
      </w:r>
      <w:r w:rsidRPr="00B20576">
        <w:rPr>
          <w:lang w:val="cs-CZ"/>
        </w:rPr>
        <w:t xml:space="preserve">rodukty testuje s náležitou pečlivostí, aby nedocházelo k výskytu Incidentů a Chyb. Nicméně Chyby mohou vzniknout i vlivem změny prostředí </w:t>
      </w:r>
      <w:r w:rsidR="00295186" w:rsidRPr="00B20576">
        <w:rPr>
          <w:lang w:val="cs-CZ"/>
        </w:rPr>
        <w:t xml:space="preserve">Uživatele </w:t>
      </w:r>
      <w:r w:rsidRPr="00B20576">
        <w:rPr>
          <w:lang w:val="cs-CZ"/>
        </w:rPr>
        <w:t xml:space="preserve">nebo změnou napojených informačních systémů třetích stran. </w:t>
      </w:r>
    </w:p>
    <w:p w:rsidR="00E91396" w:rsidRPr="00B20576" w:rsidRDefault="0029518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lang w:val="cs-CZ"/>
        </w:rPr>
        <w:t>S</w:t>
      </w:r>
      <w:r w:rsidR="00E91396" w:rsidRPr="00B20576">
        <w:rPr>
          <w:lang w:val="cs-CZ"/>
        </w:rPr>
        <w:t xml:space="preserve">mlouva proto ošetřuje případy, kdy dojde k Incidentu (problémové události), který může být způsoben </w:t>
      </w:r>
      <w:r w:rsidR="002C7323" w:rsidRPr="00B20576">
        <w:rPr>
          <w:lang w:val="cs-CZ"/>
        </w:rPr>
        <w:t>C</w:t>
      </w:r>
      <w:r w:rsidR="00E91396" w:rsidRPr="00B20576">
        <w:rPr>
          <w:lang w:val="cs-CZ"/>
        </w:rPr>
        <w:t xml:space="preserve">hybou </w:t>
      </w:r>
      <w:r w:rsidR="002C7323" w:rsidRPr="00B20576">
        <w:rPr>
          <w:lang w:val="cs-CZ"/>
        </w:rPr>
        <w:t>P</w:t>
      </w:r>
      <w:r w:rsidR="00E91396" w:rsidRPr="00B20576">
        <w:rPr>
          <w:lang w:val="cs-CZ"/>
        </w:rPr>
        <w:t xml:space="preserve">roduktu, neinformovaností </w:t>
      </w:r>
      <w:r w:rsidRPr="00B20576">
        <w:rPr>
          <w:lang w:val="cs-CZ"/>
        </w:rPr>
        <w:t xml:space="preserve">Uživatele </w:t>
      </w:r>
      <w:r w:rsidR="00E91396" w:rsidRPr="00B20576">
        <w:rPr>
          <w:lang w:val="cs-CZ"/>
        </w:rPr>
        <w:t xml:space="preserve">nebo změnou okolních podmínek. </w:t>
      </w:r>
    </w:p>
    <w:p w:rsidR="00446453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7679DB">
        <w:rPr>
          <w:lang w:val="cs-CZ"/>
        </w:rPr>
        <w:t xml:space="preserve">Cena </w:t>
      </w:r>
      <w:r w:rsidR="00295186" w:rsidRPr="007679DB">
        <w:rPr>
          <w:lang w:val="cs-CZ"/>
        </w:rPr>
        <w:t>S</w:t>
      </w:r>
      <w:r w:rsidRPr="007679DB">
        <w:rPr>
          <w:lang w:val="cs-CZ"/>
        </w:rPr>
        <w:t xml:space="preserve">mlouvy je mimo jiné hrazena za připravenost Poskytovatele řešit </w:t>
      </w:r>
      <w:r w:rsidR="00295186" w:rsidRPr="007679DB">
        <w:rPr>
          <w:lang w:val="cs-CZ"/>
        </w:rPr>
        <w:t xml:space="preserve">Incidenty </w:t>
      </w:r>
      <w:r w:rsidRPr="007679DB">
        <w:rPr>
          <w:lang w:val="cs-CZ"/>
        </w:rPr>
        <w:t xml:space="preserve">a zahrnuje řešení </w:t>
      </w:r>
      <w:r w:rsidR="00295186" w:rsidRPr="007679DB">
        <w:rPr>
          <w:lang w:val="cs-CZ"/>
        </w:rPr>
        <w:t xml:space="preserve">Chyb </w:t>
      </w:r>
      <w:r w:rsidRPr="007679DB">
        <w:rPr>
          <w:lang w:val="cs-CZ"/>
        </w:rPr>
        <w:t>v dohodnutých lhůtách</w:t>
      </w:r>
      <w:r w:rsidR="00446453">
        <w:rPr>
          <w:lang w:val="cs-CZ"/>
        </w:rPr>
        <w:t>.</w:t>
      </w:r>
    </w:p>
    <w:p w:rsidR="00E91396" w:rsidRPr="007679DB" w:rsidRDefault="0029518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7679DB">
        <w:rPr>
          <w:lang w:val="cs-CZ"/>
        </w:rPr>
        <w:t>S</w:t>
      </w:r>
      <w:r w:rsidR="00E91396" w:rsidRPr="007679DB">
        <w:rPr>
          <w:lang w:val="cs-CZ"/>
        </w:rPr>
        <w:t xml:space="preserve">mlouva neřeší rozvoj </w:t>
      </w:r>
      <w:r w:rsidR="00130A58" w:rsidRPr="007679DB">
        <w:rPr>
          <w:lang w:val="cs-CZ"/>
        </w:rPr>
        <w:t>A</w:t>
      </w:r>
      <w:r w:rsidR="00E91396" w:rsidRPr="007679DB">
        <w:rPr>
          <w:lang w:val="cs-CZ"/>
        </w:rPr>
        <w:t xml:space="preserve">plikace, pokud není kryt cenou paušálních (předplacených) hodin servisní podpory.  Standardně je rozvoj Informačního systému řešen formou Objednávky nebo Smlouvy o dílo a případné Licenční smlouvy. </w:t>
      </w:r>
    </w:p>
    <w:p w:rsidR="00E91396" w:rsidRPr="00B20576" w:rsidRDefault="00E91396" w:rsidP="00B51E6C">
      <w:pPr>
        <w:pStyle w:val="lneksmlouvy"/>
        <w:numPr>
          <w:ilvl w:val="1"/>
          <w:numId w:val="16"/>
        </w:numPr>
      </w:pPr>
      <w:r w:rsidRPr="00B20576">
        <w:t>Terminologie</w:t>
      </w:r>
      <w:bookmarkEnd w:id="10"/>
      <w:bookmarkEnd w:id="11"/>
      <w:bookmarkEnd w:id="12"/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>Smlouva</w:t>
      </w:r>
      <w:r w:rsidRPr="00B20576">
        <w:rPr>
          <w:lang w:val="cs-CZ"/>
        </w:rPr>
        <w:t xml:space="preserve"> = Servis</w:t>
      </w:r>
      <w:r w:rsidR="00C06BE1">
        <w:rPr>
          <w:lang w:val="cs-CZ"/>
        </w:rPr>
        <w:t>ní smlouva.</w:t>
      </w:r>
    </w:p>
    <w:p w:rsidR="00E9139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 xml:space="preserve">Aplikace = Produkt </w:t>
      </w:r>
      <w:r w:rsidRPr="00B20576">
        <w:rPr>
          <w:lang w:val="cs-CZ"/>
        </w:rPr>
        <w:t xml:space="preserve">je výsledkem práce vývojového týmu Poskytovatele, který je následně předán Uživateli k užívání. Jde tedy o informační systém jako celek nebo jeho libovolnou část dodávanou samostatně (modul, agenda) – dle kontextu. Uživateli je dostupná 24 hodin denně 7 dnů v týdnu. </w:t>
      </w:r>
    </w:p>
    <w:p w:rsidR="00A23BC1" w:rsidRDefault="00A23BC1" w:rsidP="00A23BC1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36544C">
        <w:rPr>
          <w:b/>
          <w:lang w:val="cs-CZ"/>
        </w:rPr>
        <w:t>Instance </w:t>
      </w:r>
      <w:r w:rsidRPr="0036544C">
        <w:rPr>
          <w:lang w:val="cs-CZ"/>
        </w:rPr>
        <w:t xml:space="preserve">je samostatná instalace Produktu se specifickou konfigurací a účelem, za kterým je provozována. Synonymem pro Instanci je výraz "Prostředí", užíván také v </w:t>
      </w:r>
      <w:proofErr w:type="spellStart"/>
      <w:r w:rsidRPr="0036544C">
        <w:rPr>
          <w:lang w:val="cs-CZ"/>
        </w:rPr>
        <w:t>HelpDesk</w:t>
      </w:r>
      <w:proofErr w:type="spellEnd"/>
      <w:r w:rsidRPr="0036544C">
        <w:rPr>
          <w:lang w:val="cs-CZ"/>
        </w:rPr>
        <w:t xml:space="preserve"> Poskytovatele. Pokud Smlouva Instance nijak nespecifikuje, je předmětem Smlouvy Produkt ve významu Produkční Instance. </w:t>
      </w:r>
    </w:p>
    <w:p w:rsidR="00A23BC1" w:rsidRPr="004E0E91" w:rsidRDefault="00A23BC1" w:rsidP="00A23BC1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4E0E91">
        <w:rPr>
          <w:b/>
          <w:lang w:val="cs-CZ"/>
        </w:rPr>
        <w:t>Produkční instance</w:t>
      </w:r>
      <w:r w:rsidRPr="004E0E91">
        <w:rPr>
          <w:lang w:val="cs-CZ"/>
        </w:rPr>
        <w:t> Produktu slouží k reálnému provozu a účelu, za kterým byl Produkt zakoupen. Synonymem pro Produkční Instanci je výraz "Ostrá".</w:t>
      </w:r>
    </w:p>
    <w:p w:rsidR="00A23BC1" w:rsidRPr="004E0E91" w:rsidRDefault="00A23BC1" w:rsidP="00A23BC1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4E0E91">
        <w:rPr>
          <w:b/>
          <w:lang w:val="cs-CZ"/>
        </w:rPr>
        <w:t>Demonstrační instance</w:t>
      </w:r>
      <w:r w:rsidRPr="004E0E91">
        <w:rPr>
          <w:lang w:val="cs-CZ"/>
        </w:rPr>
        <w:t> Produktu slouží k prezentaci a ke školení koncových uživatelů Uživatele na verzi Produktu shodné s verzí na instanci produkční. Synonymem pro Demonstrační instanci je výraz "Demo".</w:t>
      </w:r>
    </w:p>
    <w:p w:rsidR="00A23BC1" w:rsidRPr="004E0E91" w:rsidRDefault="00A23BC1" w:rsidP="00A23BC1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4E0E91">
        <w:rPr>
          <w:b/>
          <w:lang w:val="cs-CZ"/>
        </w:rPr>
        <w:t>Akceptační instance</w:t>
      </w:r>
      <w:r w:rsidRPr="004E0E91">
        <w:rPr>
          <w:lang w:val="cs-CZ"/>
        </w:rPr>
        <w:t xml:space="preserve"> Produktu slouží k testování a akceptaci nových verzí Produktu (Upgrade, Update, </w:t>
      </w:r>
      <w:proofErr w:type="spellStart"/>
      <w:r w:rsidRPr="004E0E91">
        <w:rPr>
          <w:lang w:val="cs-CZ"/>
        </w:rPr>
        <w:t>Hotfix</w:t>
      </w:r>
      <w:proofErr w:type="spellEnd"/>
      <w:r w:rsidRPr="004E0E91">
        <w:rPr>
          <w:lang w:val="cs-CZ"/>
        </w:rPr>
        <w:t>) v prostředí a s daty Uživatele. Synonymem pro Akceptační instanci je výraz "Test" - z pohledu Uživatele, neboť jeho pověření koncoví uživatelé na této Instanci testují.</w:t>
      </w:r>
    </w:p>
    <w:p w:rsidR="00A23BC1" w:rsidRPr="004E0E91" w:rsidRDefault="00A23BC1" w:rsidP="00A23BC1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4E0E91">
        <w:rPr>
          <w:b/>
          <w:lang w:val="cs-CZ"/>
        </w:rPr>
        <w:t>Testovací instance</w:t>
      </w:r>
      <w:r w:rsidRPr="004E0E91">
        <w:rPr>
          <w:lang w:val="cs-CZ"/>
        </w:rPr>
        <w:t> Produktu slouží k vývoji a testování nových verzí, není předmětem Smlouvy, zpravidla existuje pouze v prostředí Poskytovatele a může být Uživateli přístupná dle pravidel sjednaných mimo Smlouvu.</w:t>
      </w:r>
    </w:p>
    <w:p w:rsidR="00A23BC1" w:rsidRPr="00A23BC1" w:rsidRDefault="00A23BC1" w:rsidP="00A23BC1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4E0E91">
        <w:rPr>
          <w:b/>
          <w:lang w:val="cs-CZ"/>
        </w:rPr>
        <w:t>Vývojová instance</w:t>
      </w:r>
      <w:r w:rsidRPr="004E0E91">
        <w:rPr>
          <w:lang w:val="cs-CZ"/>
        </w:rPr>
        <w:t> Produktu slouží k vývoji nových verzí, není předmětem Smlouvy, zpravidla existuje pouze v prostředí Poskytovatele a je Uživateli nepřístupná.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proofErr w:type="spellStart"/>
      <w:r w:rsidRPr="00B20576">
        <w:rPr>
          <w:b/>
          <w:lang w:val="cs-CZ"/>
        </w:rPr>
        <w:t>HelpDesk</w:t>
      </w:r>
      <w:proofErr w:type="spellEnd"/>
      <w:r w:rsidRPr="00B20576">
        <w:rPr>
          <w:lang w:val="cs-CZ"/>
        </w:rPr>
        <w:t xml:space="preserve"> je </w:t>
      </w:r>
      <w:r w:rsidR="00130A58" w:rsidRPr="00B20576">
        <w:rPr>
          <w:lang w:val="cs-CZ"/>
        </w:rPr>
        <w:t>A</w:t>
      </w:r>
      <w:r w:rsidRPr="00B20576">
        <w:rPr>
          <w:lang w:val="cs-CZ"/>
        </w:rPr>
        <w:t xml:space="preserve">plikace Poskytovatele, která slouží pro evidenci a řešení </w:t>
      </w:r>
      <w:r w:rsidR="00295186" w:rsidRPr="00B20576">
        <w:rPr>
          <w:lang w:val="cs-CZ"/>
        </w:rPr>
        <w:t xml:space="preserve">Incidentů </w:t>
      </w:r>
      <w:r w:rsidRPr="00B20576">
        <w:rPr>
          <w:lang w:val="cs-CZ"/>
        </w:rPr>
        <w:t xml:space="preserve">vzniklých v rámci používání Produktu, jehož podpora je předmětem plnění Smlouvy. </w:t>
      </w:r>
      <w:proofErr w:type="spellStart"/>
      <w:r w:rsidRPr="00B20576">
        <w:rPr>
          <w:lang w:val="cs-CZ"/>
        </w:rPr>
        <w:t>HelpDesk</w:t>
      </w:r>
      <w:proofErr w:type="spellEnd"/>
      <w:r w:rsidRPr="00B20576">
        <w:rPr>
          <w:lang w:val="cs-CZ"/>
        </w:rPr>
        <w:t xml:space="preserve"> je hlavním oficiálním komunikačním kanálem mezi Poskytovatelem a Uživatelem. Poskytovatel si vyhrazuje právo nereagovat na Incidenty, které nejsou evidovány v </w:t>
      </w:r>
      <w:proofErr w:type="spellStart"/>
      <w:r w:rsidRPr="00B20576">
        <w:rPr>
          <w:lang w:val="cs-CZ"/>
        </w:rPr>
        <w:t>HelpDesku</w:t>
      </w:r>
      <w:proofErr w:type="spellEnd"/>
      <w:r w:rsidRPr="00B20576">
        <w:rPr>
          <w:lang w:val="cs-CZ"/>
        </w:rPr>
        <w:t xml:space="preserve">. </w:t>
      </w:r>
      <w:proofErr w:type="spellStart"/>
      <w:r w:rsidRPr="00B20576">
        <w:rPr>
          <w:lang w:val="cs-CZ"/>
        </w:rPr>
        <w:t>HelpDesk</w:t>
      </w:r>
      <w:proofErr w:type="spellEnd"/>
      <w:r w:rsidRPr="00B20576">
        <w:rPr>
          <w:lang w:val="cs-CZ"/>
        </w:rPr>
        <w:t xml:space="preserve"> poskytovatele je provozován prostřednictvím JIRA na </w:t>
      </w:r>
      <w:proofErr w:type="spellStart"/>
      <w:r w:rsidR="00FC2A7B">
        <w:rPr>
          <w:lang w:val="cs-CZ"/>
        </w:rPr>
        <w:t>xxx</w:t>
      </w:r>
      <w:proofErr w:type="spellEnd"/>
      <w:r w:rsidRPr="00B20576">
        <w:rPr>
          <w:lang w:val="cs-CZ"/>
        </w:rPr>
        <w:t xml:space="preserve"> a je </w:t>
      </w:r>
      <w:r w:rsidR="00295186" w:rsidRPr="00B20576">
        <w:rPr>
          <w:lang w:val="cs-CZ"/>
        </w:rPr>
        <w:t xml:space="preserve">Uživateli </w:t>
      </w:r>
      <w:r w:rsidRPr="00B20576">
        <w:rPr>
          <w:lang w:val="cs-CZ"/>
        </w:rPr>
        <w:t>dostupný 24hodin denně 7 dnů v týdnu mimo oznámené výpadky na webových stránkách Poskytovatele nebo výpadky, které nemůže Poskytovatel ovlivnit.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>Databáze znalostí</w:t>
      </w:r>
      <w:r w:rsidRPr="00B20576">
        <w:rPr>
          <w:lang w:val="cs-CZ"/>
        </w:rPr>
        <w:t xml:space="preserve"> je </w:t>
      </w:r>
      <w:r w:rsidR="00130A58" w:rsidRPr="00B20576">
        <w:rPr>
          <w:lang w:val="cs-CZ"/>
        </w:rPr>
        <w:t>A</w:t>
      </w:r>
      <w:r w:rsidRPr="00B20576">
        <w:rPr>
          <w:lang w:val="cs-CZ"/>
        </w:rPr>
        <w:t xml:space="preserve">plikace Poskytovatele založená na principu WIKI, ve které jsou dostupné informace a dokumenty týkající se Produktu a spolupráce Uživatele a Poskytovatele. Databáze znalostí je Uživateli </w:t>
      </w:r>
      <w:r w:rsidRPr="00B20576">
        <w:rPr>
          <w:lang w:val="cs-CZ"/>
        </w:rPr>
        <w:lastRenderedPageBreak/>
        <w:t>dostupná na</w:t>
      </w:r>
      <w:r w:rsidR="00FC2A7B">
        <w:rPr>
          <w:lang w:val="cs-CZ"/>
        </w:rPr>
        <w:t xml:space="preserve"> xxx</w:t>
      </w:r>
      <w:bookmarkStart w:id="13" w:name="_GoBack"/>
      <w:bookmarkEnd w:id="13"/>
      <w:r w:rsidRPr="00B20576">
        <w:rPr>
          <w:lang w:val="cs-CZ"/>
        </w:rPr>
        <w:t xml:space="preserve"> 24 hodin denně 7 dnů v týdnu mimo oznámené výpadky na webových stránkách Poskytovatele nebo výpadky, které nemůže Poskytovatel ovlivnit.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 xml:space="preserve">Záruční podpora </w:t>
      </w:r>
      <w:r w:rsidRPr="00B20576">
        <w:rPr>
          <w:lang w:val="cs-CZ"/>
        </w:rPr>
        <w:t xml:space="preserve">je definována v rámci </w:t>
      </w:r>
      <w:r w:rsidR="00295186" w:rsidRPr="00B20576">
        <w:rPr>
          <w:lang w:val="cs-CZ"/>
        </w:rPr>
        <w:t xml:space="preserve">Smlouvy </w:t>
      </w:r>
      <w:r w:rsidRPr="00B20576">
        <w:rPr>
          <w:lang w:val="cs-CZ"/>
        </w:rPr>
        <w:t xml:space="preserve">o dílo nebo </w:t>
      </w:r>
      <w:r w:rsidR="00295186" w:rsidRPr="00B20576">
        <w:rPr>
          <w:lang w:val="cs-CZ"/>
        </w:rPr>
        <w:t>L</w:t>
      </w:r>
      <w:r w:rsidRPr="00B20576">
        <w:rPr>
          <w:lang w:val="cs-CZ"/>
        </w:rPr>
        <w:t>icenční smlouvy. Jedná se o dobu</w:t>
      </w:r>
      <w:r w:rsidR="00E527A6">
        <w:rPr>
          <w:lang w:val="cs-CZ"/>
        </w:rPr>
        <w:t xml:space="preserve"> a rozsah podpory</w:t>
      </w:r>
      <w:r w:rsidRPr="00B20576">
        <w:rPr>
          <w:lang w:val="cs-CZ"/>
        </w:rPr>
        <w:t xml:space="preserve"> </w:t>
      </w:r>
      <w:r w:rsidR="00E527A6">
        <w:rPr>
          <w:lang w:val="cs-CZ"/>
        </w:rPr>
        <w:t>Záruky</w:t>
      </w:r>
      <w:r w:rsidRPr="00B20576">
        <w:rPr>
          <w:lang w:val="cs-CZ"/>
        </w:rPr>
        <w:t xml:space="preserve"> na vady díla.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>Mimozáruční servisní podporou</w:t>
      </w:r>
      <w:r w:rsidRPr="00B20576">
        <w:rPr>
          <w:lang w:val="cs-CZ"/>
        </w:rPr>
        <w:t xml:space="preserve"> se rozumí veškeré služby, které časově nebo rozsahem/kvalitou překračují </w:t>
      </w:r>
      <w:r w:rsidR="00295186" w:rsidRPr="00B20576">
        <w:rPr>
          <w:lang w:val="cs-CZ"/>
        </w:rPr>
        <w:t xml:space="preserve">Záruční </w:t>
      </w:r>
      <w:r w:rsidRPr="00B20576">
        <w:rPr>
          <w:lang w:val="cs-CZ"/>
        </w:rPr>
        <w:t>podporu.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 xml:space="preserve">Incident </w:t>
      </w:r>
      <w:r w:rsidRPr="00B20576">
        <w:rPr>
          <w:lang w:val="cs-CZ"/>
        </w:rPr>
        <w:t>je záznam v </w:t>
      </w:r>
      <w:proofErr w:type="spellStart"/>
      <w:r w:rsidRPr="00B20576">
        <w:rPr>
          <w:lang w:val="cs-CZ"/>
        </w:rPr>
        <w:t>HelpDesku</w:t>
      </w:r>
      <w:proofErr w:type="spellEnd"/>
      <w:r w:rsidRPr="00B20576">
        <w:rPr>
          <w:lang w:val="cs-CZ"/>
        </w:rPr>
        <w:t xml:space="preserve"> různého typu (viz dále) týkající se dodaného Produktu či souvisejících služeb. Primárně jej pořizuje odpovědný pracovník Uživatele, ve výjimečných případech také pracovníci Poskytovatele.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 xml:space="preserve">Klasifikace </w:t>
      </w:r>
      <w:r w:rsidR="00295186" w:rsidRPr="00B20576">
        <w:rPr>
          <w:b/>
          <w:lang w:val="cs-CZ"/>
        </w:rPr>
        <w:t xml:space="preserve">Incidentu </w:t>
      </w:r>
      <w:r w:rsidRPr="00B20576">
        <w:rPr>
          <w:lang w:val="cs-CZ"/>
        </w:rPr>
        <w:t xml:space="preserve">je ohodnocení </w:t>
      </w:r>
      <w:r w:rsidR="00295186" w:rsidRPr="00B20576">
        <w:rPr>
          <w:lang w:val="cs-CZ"/>
        </w:rPr>
        <w:t xml:space="preserve">Incidentu </w:t>
      </w:r>
      <w:r w:rsidRPr="00B20576">
        <w:rPr>
          <w:lang w:val="cs-CZ"/>
        </w:rPr>
        <w:t xml:space="preserve">pořizujícím Uživatelem pomocí </w:t>
      </w:r>
      <w:r w:rsidRPr="00B20576">
        <w:rPr>
          <w:b/>
          <w:lang w:val="cs-CZ"/>
        </w:rPr>
        <w:t>typu</w:t>
      </w:r>
      <w:r w:rsidRPr="00B20576">
        <w:rPr>
          <w:lang w:val="cs-CZ"/>
        </w:rPr>
        <w:t xml:space="preserve"> a </w:t>
      </w:r>
      <w:r w:rsidRPr="00B20576">
        <w:rPr>
          <w:b/>
          <w:lang w:val="cs-CZ"/>
        </w:rPr>
        <w:t>priority</w:t>
      </w:r>
      <w:r w:rsidRPr="00B20576">
        <w:rPr>
          <w:lang w:val="cs-CZ"/>
        </w:rPr>
        <w:t>, v odůvodněných případech i následná změna Poskytovatelem. Detailní přehled a popis obou klasifikací je uveden níže.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bookmarkStart w:id="14" w:name="_Ref429493766"/>
      <w:r w:rsidRPr="00B20576">
        <w:rPr>
          <w:b/>
          <w:lang w:val="cs-CZ"/>
        </w:rPr>
        <w:t xml:space="preserve">Hlášení </w:t>
      </w:r>
      <w:r w:rsidR="00295186" w:rsidRPr="00B20576">
        <w:rPr>
          <w:b/>
          <w:lang w:val="cs-CZ"/>
        </w:rPr>
        <w:t xml:space="preserve">Incidentu </w:t>
      </w:r>
      <w:r w:rsidRPr="00B20576">
        <w:rPr>
          <w:lang w:val="cs-CZ"/>
        </w:rPr>
        <w:t>je činnost, kterou Uživatel informuje Poskytovatele o výskytu Incidentu</w:t>
      </w:r>
      <w:bookmarkEnd w:id="14"/>
      <w:r w:rsidRPr="00B20576">
        <w:rPr>
          <w:lang w:val="cs-CZ"/>
        </w:rPr>
        <w:t xml:space="preserve"> prostřednictvím </w:t>
      </w:r>
      <w:proofErr w:type="spellStart"/>
      <w:r w:rsidRPr="00B20576">
        <w:rPr>
          <w:lang w:val="cs-CZ"/>
        </w:rPr>
        <w:t>HelpDesku</w:t>
      </w:r>
      <w:proofErr w:type="spellEnd"/>
      <w:r w:rsidRPr="00B20576">
        <w:rPr>
          <w:lang w:val="cs-CZ"/>
        </w:rPr>
        <w:t xml:space="preserve"> v JIRA. 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bookmarkStart w:id="15" w:name="_Ref366756253"/>
      <w:r w:rsidRPr="00B20576">
        <w:rPr>
          <w:b/>
          <w:lang w:val="cs-CZ"/>
        </w:rPr>
        <w:t xml:space="preserve">Dostupnost </w:t>
      </w:r>
      <w:r w:rsidRPr="00B20576">
        <w:rPr>
          <w:lang w:val="cs-CZ"/>
        </w:rPr>
        <w:t xml:space="preserve">je časové období, během kterého jsou k dispozici zaměstnanci Poskytovatele prostřednictvím </w:t>
      </w:r>
      <w:proofErr w:type="spellStart"/>
      <w:r w:rsidRPr="00B20576">
        <w:rPr>
          <w:lang w:val="cs-CZ"/>
        </w:rPr>
        <w:t>HelpDesku</w:t>
      </w:r>
      <w:proofErr w:type="spellEnd"/>
      <w:r w:rsidRPr="00B20576">
        <w:rPr>
          <w:lang w:val="cs-CZ"/>
        </w:rPr>
        <w:t xml:space="preserve"> nebo telefonicky. Aplikace </w:t>
      </w:r>
      <w:proofErr w:type="spellStart"/>
      <w:r w:rsidRPr="00B20576">
        <w:rPr>
          <w:lang w:val="cs-CZ"/>
        </w:rPr>
        <w:t>HelpDesk</w:t>
      </w:r>
      <w:proofErr w:type="spellEnd"/>
      <w:r w:rsidRPr="00B20576">
        <w:rPr>
          <w:lang w:val="cs-CZ"/>
        </w:rPr>
        <w:t xml:space="preserve"> je dostupná vždy nepřetržitě, stejně tak i webová </w:t>
      </w:r>
      <w:r w:rsidR="00130A58" w:rsidRPr="00B20576">
        <w:rPr>
          <w:lang w:val="cs-CZ"/>
        </w:rPr>
        <w:t>A</w:t>
      </w:r>
      <w:r w:rsidRPr="00B20576">
        <w:rPr>
          <w:lang w:val="cs-CZ"/>
        </w:rPr>
        <w:t xml:space="preserve">plikace; dostupnost se týká konkrétních osob, nikoliv technologií. V době garantované dostupností se tedy Uživatel může spolehnout na to, že bude moci svůj problém řešit s  pracovníkem odpovědným za servisní podporu. Dostupnost je dána počtem dní v týdnu a počtem hodin v každém dni. Zapisuje se jako Počet hodin v týdnu x Počet hodin v každém dni. </w:t>
      </w:r>
      <w:r w:rsidRPr="00B20576">
        <w:rPr>
          <w:b/>
          <w:lang w:val="cs-CZ"/>
        </w:rPr>
        <w:t>Například</w:t>
      </w:r>
      <w:r w:rsidRPr="00B20576">
        <w:rPr>
          <w:lang w:val="cs-CZ"/>
        </w:rPr>
        <w:t xml:space="preserve"> dostupnost 8x5 znamená, že pracovníci Poskytovatele jsou Uživateli k dispozici každý pracovní den od 8:00 do 16:00 hodin.</w:t>
      </w:r>
      <w:bookmarkEnd w:id="15"/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b/>
          <w:lang w:val="cs-CZ"/>
        </w:rPr>
      </w:pPr>
      <w:r w:rsidRPr="00B20576">
        <w:rPr>
          <w:b/>
          <w:lang w:val="cs-CZ"/>
        </w:rPr>
        <w:t xml:space="preserve">Chyba </w:t>
      </w:r>
      <w:r w:rsidRPr="00B20576">
        <w:rPr>
          <w:lang w:val="cs-CZ"/>
        </w:rPr>
        <w:t xml:space="preserve">je termín označující závadu nebo poruchu Produktu (viz </w:t>
      </w:r>
      <w:r w:rsidR="00295186" w:rsidRPr="00B20576">
        <w:rPr>
          <w:lang w:val="cs-CZ"/>
        </w:rPr>
        <w:t xml:space="preserve">Klasifikace </w:t>
      </w:r>
      <w:r w:rsidR="00130A58" w:rsidRPr="00B20576">
        <w:rPr>
          <w:lang w:val="cs-CZ"/>
        </w:rPr>
        <w:t>I</w:t>
      </w:r>
      <w:r w:rsidRPr="00B20576">
        <w:rPr>
          <w:lang w:val="cs-CZ"/>
        </w:rPr>
        <w:t xml:space="preserve">ncidentu níže). 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 xml:space="preserve">Odstranění Chyby </w:t>
      </w:r>
      <w:r w:rsidRPr="00B20576">
        <w:rPr>
          <w:lang w:val="cs-CZ"/>
        </w:rPr>
        <w:t>je její kompletní odstranění nebo vytvoření alternativního řešení, kterým bude Chyba překlenuta a nedojde k funkčnímu omezení systému.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bookmarkStart w:id="16" w:name="_Ref366756272"/>
      <w:r w:rsidRPr="00B20576">
        <w:rPr>
          <w:b/>
          <w:lang w:val="cs-CZ"/>
        </w:rPr>
        <w:t xml:space="preserve">Reakční doba (také RD) </w:t>
      </w:r>
      <w:r w:rsidRPr="00B20576">
        <w:rPr>
          <w:lang w:val="cs-CZ"/>
        </w:rPr>
        <w:t>je lhůta, do které bude Uživatel informován o zahájení jednání Poskytovatele</w:t>
      </w:r>
      <w:r w:rsidR="00D03251" w:rsidRPr="00B20576">
        <w:rPr>
          <w:lang w:val="cs-CZ"/>
        </w:rPr>
        <w:t xml:space="preserve"> směřujícího</w:t>
      </w:r>
      <w:r w:rsidRPr="00B20576">
        <w:rPr>
          <w:lang w:val="cs-CZ"/>
        </w:rPr>
        <w:t xml:space="preserve"> k vyřešení Incidentu</w:t>
      </w:r>
      <w:r w:rsidR="00874E48" w:rsidRPr="00B20576">
        <w:rPr>
          <w:lang w:val="cs-CZ"/>
        </w:rPr>
        <w:t xml:space="preserve"> typu Chyba</w:t>
      </w:r>
      <w:r w:rsidRPr="00B20576">
        <w:rPr>
          <w:lang w:val="cs-CZ"/>
        </w:rPr>
        <w:t xml:space="preserve">. </w:t>
      </w:r>
      <w:r w:rsidR="00874E48" w:rsidRPr="00B20576">
        <w:rPr>
          <w:lang w:val="cs-CZ"/>
        </w:rPr>
        <w:t xml:space="preserve">Reakční doba je </w:t>
      </w:r>
      <w:r w:rsidR="001F5091" w:rsidRPr="00B20576">
        <w:rPr>
          <w:lang w:val="cs-CZ"/>
        </w:rPr>
        <w:t xml:space="preserve">odvislá od priority (závažnosti) Chyby. </w:t>
      </w:r>
      <w:r w:rsidR="00210914" w:rsidRPr="00B20576">
        <w:rPr>
          <w:lang w:val="cs-CZ"/>
        </w:rPr>
        <w:t>Pro RD jsou uvažovány dvě skupiny Chyb – Chyby s vysokou prioritou (</w:t>
      </w:r>
      <w:proofErr w:type="spellStart"/>
      <w:r w:rsidR="00210914" w:rsidRPr="00B20576">
        <w:rPr>
          <w:lang w:val="cs-CZ"/>
        </w:rPr>
        <w:t>blocker</w:t>
      </w:r>
      <w:proofErr w:type="spellEnd"/>
      <w:r w:rsidR="00210914" w:rsidRPr="00B20576">
        <w:rPr>
          <w:lang w:val="cs-CZ"/>
        </w:rPr>
        <w:t xml:space="preserve"> a </w:t>
      </w:r>
      <w:proofErr w:type="spellStart"/>
      <w:r w:rsidR="00210914" w:rsidRPr="00B20576">
        <w:rPr>
          <w:lang w:val="cs-CZ"/>
        </w:rPr>
        <w:t>critical</w:t>
      </w:r>
      <w:proofErr w:type="spellEnd"/>
      <w:r w:rsidR="00210914" w:rsidRPr="00B20576">
        <w:rPr>
          <w:lang w:val="cs-CZ"/>
        </w:rPr>
        <w:t xml:space="preserve">) a Chyby s nízkou prioritou (major, minor a </w:t>
      </w:r>
      <w:proofErr w:type="spellStart"/>
      <w:r w:rsidR="00210914" w:rsidRPr="00B20576">
        <w:rPr>
          <w:lang w:val="cs-CZ"/>
        </w:rPr>
        <w:t>trivial</w:t>
      </w:r>
      <w:proofErr w:type="spellEnd"/>
      <w:r w:rsidR="00210914" w:rsidRPr="00B20576">
        <w:rPr>
          <w:lang w:val="cs-CZ"/>
        </w:rPr>
        <w:t>)</w:t>
      </w:r>
      <w:r w:rsidR="0004679C" w:rsidRPr="00B20576">
        <w:rPr>
          <w:lang w:val="cs-CZ"/>
        </w:rPr>
        <w:t>, přičemž kategorie Chyby s vysokou prioritou mají v zásadě kratší RD</w:t>
      </w:r>
      <w:r w:rsidR="00210914" w:rsidRPr="00B20576">
        <w:rPr>
          <w:lang w:val="cs-CZ"/>
        </w:rPr>
        <w:t xml:space="preserve">. </w:t>
      </w:r>
      <w:r w:rsidRPr="00B20576">
        <w:rPr>
          <w:lang w:val="cs-CZ"/>
        </w:rPr>
        <w:t xml:space="preserve">Začátek reakční doby je stanoven přijetím </w:t>
      </w:r>
      <w:r w:rsidR="00295186" w:rsidRPr="00B20576">
        <w:rPr>
          <w:lang w:val="cs-CZ"/>
        </w:rPr>
        <w:t>Hlášení Incidentu</w:t>
      </w:r>
      <w:r w:rsidRPr="00B20576">
        <w:rPr>
          <w:lang w:val="cs-CZ"/>
        </w:rPr>
        <w:t xml:space="preserve">, které se v případě použití </w:t>
      </w:r>
      <w:proofErr w:type="spellStart"/>
      <w:r w:rsidRPr="00B20576">
        <w:rPr>
          <w:lang w:val="cs-CZ"/>
        </w:rPr>
        <w:t>HelpDesku</w:t>
      </w:r>
      <w:proofErr w:type="spellEnd"/>
      <w:r w:rsidRPr="00B20576">
        <w:rPr>
          <w:lang w:val="cs-CZ"/>
        </w:rPr>
        <w:t xml:space="preserve"> rovná automaticky zaznamenanému datu a času vzniku Incidentu (tyto údaje jsou snadno dostupné i pro Uživatele). Reakční doba se vztahuje k Dostupno</w:t>
      </w:r>
      <w:r w:rsidR="003907C4" w:rsidRPr="00B20576">
        <w:rPr>
          <w:lang w:val="cs-CZ"/>
        </w:rPr>
        <w:t xml:space="preserve">sti, která je definována výše. </w:t>
      </w:r>
      <w:r w:rsidRPr="00B20576">
        <w:rPr>
          <w:b/>
          <w:lang w:val="cs-CZ"/>
        </w:rPr>
        <w:t>Příklad výpočtu RD</w:t>
      </w:r>
      <w:r w:rsidRPr="00B20576">
        <w:rPr>
          <w:lang w:val="cs-CZ"/>
        </w:rPr>
        <w:t xml:space="preserve">: Nahlášení Incidentu </w:t>
      </w:r>
      <w:proofErr w:type="gramStart"/>
      <w:r w:rsidR="00430C35" w:rsidRPr="00B20576">
        <w:rPr>
          <w:lang w:val="cs-CZ"/>
        </w:rPr>
        <w:t>ve</w:t>
      </w:r>
      <w:proofErr w:type="gramEnd"/>
      <w:r w:rsidRPr="00B20576">
        <w:rPr>
          <w:lang w:val="cs-CZ"/>
        </w:rPr>
        <w:t> 14:00, smluvní Dostupnost je 8x5 (8:00 – 16:00), smluvní RD 8 hodin</w:t>
      </w:r>
      <w:r w:rsidR="00430C35" w:rsidRPr="00B20576">
        <w:rPr>
          <w:lang w:val="cs-CZ"/>
        </w:rPr>
        <w:t xml:space="preserve"> </w:t>
      </w:r>
      <w:r w:rsidR="00D03251" w:rsidRPr="00B20576">
        <w:rPr>
          <w:lang w:val="cs-CZ"/>
        </w:rPr>
        <w:t>pro Chyby s vysokou prioritou</w:t>
      </w:r>
      <w:r w:rsidRPr="00B20576">
        <w:rPr>
          <w:lang w:val="cs-CZ"/>
        </w:rPr>
        <w:t>, Poskytovatel musí reagovat nejpozději do 14:00 druhého pracovního dne.</w:t>
      </w:r>
      <w:bookmarkEnd w:id="16"/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bookmarkStart w:id="17" w:name="_Ref366756300"/>
      <w:r w:rsidRPr="00B20576">
        <w:rPr>
          <w:b/>
          <w:lang w:val="cs-CZ"/>
        </w:rPr>
        <w:t xml:space="preserve">Doba odstranění Chyby (také DOZ) </w:t>
      </w:r>
      <w:r w:rsidRPr="00B20576">
        <w:rPr>
          <w:lang w:val="cs-CZ"/>
        </w:rPr>
        <w:t xml:space="preserve">je doba, za kterou je daná závada odstraněna. Doba odstranění závady je specifikovaná vždy zvlášť pro každou prioritu (závažnost) </w:t>
      </w:r>
      <w:r w:rsidR="002C7323" w:rsidRPr="00B20576">
        <w:rPr>
          <w:lang w:val="cs-CZ"/>
        </w:rPr>
        <w:t>C</w:t>
      </w:r>
      <w:r w:rsidRPr="00B20576">
        <w:rPr>
          <w:lang w:val="cs-CZ"/>
        </w:rPr>
        <w:t xml:space="preserve">hyby. Chyba je odstraněna v nejkratším možném termínu. Doby odstranění Chyby však definují maximální dobu, za kterou je Poskytovatel povinen Chybu odstranit. Doba odstranění Chyby se počítá od okamžiku nahlášení Chyby Poskytovateli ve vztahu k Dostupnosti. </w:t>
      </w:r>
      <w:r w:rsidRPr="00B20576">
        <w:rPr>
          <w:b/>
          <w:lang w:val="cs-CZ"/>
        </w:rPr>
        <w:t>Příklad výpočtu DOZ</w:t>
      </w:r>
      <w:r w:rsidRPr="00B20576">
        <w:rPr>
          <w:lang w:val="cs-CZ"/>
        </w:rPr>
        <w:t>: Nahlášení Incidentu v 14:00, smluvní Dostupnost je 5x8 (8:00 – 16:00), smluvní DOZ 32 hodin, Poskytovatel musí reagovat nejpozději do 14:00 pátého pracovního dne.</w:t>
      </w:r>
      <w:bookmarkEnd w:id="17"/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 xml:space="preserve">Poučení Uživatele </w:t>
      </w:r>
      <w:r w:rsidRPr="00B20576">
        <w:rPr>
          <w:lang w:val="cs-CZ"/>
        </w:rPr>
        <w:t>je informování Uživatele o funkcionalitě Produktu, která je popsána v dokumentaci, nebo opakované poučení Uživatele k témuž problému.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bookmarkStart w:id="18" w:name="_Ref457379919"/>
      <w:r w:rsidRPr="00B20576">
        <w:rPr>
          <w:b/>
          <w:lang w:val="cs-CZ"/>
        </w:rPr>
        <w:t xml:space="preserve">Konzultace </w:t>
      </w:r>
      <w:r w:rsidRPr="00B20576">
        <w:rPr>
          <w:lang w:val="cs-CZ"/>
        </w:rPr>
        <w:t>je poskytování znalostí o možných způsobech použití či vnitřním fungování Produktu a o informační podpoře procesů Uživatele, a to i nad rámec běžné dokumentace Produktu.</w:t>
      </w:r>
      <w:bookmarkEnd w:id="18"/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bookmarkStart w:id="19" w:name="_Ref158121394"/>
      <w:r w:rsidRPr="00B20576">
        <w:rPr>
          <w:b/>
          <w:lang w:val="cs-CZ"/>
        </w:rPr>
        <w:t xml:space="preserve">Správce </w:t>
      </w:r>
      <w:r w:rsidRPr="00B20576">
        <w:rPr>
          <w:lang w:val="cs-CZ"/>
        </w:rPr>
        <w:t>je pracovník Uživatele pověřený rutinním udržováním Produktu v chodu, a který je oprávněný zastupovat Uživatele v jednáních o úpravách Produktu ovlivňujících jeho činnost.</w:t>
      </w:r>
      <w:bookmarkEnd w:id="19"/>
      <w:r w:rsidRPr="00B20576">
        <w:rPr>
          <w:lang w:val="cs-CZ"/>
        </w:rPr>
        <w:t xml:space="preserve"> 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>Dokumentace Produktu</w:t>
      </w:r>
      <w:r w:rsidRPr="00B20576">
        <w:rPr>
          <w:lang w:val="cs-CZ"/>
        </w:rPr>
        <w:t xml:space="preserve"> je souhrn veškerých dokumentů, textů a materiálů popisujících vzhled, funkcionalitu, vlastnosti a chování Produktu. Jedná se zejména o analytický model (procesní model, </w:t>
      </w:r>
      <w:r w:rsidRPr="00B20576">
        <w:rPr>
          <w:lang w:val="cs-CZ"/>
        </w:rPr>
        <w:lastRenderedPageBreak/>
        <w:t>uživatelské scénáře), uživatelskou příručku, kontextovou nápovědu přímo v Produktu, slovníček pojmů atd.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 xml:space="preserve">Aktualizace systému </w:t>
      </w:r>
      <w:r w:rsidRPr="00B20576">
        <w:rPr>
          <w:lang w:val="cs-CZ"/>
        </w:rPr>
        <w:t xml:space="preserve">udává frekvenci, s jakou bude Produkt aktualizován formou Update. Aktualizace nemusí být předmětem </w:t>
      </w:r>
      <w:r w:rsidR="00295186" w:rsidRPr="00B20576">
        <w:rPr>
          <w:lang w:val="cs-CZ"/>
        </w:rPr>
        <w:t>S</w:t>
      </w:r>
      <w:r w:rsidRPr="00B20576">
        <w:rPr>
          <w:lang w:val="cs-CZ"/>
        </w:rPr>
        <w:t>mlouvy a může být vždy dohodnuta v závislosti na potřebách Uživatele.  V</w:t>
      </w:r>
      <w:r w:rsidR="00295186" w:rsidRPr="00B20576">
        <w:rPr>
          <w:lang w:val="cs-CZ"/>
        </w:rPr>
        <w:t>e</w:t>
      </w:r>
      <w:r w:rsidRPr="00B20576">
        <w:rPr>
          <w:lang w:val="cs-CZ"/>
        </w:rPr>
        <w:t> </w:t>
      </w:r>
      <w:r w:rsidR="00295186" w:rsidRPr="00B20576">
        <w:rPr>
          <w:lang w:val="cs-CZ"/>
        </w:rPr>
        <w:t>S</w:t>
      </w:r>
      <w:r w:rsidRPr="00B20576">
        <w:rPr>
          <w:lang w:val="cs-CZ"/>
        </w:rPr>
        <w:t xml:space="preserve">mlouvě však mohou být Poskytovatelem garantované aktualizace v intervalech 1x ročně, až 4 x ročně. Aktualizací se rozumí Update systému tj. změna verze na prvé pozici za desetinnou tečkou. 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 xml:space="preserve">Upgrade </w:t>
      </w:r>
      <w:r w:rsidRPr="00B20576">
        <w:rPr>
          <w:lang w:val="cs-CZ"/>
        </w:rPr>
        <w:t xml:space="preserve">je změna verze </w:t>
      </w:r>
      <w:r w:rsidR="00295186" w:rsidRPr="00B20576">
        <w:rPr>
          <w:lang w:val="cs-CZ"/>
        </w:rPr>
        <w:t xml:space="preserve">Produktu </w:t>
      </w:r>
      <w:r w:rsidRPr="00B20576">
        <w:rPr>
          <w:lang w:val="cs-CZ"/>
        </w:rPr>
        <w:t xml:space="preserve">na první číselné pozici tj. Upgrade z verze 1.8 na verzi 2.0. Upgrade není předmětem Mimozáruční servisní podpory a není obsažen v ceně </w:t>
      </w:r>
      <w:r w:rsidR="00295186" w:rsidRPr="00B20576">
        <w:rPr>
          <w:lang w:val="cs-CZ"/>
        </w:rPr>
        <w:t>S</w:t>
      </w:r>
      <w:r w:rsidRPr="00B20576">
        <w:rPr>
          <w:lang w:val="cs-CZ"/>
        </w:rPr>
        <w:t>mlouvy.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 xml:space="preserve">Update </w:t>
      </w:r>
      <w:r w:rsidRPr="00B20576">
        <w:rPr>
          <w:lang w:val="cs-CZ"/>
        </w:rPr>
        <w:t xml:space="preserve">je změna verze Produktu na prvním místě za desetinnou tečkou. </w:t>
      </w:r>
      <w:proofErr w:type="gramStart"/>
      <w:r w:rsidRPr="00B20576">
        <w:rPr>
          <w:i/>
          <w:lang w:val="cs-CZ"/>
        </w:rPr>
        <w:t>Například:  update</w:t>
      </w:r>
      <w:proofErr w:type="gramEnd"/>
      <w:r w:rsidRPr="00B20576">
        <w:rPr>
          <w:i/>
          <w:lang w:val="cs-CZ"/>
        </w:rPr>
        <w:t xml:space="preserve"> verze 1.4 na verzi 1.5.</w:t>
      </w:r>
      <w:r w:rsidRPr="00B20576">
        <w:rPr>
          <w:lang w:val="cs-CZ"/>
        </w:rPr>
        <w:t xml:space="preserve"> 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bookmarkStart w:id="20" w:name="_Ref366756319"/>
      <w:proofErr w:type="spellStart"/>
      <w:r w:rsidRPr="00B20576">
        <w:rPr>
          <w:b/>
          <w:lang w:val="cs-CZ"/>
        </w:rPr>
        <w:t>Hotfix</w:t>
      </w:r>
      <w:proofErr w:type="spellEnd"/>
      <w:r w:rsidRPr="00B20576">
        <w:rPr>
          <w:b/>
          <w:lang w:val="cs-CZ"/>
        </w:rPr>
        <w:t xml:space="preserve"> </w:t>
      </w:r>
      <w:r w:rsidRPr="00B20576">
        <w:rPr>
          <w:lang w:val="cs-CZ"/>
        </w:rPr>
        <w:t>je změn</w:t>
      </w:r>
      <w:r w:rsidR="00C431A7" w:rsidRPr="00B20576">
        <w:rPr>
          <w:lang w:val="cs-CZ"/>
        </w:rPr>
        <w:t>a verze na třetí a nižší číselné</w:t>
      </w:r>
      <w:r w:rsidRPr="00B20576">
        <w:rPr>
          <w:lang w:val="cs-CZ"/>
        </w:rPr>
        <w:t xml:space="preserve"> pozici. </w:t>
      </w:r>
      <w:proofErr w:type="spellStart"/>
      <w:r w:rsidRPr="00B20576">
        <w:rPr>
          <w:lang w:val="cs-CZ"/>
        </w:rPr>
        <w:t>Hotfix</w:t>
      </w:r>
      <w:proofErr w:type="spellEnd"/>
      <w:r w:rsidRPr="00B20576">
        <w:rPr>
          <w:lang w:val="cs-CZ"/>
        </w:rPr>
        <w:t xml:space="preserve"> je vydáván vždy po opravě </w:t>
      </w:r>
      <w:r w:rsidR="00295186" w:rsidRPr="00B20576">
        <w:rPr>
          <w:lang w:val="cs-CZ"/>
        </w:rPr>
        <w:t xml:space="preserve">Chyb </w:t>
      </w:r>
      <w:r w:rsidRPr="00B20576">
        <w:rPr>
          <w:lang w:val="cs-CZ"/>
        </w:rPr>
        <w:t xml:space="preserve">a je vždy zahrnut v ceně </w:t>
      </w:r>
      <w:r w:rsidR="00295186" w:rsidRPr="00B20576">
        <w:rPr>
          <w:lang w:val="cs-CZ"/>
        </w:rPr>
        <w:t>S</w:t>
      </w:r>
      <w:r w:rsidRPr="00B20576">
        <w:rPr>
          <w:lang w:val="cs-CZ"/>
        </w:rPr>
        <w:t xml:space="preserve">mlouvy (není tedy dán zvláštní ceníkovou položkou). Například </w:t>
      </w:r>
      <w:proofErr w:type="spellStart"/>
      <w:r w:rsidRPr="00B20576">
        <w:rPr>
          <w:lang w:val="cs-CZ"/>
        </w:rPr>
        <w:t>hotfix</w:t>
      </w:r>
      <w:proofErr w:type="spellEnd"/>
      <w:r w:rsidRPr="00B20576">
        <w:rPr>
          <w:lang w:val="cs-CZ"/>
        </w:rPr>
        <w:t xml:space="preserve"> verze 1.5.3 na verzi 1.5.4 znamená, že ve verzi 1.5.4 jsou zapracovány opravy </w:t>
      </w:r>
      <w:r w:rsidR="00295186" w:rsidRPr="00B20576">
        <w:rPr>
          <w:lang w:val="cs-CZ"/>
        </w:rPr>
        <w:t>Chyb</w:t>
      </w:r>
      <w:r w:rsidRPr="00B20576">
        <w:rPr>
          <w:lang w:val="cs-CZ"/>
        </w:rPr>
        <w:t xml:space="preserve">, které se projevily ve verzi 1.5.3.  Do </w:t>
      </w:r>
      <w:proofErr w:type="spellStart"/>
      <w:r w:rsidRPr="00B20576">
        <w:rPr>
          <w:lang w:val="cs-CZ"/>
        </w:rPr>
        <w:t>Hotfix</w:t>
      </w:r>
      <w:proofErr w:type="spellEnd"/>
      <w:r w:rsidRPr="00B20576">
        <w:rPr>
          <w:lang w:val="cs-CZ"/>
        </w:rPr>
        <w:t xml:space="preserve"> se zapracovávají obvykle </w:t>
      </w:r>
      <w:r w:rsidR="00295186" w:rsidRPr="00B20576">
        <w:rPr>
          <w:lang w:val="cs-CZ"/>
        </w:rPr>
        <w:t xml:space="preserve">Chyby </w:t>
      </w:r>
      <w:r w:rsidRPr="00B20576">
        <w:rPr>
          <w:lang w:val="cs-CZ"/>
        </w:rPr>
        <w:t xml:space="preserve">s prioritou </w:t>
      </w:r>
      <w:proofErr w:type="spellStart"/>
      <w:r w:rsidRPr="00B20576">
        <w:rPr>
          <w:lang w:val="cs-CZ"/>
        </w:rPr>
        <w:t>Blocker</w:t>
      </w:r>
      <w:proofErr w:type="spellEnd"/>
      <w:r w:rsidRPr="00B20576">
        <w:rPr>
          <w:lang w:val="cs-CZ"/>
        </w:rPr>
        <w:t xml:space="preserve">, </w:t>
      </w:r>
      <w:proofErr w:type="spellStart"/>
      <w:r w:rsidRPr="00B20576">
        <w:rPr>
          <w:lang w:val="cs-CZ"/>
        </w:rPr>
        <w:t>Critical</w:t>
      </w:r>
      <w:proofErr w:type="spellEnd"/>
      <w:r w:rsidRPr="00B20576">
        <w:rPr>
          <w:lang w:val="cs-CZ"/>
        </w:rPr>
        <w:t xml:space="preserve"> a Major, pokud není jejich oprava objednána v další verzi. Potom jsou tyto </w:t>
      </w:r>
      <w:r w:rsidR="00295186" w:rsidRPr="00B20576">
        <w:rPr>
          <w:lang w:val="cs-CZ"/>
        </w:rPr>
        <w:t xml:space="preserve">Chyby </w:t>
      </w:r>
      <w:r w:rsidRPr="00B20576">
        <w:rPr>
          <w:lang w:val="cs-CZ"/>
        </w:rPr>
        <w:t xml:space="preserve">dodávány s další verzí podle objednané frekvence </w:t>
      </w:r>
      <w:proofErr w:type="spellStart"/>
      <w:r w:rsidRPr="00B20576">
        <w:rPr>
          <w:lang w:val="cs-CZ"/>
        </w:rPr>
        <w:t>verzování</w:t>
      </w:r>
      <w:proofErr w:type="spellEnd"/>
      <w:r w:rsidRPr="00B20576">
        <w:rPr>
          <w:lang w:val="cs-CZ"/>
        </w:rPr>
        <w:t xml:space="preserve">. </w:t>
      </w:r>
      <w:bookmarkEnd w:id="20"/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 xml:space="preserve">Paušální </w:t>
      </w:r>
      <w:r w:rsidR="00E92D30" w:rsidRPr="00B20576">
        <w:rPr>
          <w:b/>
          <w:lang w:val="cs-CZ"/>
        </w:rPr>
        <w:t xml:space="preserve">(předplacená) </w:t>
      </w:r>
      <w:r w:rsidRPr="00B20576">
        <w:rPr>
          <w:b/>
          <w:lang w:val="cs-CZ"/>
        </w:rPr>
        <w:t xml:space="preserve">hodina </w:t>
      </w:r>
      <w:r w:rsidRPr="00B20576">
        <w:rPr>
          <w:lang w:val="cs-CZ"/>
        </w:rPr>
        <w:t xml:space="preserve">je označení hodiny, která je předplacena v rámci servisní podpory. Je levnější, ale pokud tyto hodiny nejsou vyčerpány v rámci období, na které je Smlouva uzavřena, tak propadají bez náhrady, ani nejsou převoditelné do dalších období trvání Smlouvy. 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 xml:space="preserve">Hodina nad rámec paušálu </w:t>
      </w:r>
      <w:r w:rsidRPr="00B20576">
        <w:rPr>
          <w:lang w:val="cs-CZ"/>
        </w:rPr>
        <w:t xml:space="preserve">je každá hodina spotřebovaná Uživatelem na poskytování konzultační podpory nebo vylepšení </w:t>
      </w:r>
      <w:r w:rsidR="00295186" w:rsidRPr="00B20576">
        <w:rPr>
          <w:lang w:val="cs-CZ"/>
        </w:rPr>
        <w:t xml:space="preserve">Aplikace </w:t>
      </w:r>
      <w:r w:rsidRPr="00B20576">
        <w:rPr>
          <w:lang w:val="cs-CZ"/>
        </w:rPr>
        <w:t xml:space="preserve">nad rámec předplacených Paušálních hodin. Ve </w:t>
      </w:r>
      <w:r w:rsidR="00295186" w:rsidRPr="00B20576">
        <w:rPr>
          <w:lang w:val="cs-CZ"/>
        </w:rPr>
        <w:t xml:space="preserve">Smlouvě </w:t>
      </w:r>
      <w:r w:rsidRPr="00B20576">
        <w:rPr>
          <w:lang w:val="cs-CZ"/>
        </w:rPr>
        <w:t xml:space="preserve">se definuje cena této hodiny. 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 xml:space="preserve">Provoz </w:t>
      </w:r>
      <w:r w:rsidR="00130A58" w:rsidRPr="00B20576">
        <w:rPr>
          <w:b/>
          <w:lang w:val="cs-CZ"/>
        </w:rPr>
        <w:t>A</w:t>
      </w:r>
      <w:r w:rsidRPr="00B20576">
        <w:rPr>
          <w:b/>
          <w:lang w:val="cs-CZ"/>
        </w:rPr>
        <w:t xml:space="preserve">plikace na technologiích Poskytovatele </w:t>
      </w:r>
      <w:r w:rsidRPr="00B20576">
        <w:rPr>
          <w:lang w:val="cs-CZ"/>
        </w:rPr>
        <w:t xml:space="preserve">je služba, kterou si může v rámci </w:t>
      </w:r>
      <w:r w:rsidR="00295186" w:rsidRPr="00B20576">
        <w:rPr>
          <w:lang w:val="cs-CZ"/>
        </w:rPr>
        <w:t xml:space="preserve">Mimozáruční servisní </w:t>
      </w:r>
      <w:r w:rsidRPr="00B20576">
        <w:rPr>
          <w:lang w:val="cs-CZ"/>
        </w:rPr>
        <w:t xml:space="preserve">podpory Uživatel objednat. Jedná se o provozování Aplikace na serverech </w:t>
      </w:r>
      <w:r w:rsidR="00295186" w:rsidRPr="00B20576">
        <w:rPr>
          <w:lang w:val="cs-CZ"/>
        </w:rPr>
        <w:t>Poskytovatele</w:t>
      </w:r>
      <w:r w:rsidRPr="00B20576">
        <w:rPr>
          <w:lang w:val="cs-CZ"/>
        </w:rPr>
        <w:t xml:space="preserve">. Server má svoji technologickou konfiguraci danou garantovaným výpočetním výkonem (počet procesorů), garantovanou pamětí (RAM) a garantovanou velikostí datového úložiště (velikost Hard-disku). 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 xml:space="preserve">Technologie poskytovatele </w:t>
      </w:r>
      <w:r w:rsidRPr="00B20576">
        <w:rPr>
          <w:lang w:val="cs-CZ"/>
        </w:rPr>
        <w:t xml:space="preserve">jsou servery a síťové prvky Poskytovatele zajišťující chod, dohled a zálohování Aplikace. 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 xml:space="preserve">Garantovaný výpočetní výkon </w:t>
      </w:r>
      <w:r w:rsidRPr="00B20576">
        <w:rPr>
          <w:lang w:val="cs-CZ"/>
        </w:rPr>
        <w:t xml:space="preserve">udává kolik procesorů je pro danou </w:t>
      </w:r>
      <w:r w:rsidR="00295186" w:rsidRPr="00B20576">
        <w:rPr>
          <w:lang w:val="cs-CZ"/>
        </w:rPr>
        <w:t xml:space="preserve">Aplikaci </w:t>
      </w:r>
      <w:r w:rsidRPr="00B20576">
        <w:rPr>
          <w:lang w:val="cs-CZ"/>
        </w:rPr>
        <w:t xml:space="preserve">vyhrazeno. Čím více procesorů tím je vyšší výpočetní výkon. 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 xml:space="preserve">Vyhrazená RAM </w:t>
      </w:r>
      <w:r w:rsidRPr="00B20576">
        <w:rPr>
          <w:lang w:val="cs-CZ"/>
        </w:rPr>
        <w:t xml:space="preserve">definuje velikost paměti RAM vyhrazeného pro běh </w:t>
      </w:r>
      <w:r w:rsidR="00295186" w:rsidRPr="00B20576">
        <w:rPr>
          <w:lang w:val="cs-CZ"/>
        </w:rPr>
        <w:t>Aplikace</w:t>
      </w:r>
      <w:r w:rsidRPr="00B20576">
        <w:rPr>
          <w:lang w:val="cs-CZ"/>
        </w:rPr>
        <w:t xml:space="preserve">.  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</w:tabs>
        <w:rPr>
          <w:lang w:val="cs-CZ"/>
        </w:rPr>
      </w:pPr>
      <w:r w:rsidRPr="00B20576">
        <w:rPr>
          <w:b/>
          <w:lang w:val="cs-CZ"/>
        </w:rPr>
        <w:t xml:space="preserve">Vyhrazená kapacita úložiště </w:t>
      </w:r>
      <w:r w:rsidRPr="00B20576">
        <w:rPr>
          <w:lang w:val="cs-CZ"/>
        </w:rPr>
        <w:t xml:space="preserve">udává velikost diskového prostoru určeného pro </w:t>
      </w:r>
      <w:r w:rsidR="00130A58" w:rsidRPr="00B20576">
        <w:rPr>
          <w:lang w:val="cs-CZ"/>
        </w:rPr>
        <w:t>A</w:t>
      </w:r>
      <w:r w:rsidRPr="00B20576">
        <w:rPr>
          <w:lang w:val="cs-CZ"/>
        </w:rPr>
        <w:t xml:space="preserve">plikaci a/nebo databázi </w:t>
      </w:r>
      <w:r w:rsidR="00295186" w:rsidRPr="00B20576">
        <w:rPr>
          <w:lang w:val="cs-CZ"/>
        </w:rPr>
        <w:t>Aplikace</w:t>
      </w:r>
      <w:r w:rsidRPr="00B20576">
        <w:rPr>
          <w:lang w:val="cs-CZ"/>
        </w:rPr>
        <w:t>.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b/>
          <w:lang w:val="cs-CZ"/>
        </w:rPr>
      </w:pPr>
      <w:r w:rsidRPr="00B20576">
        <w:rPr>
          <w:b/>
          <w:lang w:val="cs-CZ"/>
        </w:rPr>
        <w:t xml:space="preserve">Správa serveru je </w:t>
      </w:r>
      <w:r w:rsidRPr="00B20576">
        <w:rPr>
          <w:lang w:val="cs-CZ"/>
        </w:rPr>
        <w:t>služba, kterou poskytuje Poskytovatel Uživateli za ceníkovou cenu v rozsahu Základního dohledu, pokud je sjednáno v rámci Smlouvy. Poskytovatel nezodpovídá za provoz hardwarových prostředků, na kterých je instalovaná Aplikace</w:t>
      </w:r>
      <w:r w:rsidR="004D71F7">
        <w:rPr>
          <w:lang w:val="cs-CZ"/>
        </w:rPr>
        <w:t>,</w:t>
      </w:r>
      <w:r w:rsidRPr="00B20576">
        <w:rPr>
          <w:lang w:val="cs-CZ"/>
        </w:rPr>
        <w:t xml:space="preserve"> pokud není umístěno na technologiích Poskytovatele. Jestliže je umožněn přístup na server třetím osobám a/nebo zaměstnancům Uživatele, nenese Poskytovatel odpovědnost za škody/újmy jimi způsobené.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b/>
          <w:lang w:val="cs-CZ"/>
        </w:rPr>
        <w:t>Základní dohled</w:t>
      </w:r>
      <w:r w:rsidRPr="00B20576">
        <w:rPr>
          <w:lang w:val="cs-CZ"/>
        </w:rPr>
        <w:t xml:space="preserve"> je prováděn Poskytovatelem v rámci Správy serveru a představuje kontrolu dostupných prostředků serveru a kontrolu dostupnosti serveru. Uživatel je povinen poskytnout Poskytovateli potřebnou součinnost.  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bookmarkStart w:id="21" w:name="_Ref52961376"/>
      <w:bookmarkStart w:id="22" w:name="_Ref158128671"/>
      <w:bookmarkStart w:id="23" w:name="_Ref275773780"/>
      <w:r w:rsidRPr="00B20576">
        <w:rPr>
          <w:b/>
          <w:lang w:val="cs-CZ"/>
        </w:rPr>
        <w:t>Zálohování</w:t>
      </w:r>
      <w:r w:rsidRPr="00B20576">
        <w:rPr>
          <w:lang w:val="cs-CZ"/>
        </w:rPr>
        <w:t xml:space="preserve"> je provádění záložních kopií </w:t>
      </w:r>
      <w:r w:rsidR="00130A58" w:rsidRPr="00B20576">
        <w:rPr>
          <w:lang w:val="cs-CZ"/>
        </w:rPr>
        <w:t>A</w:t>
      </w:r>
      <w:r w:rsidRPr="00B20576">
        <w:rPr>
          <w:lang w:val="cs-CZ"/>
        </w:rPr>
        <w:t xml:space="preserve">plikace a dat.  Frekvence provádění zálohování je závislá na podmínkách stanovených Smlouvou a touto přílohou.  Zálohování je vždy nastaveno tak, aby probíhalo v časech, kdy je </w:t>
      </w:r>
      <w:r w:rsidR="00295186" w:rsidRPr="00B20576">
        <w:rPr>
          <w:lang w:val="cs-CZ"/>
        </w:rPr>
        <w:t xml:space="preserve">Aplikace </w:t>
      </w:r>
      <w:r w:rsidRPr="00B20576">
        <w:rPr>
          <w:lang w:val="cs-CZ"/>
        </w:rPr>
        <w:t xml:space="preserve">minimálně zatížena. </w:t>
      </w:r>
    </w:p>
    <w:p w:rsidR="00E91396" w:rsidRPr="00B20576" w:rsidRDefault="00E91396" w:rsidP="00B51E6C">
      <w:pPr>
        <w:pStyle w:val="lneksmlouvy"/>
        <w:numPr>
          <w:ilvl w:val="1"/>
          <w:numId w:val="16"/>
        </w:numPr>
      </w:pPr>
      <w:bookmarkStart w:id="24" w:name="_Ref366057982"/>
      <w:r w:rsidRPr="00B20576">
        <w:lastRenderedPageBreak/>
        <w:t xml:space="preserve">Klasifikace </w:t>
      </w:r>
      <w:bookmarkEnd w:id="21"/>
      <w:r w:rsidRPr="00B20576">
        <w:t>incident</w:t>
      </w:r>
      <w:bookmarkEnd w:id="22"/>
      <w:r w:rsidRPr="00B20576">
        <w:t>u</w:t>
      </w:r>
      <w:bookmarkEnd w:id="23"/>
      <w:bookmarkEnd w:id="24"/>
    </w:p>
    <w:p w:rsidR="00E91396" w:rsidRPr="00B5695E" w:rsidRDefault="00E91396" w:rsidP="00E91396">
      <w:pPr>
        <w:pStyle w:val="Zkladntext"/>
        <w:rPr>
          <w:sz w:val="20"/>
          <w:szCs w:val="20"/>
        </w:rPr>
      </w:pPr>
      <w:r w:rsidRPr="00B5695E">
        <w:rPr>
          <w:sz w:val="20"/>
          <w:szCs w:val="20"/>
        </w:rPr>
        <w:t xml:space="preserve">Základní Klasifikace </w:t>
      </w:r>
      <w:r w:rsidR="00295186" w:rsidRPr="00B5695E">
        <w:rPr>
          <w:sz w:val="20"/>
          <w:szCs w:val="20"/>
        </w:rPr>
        <w:t xml:space="preserve">Incidentu </w:t>
      </w:r>
      <w:r w:rsidRPr="00B5695E">
        <w:rPr>
          <w:sz w:val="20"/>
          <w:szCs w:val="20"/>
        </w:rPr>
        <w:t xml:space="preserve">je provedena ihned při jeho vzniku, a to odpovědným pracovníkem Uživatele, který Incident hlásí prostřednictvím </w:t>
      </w:r>
      <w:proofErr w:type="spellStart"/>
      <w:r w:rsidRPr="00B5695E">
        <w:rPr>
          <w:sz w:val="20"/>
          <w:szCs w:val="20"/>
        </w:rPr>
        <w:t>HelpDesku</w:t>
      </w:r>
      <w:proofErr w:type="spellEnd"/>
      <w:r w:rsidRPr="00B5695E">
        <w:rPr>
          <w:sz w:val="20"/>
          <w:szCs w:val="20"/>
        </w:rPr>
        <w:t xml:space="preserve"> v JIRA. Klasifikace může být následně oponována a změněna zástupcem Poskytovatele. O této změně musí být Uživatel informován, a to minimálně formou komentáře přímo u záznamu Incidentu v </w:t>
      </w:r>
      <w:proofErr w:type="spellStart"/>
      <w:r w:rsidRPr="00B5695E">
        <w:rPr>
          <w:sz w:val="20"/>
          <w:szCs w:val="20"/>
        </w:rPr>
        <w:t>HelpDesku</w:t>
      </w:r>
      <w:proofErr w:type="spellEnd"/>
      <w:r w:rsidRPr="00B5695E">
        <w:rPr>
          <w:sz w:val="20"/>
          <w:szCs w:val="20"/>
        </w:rPr>
        <w:t xml:space="preserve"> s patřičnou notifikací (automatickým e-mailem z </w:t>
      </w:r>
      <w:proofErr w:type="spellStart"/>
      <w:r w:rsidRPr="00B5695E">
        <w:rPr>
          <w:sz w:val="20"/>
          <w:szCs w:val="20"/>
        </w:rPr>
        <w:t>HelpDesku</w:t>
      </w:r>
      <w:proofErr w:type="spellEnd"/>
      <w:r w:rsidRPr="00B5695E">
        <w:rPr>
          <w:sz w:val="20"/>
          <w:szCs w:val="20"/>
        </w:rPr>
        <w:t>).</w:t>
      </w:r>
    </w:p>
    <w:p w:rsidR="00E91396" w:rsidRPr="00B5695E" w:rsidRDefault="00E91396" w:rsidP="00E91396">
      <w:pPr>
        <w:pStyle w:val="Zkladntext"/>
        <w:rPr>
          <w:sz w:val="20"/>
          <w:szCs w:val="20"/>
        </w:rPr>
      </w:pPr>
      <w:r w:rsidRPr="00B5695E">
        <w:rPr>
          <w:sz w:val="20"/>
          <w:szCs w:val="20"/>
        </w:rPr>
        <w:t xml:space="preserve">Uživatel provede primární klasifikaci </w:t>
      </w:r>
      <w:r w:rsidRPr="00B5695E">
        <w:rPr>
          <w:b/>
          <w:sz w:val="20"/>
          <w:szCs w:val="20"/>
        </w:rPr>
        <w:t xml:space="preserve">typem </w:t>
      </w:r>
      <w:r w:rsidRPr="00B5695E">
        <w:rPr>
          <w:sz w:val="20"/>
          <w:szCs w:val="20"/>
        </w:rPr>
        <w:t xml:space="preserve">Incidentu a jeho </w:t>
      </w:r>
      <w:r w:rsidRPr="00B5695E">
        <w:rPr>
          <w:b/>
          <w:sz w:val="20"/>
          <w:szCs w:val="20"/>
        </w:rPr>
        <w:t>prioritou</w:t>
      </w:r>
      <w:r w:rsidRPr="00B5695E">
        <w:rPr>
          <w:sz w:val="20"/>
          <w:szCs w:val="20"/>
        </w:rPr>
        <w:t xml:space="preserve"> (viz dále).</w:t>
      </w:r>
    </w:p>
    <w:p w:rsidR="00E91396" w:rsidRPr="00B5695E" w:rsidRDefault="00E91396" w:rsidP="00E91396">
      <w:pPr>
        <w:pStyle w:val="slovanseznam"/>
        <w:contextualSpacing/>
        <w:rPr>
          <w:sz w:val="20"/>
          <w:szCs w:val="20"/>
        </w:rPr>
      </w:pPr>
      <w:bookmarkStart w:id="25" w:name="_Ref164670798"/>
      <w:r w:rsidRPr="00B5695E">
        <w:rPr>
          <w:sz w:val="20"/>
          <w:szCs w:val="20"/>
        </w:rPr>
        <w:t>Změnu typu Incidentu je Poskytovatel povinen zdůvodnit.</w:t>
      </w:r>
      <w:bookmarkEnd w:id="25"/>
    </w:p>
    <w:p w:rsidR="00E91396" w:rsidRPr="00A21CD0" w:rsidRDefault="00E91396" w:rsidP="00E91396">
      <w:pPr>
        <w:pStyle w:val="slovanseznam"/>
        <w:contextualSpacing/>
        <w:rPr>
          <w:sz w:val="20"/>
          <w:szCs w:val="20"/>
        </w:rPr>
      </w:pPr>
      <w:r w:rsidRPr="00A21CD0">
        <w:rPr>
          <w:sz w:val="20"/>
          <w:szCs w:val="20"/>
        </w:rPr>
        <w:t>Pro snížení priority Incidentu</w:t>
      </w:r>
      <w:r w:rsidRPr="00A21CD0" w:rsidDel="00864C74">
        <w:rPr>
          <w:sz w:val="20"/>
          <w:szCs w:val="20"/>
        </w:rPr>
        <w:t xml:space="preserve"> </w:t>
      </w:r>
      <w:r w:rsidRPr="00A21CD0">
        <w:rPr>
          <w:sz w:val="20"/>
          <w:szCs w:val="20"/>
        </w:rPr>
        <w:t xml:space="preserve">Poskytovatel popíše postup práce, kterým lze Produkt použít tak, aby bylo možno překlenout hlášenou Chybu. </w:t>
      </w:r>
    </w:p>
    <w:p w:rsidR="00E91396" w:rsidRPr="00A21CD0" w:rsidRDefault="00E91396" w:rsidP="00E91396">
      <w:pPr>
        <w:pStyle w:val="slovanseznam"/>
        <w:contextualSpacing/>
        <w:rPr>
          <w:sz w:val="20"/>
          <w:szCs w:val="20"/>
        </w:rPr>
      </w:pPr>
      <w:r w:rsidRPr="00A21CD0">
        <w:rPr>
          <w:sz w:val="20"/>
          <w:szCs w:val="20"/>
        </w:rPr>
        <w:t xml:space="preserve">Uživatel má právo změnu Klasifikace </w:t>
      </w:r>
      <w:r w:rsidR="00295186" w:rsidRPr="00A21CD0">
        <w:rPr>
          <w:sz w:val="20"/>
          <w:szCs w:val="20"/>
        </w:rPr>
        <w:t xml:space="preserve">Incidentu </w:t>
      </w:r>
      <w:r w:rsidRPr="00A21CD0">
        <w:rPr>
          <w:sz w:val="20"/>
          <w:szCs w:val="20"/>
        </w:rPr>
        <w:t>zpochybnit a objednat nezávislou expertízu složitosti Chyby</w:t>
      </w:r>
      <w:r w:rsidR="004651B4" w:rsidRPr="00A21CD0">
        <w:rPr>
          <w:sz w:val="20"/>
          <w:szCs w:val="20"/>
        </w:rPr>
        <w:t xml:space="preserve"> a tuto zaslat Poskytovateli k vyjádření</w:t>
      </w:r>
      <w:r w:rsidRPr="00A21CD0">
        <w:rPr>
          <w:sz w:val="20"/>
          <w:szCs w:val="20"/>
        </w:rPr>
        <w:t>. Expertíza musí být provedena písemně a její součástí musí být zdůvodnění jiné náročnosti na opravu Chyby a doporučený postup při řešení opravy.</w:t>
      </w:r>
    </w:p>
    <w:p w:rsidR="00E91396" w:rsidRPr="00A21CD0" w:rsidRDefault="00E91396" w:rsidP="00B51E6C">
      <w:pPr>
        <w:pStyle w:val="Odstavecsmlouvy"/>
        <w:numPr>
          <w:ilvl w:val="2"/>
          <w:numId w:val="16"/>
        </w:numPr>
        <w:rPr>
          <w:b/>
          <w:lang w:val="cs-CZ"/>
        </w:rPr>
      </w:pPr>
      <w:r w:rsidRPr="00A21CD0">
        <w:rPr>
          <w:b/>
          <w:lang w:val="cs-CZ"/>
        </w:rPr>
        <w:t>Typy Incidentů</w:t>
      </w:r>
    </w:p>
    <w:p w:rsidR="00E91396" w:rsidRPr="00A21CD0" w:rsidRDefault="00E91396" w:rsidP="00E91396">
      <w:pPr>
        <w:pStyle w:val="Zkladntext"/>
        <w:rPr>
          <w:rFonts w:cs="Tahoma"/>
          <w:sz w:val="20"/>
          <w:szCs w:val="20"/>
        </w:rPr>
      </w:pPr>
      <w:r w:rsidRPr="00A21CD0">
        <w:rPr>
          <w:rFonts w:cs="Tahoma"/>
          <w:sz w:val="20"/>
          <w:szCs w:val="20"/>
        </w:rPr>
        <w:t xml:space="preserve">Typ Incidentu je </w:t>
      </w:r>
      <w:r w:rsidRPr="00A21CD0">
        <w:rPr>
          <w:sz w:val="20"/>
          <w:szCs w:val="20"/>
        </w:rPr>
        <w:t>základní</w:t>
      </w:r>
      <w:r w:rsidRPr="00A21CD0">
        <w:rPr>
          <w:rFonts w:cs="Tahoma"/>
          <w:sz w:val="20"/>
          <w:szCs w:val="20"/>
        </w:rPr>
        <w:t xml:space="preserve"> Klasifikací </w:t>
      </w:r>
      <w:r w:rsidR="00130A58" w:rsidRPr="00A21CD0">
        <w:rPr>
          <w:rFonts w:cs="Tahoma"/>
          <w:sz w:val="20"/>
          <w:szCs w:val="20"/>
        </w:rPr>
        <w:t>I</w:t>
      </w:r>
      <w:r w:rsidRPr="00A21CD0">
        <w:rPr>
          <w:rFonts w:cs="Tahoma"/>
          <w:sz w:val="20"/>
          <w:szCs w:val="20"/>
        </w:rPr>
        <w:t xml:space="preserve">ncidentu. Jedná se o hlášení Chyb, požadavky na vylepšení či přidání nové funkcionality a často kladené dotazy (FAQ). V ceně </w:t>
      </w:r>
      <w:r w:rsidR="00295186" w:rsidRPr="00A21CD0">
        <w:rPr>
          <w:rFonts w:cs="Tahoma"/>
          <w:sz w:val="20"/>
          <w:szCs w:val="20"/>
        </w:rPr>
        <w:t>S</w:t>
      </w:r>
      <w:r w:rsidRPr="00A21CD0">
        <w:rPr>
          <w:rFonts w:cs="Tahoma"/>
          <w:sz w:val="20"/>
          <w:szCs w:val="20"/>
        </w:rPr>
        <w:t xml:space="preserve">mlouvy je zahrnuto pouze řešení </w:t>
      </w:r>
      <w:r w:rsidR="00295186" w:rsidRPr="00A21CD0">
        <w:rPr>
          <w:rFonts w:cs="Tahoma"/>
          <w:sz w:val="20"/>
          <w:szCs w:val="20"/>
        </w:rPr>
        <w:t xml:space="preserve">Incidentu </w:t>
      </w:r>
      <w:r w:rsidRPr="00A21CD0">
        <w:rPr>
          <w:rFonts w:cs="Tahoma"/>
          <w:sz w:val="20"/>
          <w:szCs w:val="20"/>
        </w:rPr>
        <w:t>typu Chyba</w:t>
      </w:r>
    </w:p>
    <w:tbl>
      <w:tblPr>
        <w:tblW w:w="0" w:type="auto"/>
        <w:tblInd w:w="108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4A0" w:firstRow="1" w:lastRow="0" w:firstColumn="1" w:lastColumn="0" w:noHBand="0" w:noVBand="1"/>
      </w:tblPr>
      <w:tblGrid>
        <w:gridCol w:w="1405"/>
        <w:gridCol w:w="7549"/>
      </w:tblGrid>
      <w:tr w:rsidR="00E91396" w:rsidRPr="00B20576" w:rsidTr="0031116E">
        <w:tc>
          <w:tcPr>
            <w:tcW w:w="1418" w:type="dxa"/>
            <w:shd w:val="clear" w:color="auto" w:fill="D9D9D9"/>
            <w:vAlign w:val="center"/>
          </w:tcPr>
          <w:p w:rsidR="00E91396" w:rsidRPr="00B20576" w:rsidRDefault="00E91396" w:rsidP="00295186">
            <w:pPr>
              <w:pStyle w:val="Tabulkatext0"/>
              <w:jc w:val="center"/>
              <w:rPr>
                <w:b/>
                <w:color w:val="740034"/>
              </w:rPr>
            </w:pPr>
            <w:r w:rsidRPr="00B20576">
              <w:rPr>
                <w:b/>
                <w:color w:val="740034"/>
              </w:rPr>
              <w:t xml:space="preserve">Typ </w:t>
            </w:r>
            <w:r w:rsidR="00295186" w:rsidRPr="00B20576">
              <w:rPr>
                <w:b/>
                <w:color w:val="740034"/>
              </w:rPr>
              <w:t>Incidentu</w:t>
            </w:r>
          </w:p>
        </w:tc>
        <w:tc>
          <w:tcPr>
            <w:tcW w:w="7762" w:type="dxa"/>
            <w:shd w:val="clear" w:color="auto" w:fill="D9D9D9"/>
            <w:vAlign w:val="center"/>
          </w:tcPr>
          <w:p w:rsidR="00E91396" w:rsidRPr="00B20576" w:rsidRDefault="00E91396" w:rsidP="0031116E">
            <w:pPr>
              <w:pStyle w:val="Tabulkatext0"/>
              <w:jc w:val="center"/>
              <w:rPr>
                <w:b/>
                <w:color w:val="740034"/>
              </w:rPr>
            </w:pPr>
            <w:r w:rsidRPr="00B20576">
              <w:rPr>
                <w:b/>
                <w:color w:val="740034"/>
              </w:rPr>
              <w:t>Popis</w:t>
            </w:r>
          </w:p>
        </w:tc>
      </w:tr>
      <w:tr w:rsidR="00E91396" w:rsidRPr="00B20576" w:rsidTr="0031116E">
        <w:tc>
          <w:tcPr>
            <w:tcW w:w="1418" w:type="dxa"/>
            <w:shd w:val="clear" w:color="auto" w:fill="D9D9D9"/>
            <w:vAlign w:val="center"/>
          </w:tcPr>
          <w:p w:rsidR="00E91396" w:rsidRPr="00B20576" w:rsidRDefault="00E91396" w:rsidP="0031116E">
            <w:pPr>
              <w:pStyle w:val="Tabulkatext0"/>
              <w:jc w:val="center"/>
              <w:rPr>
                <w:b/>
                <w:color w:val="740034"/>
              </w:rPr>
            </w:pPr>
            <w:r w:rsidRPr="00B20576">
              <w:rPr>
                <w:b/>
                <w:color w:val="740034"/>
              </w:rPr>
              <w:t>Chyba</w:t>
            </w:r>
          </w:p>
        </w:tc>
        <w:tc>
          <w:tcPr>
            <w:tcW w:w="7762" w:type="dxa"/>
            <w:vAlign w:val="center"/>
          </w:tcPr>
          <w:p w:rsidR="00E91396" w:rsidRPr="00B20576" w:rsidRDefault="00E91396" w:rsidP="0031116E">
            <w:pPr>
              <w:pStyle w:val="Tabulkatext0"/>
            </w:pPr>
            <w:r w:rsidRPr="00B20576">
              <w:t xml:space="preserve">Nesprávné provádění nebo ztráta již existující funkcionality Produktu. Za správné se považuje pouze takové chování, které je v souladu s popisem uvedeným v Dokumentaci Produktu resp. takové, které je uvedeno ve </w:t>
            </w:r>
            <w:r w:rsidR="00295186" w:rsidRPr="00B20576">
              <w:t xml:space="preserve">Smlouvě </w:t>
            </w:r>
            <w:r w:rsidRPr="00B20576">
              <w:t xml:space="preserve">o dílo jako závazný požadavek. </w:t>
            </w:r>
          </w:p>
          <w:p w:rsidR="00E91396" w:rsidRPr="00B20576" w:rsidRDefault="00E91396" w:rsidP="0031116E">
            <w:pPr>
              <w:pStyle w:val="Tabulkatext0"/>
            </w:pPr>
            <w:r w:rsidRPr="00B20576">
              <w:t>Chybou není neznalost Uživatele týkající se funkcionality popsané v Dokumentaci Produktu.</w:t>
            </w:r>
          </w:p>
          <w:p w:rsidR="00E91396" w:rsidRPr="00B20576" w:rsidRDefault="00E91396" w:rsidP="0031116E">
            <w:pPr>
              <w:pStyle w:val="Tabulkatext0"/>
            </w:pPr>
            <w:r w:rsidRPr="00B20576">
              <w:t xml:space="preserve">Poskytovatel neodpovídá za Chyby způsobené třetí stranou s výjimkou třetích osob na straně Poskytovatele. </w:t>
            </w:r>
          </w:p>
        </w:tc>
      </w:tr>
      <w:tr w:rsidR="00E91396" w:rsidRPr="00B20576" w:rsidTr="0031116E">
        <w:tc>
          <w:tcPr>
            <w:tcW w:w="1418" w:type="dxa"/>
            <w:shd w:val="clear" w:color="auto" w:fill="D9D9D9"/>
            <w:vAlign w:val="center"/>
          </w:tcPr>
          <w:p w:rsidR="00E91396" w:rsidRPr="00B20576" w:rsidRDefault="00E91396" w:rsidP="0031116E">
            <w:pPr>
              <w:pStyle w:val="Tabulkatext0"/>
              <w:jc w:val="center"/>
              <w:rPr>
                <w:b/>
                <w:color w:val="740034"/>
              </w:rPr>
            </w:pPr>
            <w:r w:rsidRPr="00B20576">
              <w:rPr>
                <w:b/>
                <w:color w:val="740034"/>
              </w:rPr>
              <w:t>Vylepšení</w:t>
            </w:r>
          </w:p>
        </w:tc>
        <w:tc>
          <w:tcPr>
            <w:tcW w:w="7762" w:type="dxa"/>
            <w:vAlign w:val="center"/>
          </w:tcPr>
          <w:p w:rsidR="00E91396" w:rsidRPr="00B20576" w:rsidRDefault="00E91396" w:rsidP="0031116E">
            <w:pPr>
              <w:pStyle w:val="Tabulkatext0"/>
            </w:pPr>
            <w:r w:rsidRPr="00B20576">
              <w:t xml:space="preserve">Požadavek na změnu existující funkcionality </w:t>
            </w:r>
            <w:proofErr w:type="gramStart"/>
            <w:r w:rsidRPr="00B20576">
              <w:t>Produktu.*</w:t>
            </w:r>
            <w:proofErr w:type="gramEnd"/>
            <w:r w:rsidRPr="00B20576">
              <w:t xml:space="preserve"> </w:t>
            </w:r>
          </w:p>
        </w:tc>
      </w:tr>
      <w:tr w:rsidR="00E91396" w:rsidRPr="00B20576" w:rsidTr="0031116E">
        <w:tc>
          <w:tcPr>
            <w:tcW w:w="1418" w:type="dxa"/>
            <w:shd w:val="clear" w:color="auto" w:fill="D9D9D9"/>
            <w:vAlign w:val="center"/>
          </w:tcPr>
          <w:p w:rsidR="00E91396" w:rsidRPr="00B20576" w:rsidRDefault="00E91396" w:rsidP="0031116E">
            <w:pPr>
              <w:pStyle w:val="Tabulkatext0"/>
              <w:jc w:val="center"/>
              <w:rPr>
                <w:b/>
                <w:color w:val="740034"/>
              </w:rPr>
            </w:pPr>
            <w:r w:rsidRPr="00B20576">
              <w:rPr>
                <w:b/>
                <w:color w:val="740034"/>
              </w:rPr>
              <w:t>Nová funkce</w:t>
            </w:r>
          </w:p>
        </w:tc>
        <w:tc>
          <w:tcPr>
            <w:tcW w:w="7762" w:type="dxa"/>
            <w:vAlign w:val="center"/>
          </w:tcPr>
          <w:p w:rsidR="00E91396" w:rsidRPr="00B20576" w:rsidRDefault="00E91396" w:rsidP="0031116E">
            <w:pPr>
              <w:pStyle w:val="Tabulkatext0"/>
            </w:pPr>
            <w:r w:rsidRPr="00B20576">
              <w:t xml:space="preserve">Požadavek na přidání dosud neexistující funkcionality </w:t>
            </w:r>
            <w:proofErr w:type="gramStart"/>
            <w:r w:rsidRPr="00B20576">
              <w:t>Produktu.*</w:t>
            </w:r>
            <w:proofErr w:type="gramEnd"/>
            <w:r w:rsidRPr="00B20576">
              <w:t xml:space="preserve"> </w:t>
            </w:r>
          </w:p>
        </w:tc>
      </w:tr>
      <w:tr w:rsidR="00E91396" w:rsidRPr="00B20576" w:rsidTr="0031116E">
        <w:tc>
          <w:tcPr>
            <w:tcW w:w="1418" w:type="dxa"/>
            <w:shd w:val="clear" w:color="auto" w:fill="D9D9D9"/>
            <w:vAlign w:val="center"/>
          </w:tcPr>
          <w:p w:rsidR="00E91396" w:rsidRPr="00B20576" w:rsidRDefault="00E91396" w:rsidP="0031116E">
            <w:pPr>
              <w:pStyle w:val="Tabulkatext0"/>
              <w:jc w:val="center"/>
              <w:rPr>
                <w:b/>
                <w:color w:val="740034"/>
              </w:rPr>
            </w:pPr>
            <w:r w:rsidRPr="00B20576">
              <w:rPr>
                <w:b/>
                <w:color w:val="740034"/>
              </w:rPr>
              <w:t>FAQ</w:t>
            </w:r>
          </w:p>
          <w:p w:rsidR="00E91396" w:rsidRPr="00B20576" w:rsidRDefault="00E91396" w:rsidP="0031116E">
            <w:pPr>
              <w:pStyle w:val="Tabulkatext0"/>
              <w:jc w:val="center"/>
              <w:rPr>
                <w:b/>
                <w:color w:val="740034"/>
              </w:rPr>
            </w:pPr>
            <w:r w:rsidRPr="00B20576">
              <w:rPr>
                <w:b/>
                <w:color w:val="740034"/>
              </w:rPr>
              <w:t>(častý dotaz)</w:t>
            </w:r>
          </w:p>
        </w:tc>
        <w:tc>
          <w:tcPr>
            <w:tcW w:w="7762" w:type="dxa"/>
            <w:vAlign w:val="center"/>
          </w:tcPr>
          <w:p w:rsidR="00E91396" w:rsidRPr="00B20576" w:rsidRDefault="00E91396" w:rsidP="0031116E">
            <w:pPr>
              <w:pStyle w:val="Tabulkatext0"/>
            </w:pPr>
            <w:r w:rsidRPr="00B20576">
              <w:t xml:space="preserve">Incident nevyžadující žádný opravný zásah do Produktu </w:t>
            </w:r>
            <w:proofErr w:type="gramStart"/>
            <w:r w:rsidRPr="00B20576">
              <w:t>tzn. jedná</w:t>
            </w:r>
            <w:proofErr w:type="gramEnd"/>
            <w:r w:rsidRPr="00B20576">
              <w:t xml:space="preserve"> se o vlastnost Produktu nebo je Incident způsoben jinými důvody než na straně Poskytovatele / dodaného Produktu. Nejčastěji vzniká z existujících Incidentů opravou klasifikace typu, má tedy charakter dotazu (opakovaného). Jeho řešení je známé a bývá poskytnuto formou komentáře, odkazu nebo </w:t>
            </w:r>
            <w:proofErr w:type="gramStart"/>
            <w:r w:rsidR="002C7323" w:rsidRPr="00B20576">
              <w:t>K</w:t>
            </w:r>
            <w:r w:rsidRPr="00B20576">
              <w:t>onzultace.*</w:t>
            </w:r>
            <w:proofErr w:type="gramEnd"/>
          </w:p>
        </w:tc>
      </w:tr>
    </w:tbl>
    <w:p w:rsidR="00E91396" w:rsidRPr="00B20576" w:rsidRDefault="00E91396" w:rsidP="00E91396">
      <w:pPr>
        <w:pStyle w:val="Zkladntext"/>
        <w:rPr>
          <w:rFonts w:cs="Tahoma"/>
        </w:rPr>
      </w:pPr>
      <w:r w:rsidRPr="00B20576">
        <w:rPr>
          <w:rFonts w:cs="Tahoma"/>
        </w:rPr>
        <w:t>*</w:t>
      </w:r>
      <w:r w:rsidRPr="00B20576">
        <w:t xml:space="preserve"> </w:t>
      </w:r>
      <w:r w:rsidRPr="00B20576">
        <w:rPr>
          <w:sz w:val="18"/>
          <w:szCs w:val="18"/>
        </w:rPr>
        <w:t xml:space="preserve">Není zahrnuto v ceně základní </w:t>
      </w:r>
      <w:r w:rsidR="00295186" w:rsidRPr="00B20576">
        <w:rPr>
          <w:sz w:val="18"/>
          <w:szCs w:val="18"/>
        </w:rPr>
        <w:t>S</w:t>
      </w:r>
      <w:r w:rsidRPr="00B20576">
        <w:rPr>
          <w:sz w:val="18"/>
          <w:szCs w:val="18"/>
        </w:rPr>
        <w:t xml:space="preserve">mlouvy, ale může být odbaveno v rámci předplacených </w:t>
      </w:r>
      <w:r w:rsidR="00295186" w:rsidRPr="00B20576">
        <w:rPr>
          <w:sz w:val="18"/>
          <w:szCs w:val="18"/>
        </w:rPr>
        <w:t>P</w:t>
      </w:r>
      <w:r w:rsidRPr="00B20576">
        <w:rPr>
          <w:sz w:val="18"/>
          <w:szCs w:val="18"/>
        </w:rPr>
        <w:t>aušálních hodin, pokud je má Uživatel sjednány.</w:t>
      </w:r>
    </w:p>
    <w:p w:rsidR="00E91396" w:rsidRPr="00791869" w:rsidRDefault="00E91396" w:rsidP="00E91396">
      <w:pPr>
        <w:pStyle w:val="Zkladntext"/>
        <w:rPr>
          <w:rFonts w:cs="Tahoma"/>
          <w:sz w:val="20"/>
          <w:szCs w:val="20"/>
        </w:rPr>
      </w:pPr>
      <w:r w:rsidRPr="00791869">
        <w:rPr>
          <w:rFonts w:cs="Tahoma"/>
          <w:sz w:val="20"/>
          <w:szCs w:val="20"/>
        </w:rPr>
        <w:t>Kromě výše uvedených typů se v </w:t>
      </w:r>
      <w:proofErr w:type="spellStart"/>
      <w:r w:rsidRPr="00791869">
        <w:rPr>
          <w:rFonts w:cs="Tahoma"/>
          <w:sz w:val="20"/>
          <w:szCs w:val="20"/>
        </w:rPr>
        <w:t>HelpDesku</w:t>
      </w:r>
      <w:proofErr w:type="spellEnd"/>
      <w:r w:rsidRPr="00791869">
        <w:rPr>
          <w:rFonts w:cs="Tahoma"/>
          <w:sz w:val="20"/>
          <w:szCs w:val="20"/>
        </w:rPr>
        <w:t xml:space="preserve"> mohou vyskytovat i jiné typy Incidentů (LOG, Úkol, Zápis, Testování, Nákup), které nejsou předmětem plnění Smlouvy a slouží pouze pro podporu řídících procesů Poskytovatele při implementaci a servisu dodaného Produktu.</w:t>
      </w:r>
    </w:p>
    <w:p w:rsidR="00E91396" w:rsidRPr="00791869" w:rsidRDefault="00E91396" w:rsidP="00B51E6C">
      <w:pPr>
        <w:pStyle w:val="Odstavecsmlouvy"/>
        <w:numPr>
          <w:ilvl w:val="2"/>
          <w:numId w:val="16"/>
        </w:numPr>
        <w:rPr>
          <w:rFonts w:cs="Tahoma"/>
          <w:b/>
          <w:lang w:val="cs-CZ"/>
        </w:rPr>
      </w:pPr>
      <w:r w:rsidRPr="00791869">
        <w:rPr>
          <w:b/>
          <w:lang w:val="cs-CZ"/>
        </w:rPr>
        <w:t>Priority Incidentů</w:t>
      </w:r>
    </w:p>
    <w:p w:rsidR="00E91396" w:rsidRPr="00884479" w:rsidRDefault="00E91396" w:rsidP="00E91396">
      <w:pPr>
        <w:pStyle w:val="Zkladntext"/>
        <w:rPr>
          <w:sz w:val="20"/>
          <w:szCs w:val="20"/>
        </w:rPr>
      </w:pPr>
      <w:r w:rsidRPr="00884479">
        <w:rPr>
          <w:sz w:val="20"/>
          <w:szCs w:val="20"/>
        </w:rPr>
        <w:t xml:space="preserve">Priorita Incidentu je klasifikací Incidentu, </w:t>
      </w:r>
      <w:r w:rsidR="004E0CB7" w:rsidRPr="00884479">
        <w:rPr>
          <w:sz w:val="20"/>
          <w:szCs w:val="20"/>
        </w:rPr>
        <w:t>od které je odvislá Reakční doba</w:t>
      </w:r>
      <w:r w:rsidRPr="00884479">
        <w:rPr>
          <w:sz w:val="20"/>
          <w:szCs w:val="20"/>
        </w:rPr>
        <w:t xml:space="preserve"> a </w:t>
      </w:r>
      <w:r w:rsidR="004E0CB7" w:rsidRPr="00884479">
        <w:rPr>
          <w:sz w:val="20"/>
          <w:szCs w:val="20"/>
        </w:rPr>
        <w:t>Doba odstranění chyby</w:t>
      </w:r>
      <w:r w:rsidRPr="00884479">
        <w:rPr>
          <w:sz w:val="20"/>
          <w:szCs w:val="20"/>
        </w:rPr>
        <w:t>.</w:t>
      </w:r>
    </w:p>
    <w:tbl>
      <w:tblPr>
        <w:tblW w:w="4815" w:type="pct"/>
        <w:tblInd w:w="94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536"/>
        <w:gridCol w:w="1520"/>
        <w:gridCol w:w="5671"/>
      </w:tblGrid>
      <w:tr w:rsidR="009A3E39" w:rsidRPr="00791869" w:rsidTr="00D30A7D">
        <w:trPr>
          <w:trHeight w:val="315"/>
          <w:tblHeader/>
        </w:trPr>
        <w:tc>
          <w:tcPr>
            <w:tcW w:w="880" w:type="pct"/>
            <w:shd w:val="clear" w:color="auto" w:fill="D9D9D9"/>
          </w:tcPr>
          <w:p w:rsidR="009A3E39" w:rsidRPr="00791869" w:rsidRDefault="004E0CB7" w:rsidP="0031116E">
            <w:pPr>
              <w:pStyle w:val="Tabulkatext0"/>
              <w:shd w:val="clear" w:color="auto" w:fill="D9D9D9"/>
              <w:jc w:val="center"/>
              <w:rPr>
                <w:b/>
                <w:color w:val="8A003E"/>
              </w:rPr>
            </w:pPr>
            <w:r w:rsidRPr="00791869">
              <w:rPr>
                <w:b/>
                <w:color w:val="8A003E"/>
              </w:rPr>
              <w:t>Kategorie</w:t>
            </w:r>
            <w:r w:rsidR="004651B4" w:rsidRPr="00791869">
              <w:rPr>
                <w:b/>
                <w:color w:val="8A003E"/>
              </w:rPr>
              <w:t xml:space="preserve"> Chyby</w:t>
            </w:r>
            <w:r w:rsidRPr="00791869">
              <w:rPr>
                <w:b/>
                <w:color w:val="8A003E"/>
              </w:rPr>
              <w:t xml:space="preserve"> pro RD</w:t>
            </w:r>
          </w:p>
        </w:tc>
        <w:tc>
          <w:tcPr>
            <w:tcW w:w="871" w:type="pct"/>
            <w:shd w:val="clear" w:color="auto" w:fill="D9D9D9"/>
            <w:vAlign w:val="bottom"/>
          </w:tcPr>
          <w:p w:rsidR="009A3E39" w:rsidRPr="00791869" w:rsidRDefault="009A3E39" w:rsidP="00130A58">
            <w:pPr>
              <w:pStyle w:val="Tabulkatext0"/>
              <w:shd w:val="clear" w:color="auto" w:fill="D9D9D9"/>
              <w:jc w:val="center"/>
              <w:rPr>
                <w:b/>
                <w:color w:val="8A003E"/>
              </w:rPr>
            </w:pPr>
            <w:r w:rsidRPr="00791869">
              <w:rPr>
                <w:b/>
                <w:color w:val="8A003E"/>
              </w:rPr>
              <w:t xml:space="preserve">Priorita </w:t>
            </w:r>
            <w:r w:rsidR="00130A58" w:rsidRPr="00791869">
              <w:rPr>
                <w:b/>
                <w:color w:val="8A003E"/>
              </w:rPr>
              <w:t>I</w:t>
            </w:r>
            <w:r w:rsidRPr="00791869">
              <w:rPr>
                <w:b/>
                <w:color w:val="8A003E"/>
              </w:rPr>
              <w:t>ncidentu</w:t>
            </w:r>
            <w:r w:rsidR="00187B0C" w:rsidRPr="00791869">
              <w:rPr>
                <w:b/>
                <w:color w:val="8A003E"/>
              </w:rPr>
              <w:t xml:space="preserve"> pro DOZ</w:t>
            </w:r>
          </w:p>
        </w:tc>
        <w:tc>
          <w:tcPr>
            <w:tcW w:w="3249" w:type="pct"/>
            <w:shd w:val="clear" w:color="auto" w:fill="D9D9D9"/>
            <w:vAlign w:val="bottom"/>
          </w:tcPr>
          <w:p w:rsidR="009A3E39" w:rsidRPr="00791869" w:rsidRDefault="009A3E39" w:rsidP="0031116E">
            <w:pPr>
              <w:pStyle w:val="Tabulkanadpis0"/>
              <w:shd w:val="clear" w:color="auto" w:fill="D9D9D9"/>
              <w:jc w:val="center"/>
              <w:rPr>
                <w:color w:val="8A003E"/>
                <w:lang w:val="cs-CZ"/>
              </w:rPr>
            </w:pPr>
            <w:r w:rsidRPr="00791869">
              <w:rPr>
                <w:color w:val="8A003E"/>
                <w:lang w:val="cs-CZ"/>
              </w:rPr>
              <w:t>Popis</w:t>
            </w:r>
          </w:p>
        </w:tc>
      </w:tr>
      <w:tr w:rsidR="004E0CB7" w:rsidRPr="00791869" w:rsidTr="00D30A7D">
        <w:trPr>
          <w:trHeight w:val="57"/>
        </w:trPr>
        <w:tc>
          <w:tcPr>
            <w:tcW w:w="880" w:type="pct"/>
            <w:vMerge w:val="restart"/>
            <w:shd w:val="clear" w:color="auto" w:fill="D9D9D9"/>
            <w:vAlign w:val="center"/>
          </w:tcPr>
          <w:p w:rsidR="004E0CB7" w:rsidRPr="00791869" w:rsidRDefault="004E0CB7" w:rsidP="004E0CB7">
            <w:pPr>
              <w:pStyle w:val="Tabulkatext0"/>
              <w:jc w:val="center"/>
              <w:rPr>
                <w:b/>
                <w:color w:val="8A003E"/>
              </w:rPr>
            </w:pPr>
            <w:r w:rsidRPr="00791869">
              <w:rPr>
                <w:b/>
                <w:color w:val="8A003E"/>
              </w:rPr>
              <w:t>Chyby s vysokou prioritou</w:t>
            </w:r>
          </w:p>
        </w:tc>
        <w:tc>
          <w:tcPr>
            <w:tcW w:w="871" w:type="pct"/>
            <w:shd w:val="clear" w:color="auto" w:fill="D9D9D9"/>
            <w:vAlign w:val="bottom"/>
          </w:tcPr>
          <w:p w:rsidR="004E0CB7" w:rsidRPr="00791869" w:rsidRDefault="004E0CB7" w:rsidP="0031116E">
            <w:pPr>
              <w:pStyle w:val="Tabulkatext0"/>
              <w:jc w:val="center"/>
              <w:rPr>
                <w:b/>
                <w:color w:val="8A003E"/>
              </w:rPr>
            </w:pPr>
            <w:proofErr w:type="spellStart"/>
            <w:r w:rsidRPr="00791869">
              <w:rPr>
                <w:b/>
                <w:color w:val="8A003E"/>
              </w:rPr>
              <w:t>Blocker</w:t>
            </w:r>
            <w:proofErr w:type="spellEnd"/>
          </w:p>
        </w:tc>
        <w:tc>
          <w:tcPr>
            <w:tcW w:w="3249" w:type="pct"/>
            <w:vAlign w:val="bottom"/>
          </w:tcPr>
          <w:p w:rsidR="004E0CB7" w:rsidRPr="00791869" w:rsidRDefault="001027F9" w:rsidP="0031116E">
            <w:pPr>
              <w:pStyle w:val="Tabulkatext0"/>
            </w:pPr>
            <w:r w:rsidRPr="00791869">
              <w:t>Blokuje práci (</w:t>
            </w:r>
            <w:r>
              <w:t>Produkt nelze spustit nebo nefunguje jeho klíčová funkcionalita - nelze úspěšně projít celým procesem)</w:t>
            </w:r>
            <w:r w:rsidRPr="00791869">
              <w:t>.</w:t>
            </w:r>
            <w:r>
              <w:t xml:space="preserve"> Chyba neumožňuje ani omezený provoz programových prostředků.</w:t>
            </w:r>
          </w:p>
        </w:tc>
      </w:tr>
      <w:tr w:rsidR="004E0CB7" w:rsidRPr="00791869" w:rsidTr="00D30A7D">
        <w:trPr>
          <w:trHeight w:val="57"/>
        </w:trPr>
        <w:tc>
          <w:tcPr>
            <w:tcW w:w="880" w:type="pct"/>
            <w:vMerge/>
            <w:shd w:val="clear" w:color="auto" w:fill="D9D9D9"/>
            <w:vAlign w:val="center"/>
          </w:tcPr>
          <w:p w:rsidR="004E0CB7" w:rsidRPr="00791869" w:rsidRDefault="004E0CB7" w:rsidP="004E0CB7">
            <w:pPr>
              <w:pStyle w:val="Tabulkatext0"/>
              <w:jc w:val="center"/>
              <w:rPr>
                <w:b/>
                <w:color w:val="8A003E"/>
              </w:rPr>
            </w:pPr>
          </w:p>
        </w:tc>
        <w:tc>
          <w:tcPr>
            <w:tcW w:w="871" w:type="pct"/>
            <w:shd w:val="clear" w:color="auto" w:fill="D9D9D9"/>
            <w:vAlign w:val="bottom"/>
          </w:tcPr>
          <w:p w:rsidR="004E0CB7" w:rsidRPr="00791869" w:rsidRDefault="004E0CB7" w:rsidP="0031116E">
            <w:pPr>
              <w:pStyle w:val="Tabulkatext0"/>
              <w:jc w:val="center"/>
              <w:rPr>
                <w:b/>
                <w:color w:val="8A003E"/>
              </w:rPr>
            </w:pPr>
            <w:proofErr w:type="spellStart"/>
            <w:r w:rsidRPr="00791869">
              <w:rPr>
                <w:b/>
                <w:color w:val="8A003E"/>
              </w:rPr>
              <w:t>Critical</w:t>
            </w:r>
            <w:proofErr w:type="spellEnd"/>
          </w:p>
        </w:tc>
        <w:tc>
          <w:tcPr>
            <w:tcW w:w="3249" w:type="pct"/>
            <w:vAlign w:val="bottom"/>
          </w:tcPr>
          <w:p w:rsidR="004E0CB7" w:rsidRPr="00791869" w:rsidRDefault="001027F9" w:rsidP="0031116E">
            <w:pPr>
              <w:pStyle w:val="Tabulkatext0"/>
            </w:pPr>
            <w:r w:rsidRPr="00791869">
              <w:t>Znemožňuje informační podporu hlavních procesů Uživatele</w:t>
            </w:r>
            <w:r>
              <w:t>. Chyba znemožňuje běžný provoz, ale umožňuje provoz v omezené míře.</w:t>
            </w:r>
          </w:p>
        </w:tc>
      </w:tr>
      <w:tr w:rsidR="004E0CB7" w:rsidRPr="00791869" w:rsidTr="00D30A7D">
        <w:trPr>
          <w:trHeight w:val="57"/>
        </w:trPr>
        <w:tc>
          <w:tcPr>
            <w:tcW w:w="880" w:type="pct"/>
            <w:vMerge w:val="restart"/>
            <w:shd w:val="clear" w:color="auto" w:fill="D9D9D9"/>
            <w:vAlign w:val="center"/>
          </w:tcPr>
          <w:p w:rsidR="004E0CB7" w:rsidRPr="00791869" w:rsidRDefault="004E0CB7" w:rsidP="004651B4">
            <w:pPr>
              <w:pStyle w:val="Tabulkatext0"/>
              <w:jc w:val="center"/>
              <w:rPr>
                <w:b/>
                <w:color w:val="8A003E"/>
              </w:rPr>
            </w:pPr>
            <w:r w:rsidRPr="00791869">
              <w:rPr>
                <w:b/>
                <w:color w:val="8A003E"/>
              </w:rPr>
              <w:lastRenderedPageBreak/>
              <w:t>s nízkou prioritou</w:t>
            </w:r>
          </w:p>
        </w:tc>
        <w:tc>
          <w:tcPr>
            <w:tcW w:w="871" w:type="pct"/>
            <w:shd w:val="clear" w:color="auto" w:fill="D9D9D9"/>
            <w:vAlign w:val="bottom"/>
          </w:tcPr>
          <w:p w:rsidR="004E0CB7" w:rsidRPr="00791869" w:rsidRDefault="004E0CB7" w:rsidP="0031116E">
            <w:pPr>
              <w:pStyle w:val="Tabulkatext0"/>
              <w:jc w:val="center"/>
              <w:rPr>
                <w:b/>
                <w:color w:val="8A003E"/>
              </w:rPr>
            </w:pPr>
            <w:r w:rsidRPr="00791869">
              <w:rPr>
                <w:b/>
                <w:color w:val="8A003E"/>
              </w:rPr>
              <w:t>Major</w:t>
            </w:r>
          </w:p>
        </w:tc>
        <w:tc>
          <w:tcPr>
            <w:tcW w:w="3249" w:type="pct"/>
            <w:vAlign w:val="bottom"/>
          </w:tcPr>
          <w:p w:rsidR="004E0CB7" w:rsidRPr="00791869" w:rsidRDefault="004E0CB7" w:rsidP="0031116E">
            <w:pPr>
              <w:pStyle w:val="Tabulkatext0"/>
            </w:pPr>
            <w:r w:rsidRPr="00791869">
              <w:t>Znesnadňuje práci, lze však obejít za cenu přiměřených nároků na Uživatele poté, co Poskytovatel doporučí nebo aplikuje náhradní řešení</w:t>
            </w:r>
            <w:r w:rsidR="00295186" w:rsidRPr="00791869">
              <w:t>.</w:t>
            </w:r>
            <w:r w:rsidRPr="00791869">
              <w:t xml:space="preserve"> </w:t>
            </w:r>
          </w:p>
        </w:tc>
      </w:tr>
      <w:tr w:rsidR="004E0CB7" w:rsidRPr="00791869" w:rsidTr="00D30A7D">
        <w:trPr>
          <w:trHeight w:val="57"/>
        </w:trPr>
        <w:tc>
          <w:tcPr>
            <w:tcW w:w="880" w:type="pct"/>
            <w:vMerge/>
            <w:shd w:val="clear" w:color="auto" w:fill="D9D9D9"/>
          </w:tcPr>
          <w:p w:rsidR="004E0CB7" w:rsidRPr="00791869" w:rsidRDefault="004E0CB7" w:rsidP="0031116E">
            <w:pPr>
              <w:pStyle w:val="Tabulkatext0"/>
              <w:jc w:val="center"/>
              <w:rPr>
                <w:b/>
                <w:color w:val="8A003E"/>
              </w:rPr>
            </w:pPr>
          </w:p>
        </w:tc>
        <w:tc>
          <w:tcPr>
            <w:tcW w:w="871" w:type="pct"/>
            <w:shd w:val="clear" w:color="auto" w:fill="D9D9D9"/>
            <w:vAlign w:val="bottom"/>
          </w:tcPr>
          <w:p w:rsidR="004E0CB7" w:rsidRPr="00791869" w:rsidRDefault="004E0CB7" w:rsidP="0031116E">
            <w:pPr>
              <w:pStyle w:val="Tabulkatext0"/>
              <w:jc w:val="center"/>
              <w:rPr>
                <w:b/>
                <w:color w:val="8A003E"/>
              </w:rPr>
            </w:pPr>
            <w:r w:rsidRPr="00791869">
              <w:rPr>
                <w:b/>
                <w:color w:val="8A003E"/>
              </w:rPr>
              <w:t>Minor</w:t>
            </w:r>
          </w:p>
        </w:tc>
        <w:tc>
          <w:tcPr>
            <w:tcW w:w="3249" w:type="pct"/>
            <w:vAlign w:val="bottom"/>
          </w:tcPr>
          <w:p w:rsidR="004E0CB7" w:rsidRPr="00791869" w:rsidRDefault="004E0CB7" w:rsidP="0031116E">
            <w:pPr>
              <w:pStyle w:val="Tabulkatext0"/>
            </w:pPr>
            <w:r w:rsidRPr="00791869">
              <w:t>Znepříjemňuje práci, lze snadno obejít.</w:t>
            </w:r>
          </w:p>
        </w:tc>
      </w:tr>
      <w:tr w:rsidR="004E0CB7" w:rsidRPr="00791869" w:rsidTr="00D30A7D">
        <w:trPr>
          <w:trHeight w:val="57"/>
        </w:trPr>
        <w:tc>
          <w:tcPr>
            <w:tcW w:w="880" w:type="pct"/>
            <w:vMerge/>
            <w:shd w:val="clear" w:color="auto" w:fill="D9D9D9"/>
          </w:tcPr>
          <w:p w:rsidR="004E0CB7" w:rsidRPr="00791869" w:rsidRDefault="004E0CB7" w:rsidP="0031116E">
            <w:pPr>
              <w:pStyle w:val="Tabulkatext0"/>
              <w:jc w:val="center"/>
              <w:rPr>
                <w:b/>
                <w:color w:val="8A003E"/>
              </w:rPr>
            </w:pPr>
          </w:p>
        </w:tc>
        <w:tc>
          <w:tcPr>
            <w:tcW w:w="871" w:type="pct"/>
            <w:shd w:val="clear" w:color="auto" w:fill="D9D9D9"/>
            <w:vAlign w:val="bottom"/>
          </w:tcPr>
          <w:p w:rsidR="004E0CB7" w:rsidRPr="00791869" w:rsidRDefault="004E0CB7" w:rsidP="0031116E">
            <w:pPr>
              <w:pStyle w:val="Tabulkatext0"/>
              <w:jc w:val="center"/>
              <w:rPr>
                <w:b/>
                <w:color w:val="8A003E"/>
              </w:rPr>
            </w:pPr>
            <w:proofErr w:type="spellStart"/>
            <w:r w:rsidRPr="00791869">
              <w:rPr>
                <w:b/>
                <w:color w:val="8A003E"/>
              </w:rPr>
              <w:t>Trivial</w:t>
            </w:r>
            <w:proofErr w:type="spellEnd"/>
          </w:p>
        </w:tc>
        <w:tc>
          <w:tcPr>
            <w:tcW w:w="3249" w:type="pct"/>
            <w:vAlign w:val="bottom"/>
          </w:tcPr>
          <w:p w:rsidR="004E0CB7" w:rsidRPr="00791869" w:rsidRDefault="004E0CB7" w:rsidP="0031116E">
            <w:pPr>
              <w:pStyle w:val="Tabulkatext0"/>
            </w:pPr>
            <w:r w:rsidRPr="00791869">
              <w:t>Ostatní drobné vady kosmetického charakteru, např. přejmenování položek apod.</w:t>
            </w:r>
          </w:p>
        </w:tc>
      </w:tr>
    </w:tbl>
    <w:p w:rsidR="00E91396" w:rsidRPr="00B20576" w:rsidRDefault="00E91396" w:rsidP="00B51E6C">
      <w:pPr>
        <w:pStyle w:val="lneksmlouvy"/>
        <w:numPr>
          <w:ilvl w:val="1"/>
          <w:numId w:val="16"/>
        </w:numPr>
      </w:pPr>
      <w:bookmarkStart w:id="26" w:name="_Ref457730799"/>
      <w:bookmarkStart w:id="27" w:name="_Ref53280516"/>
      <w:bookmarkStart w:id="28" w:name="_Ref457379078"/>
      <w:r w:rsidRPr="00B20576">
        <w:t>Zálohování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lang w:val="cs-CZ"/>
        </w:rPr>
        <w:t xml:space="preserve">Poskytování služby Zálohování Uživateli je závislé na rozsahu služeb sjednaných ve </w:t>
      </w:r>
      <w:r w:rsidR="00295186" w:rsidRPr="00B20576">
        <w:rPr>
          <w:lang w:val="cs-CZ"/>
        </w:rPr>
        <w:t>Smlouvě</w:t>
      </w:r>
      <w:r w:rsidRPr="00B20576">
        <w:rPr>
          <w:lang w:val="cs-CZ"/>
        </w:rPr>
        <w:t xml:space="preserve">. Poskytovatel standardně zálohování dat a </w:t>
      </w:r>
      <w:r w:rsidR="00130A58" w:rsidRPr="00B20576">
        <w:rPr>
          <w:lang w:val="cs-CZ"/>
        </w:rPr>
        <w:t>A</w:t>
      </w:r>
      <w:r w:rsidRPr="00B20576">
        <w:rPr>
          <w:lang w:val="cs-CZ"/>
        </w:rPr>
        <w:t>plikací neprovádí, vyjma: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  <w:rPr>
          <w:sz w:val="20"/>
          <w:szCs w:val="20"/>
        </w:rPr>
      </w:pPr>
      <w:r w:rsidRPr="00B20576">
        <w:rPr>
          <w:sz w:val="20"/>
          <w:szCs w:val="20"/>
        </w:rPr>
        <w:t xml:space="preserve">Poskytovatel provádí zálohování dat a </w:t>
      </w:r>
      <w:r w:rsidR="00295186" w:rsidRPr="00B20576">
        <w:rPr>
          <w:sz w:val="20"/>
          <w:szCs w:val="20"/>
        </w:rPr>
        <w:t xml:space="preserve">Aplikací </w:t>
      </w:r>
      <w:r w:rsidRPr="00B20576">
        <w:rPr>
          <w:sz w:val="20"/>
          <w:szCs w:val="20"/>
        </w:rPr>
        <w:t xml:space="preserve">1x denně v případě, že jsou umístěny na Technologiích Poskytovatele a </w:t>
      </w:r>
      <w:r w:rsidR="00295186" w:rsidRPr="00B20576">
        <w:rPr>
          <w:sz w:val="20"/>
          <w:szCs w:val="20"/>
        </w:rPr>
        <w:t xml:space="preserve">Zálohování </w:t>
      </w:r>
      <w:r w:rsidRPr="00B20576">
        <w:rPr>
          <w:sz w:val="20"/>
          <w:szCs w:val="20"/>
        </w:rPr>
        <w:t xml:space="preserve">je sjednáno ve Smlouvě. Zálohy jsou uchovávány po dobu jednoho týdne na jiném odděleném serveru, než na kterém je umístěna </w:t>
      </w:r>
      <w:r w:rsidR="00295186" w:rsidRPr="00B20576">
        <w:rPr>
          <w:sz w:val="20"/>
          <w:szCs w:val="20"/>
        </w:rPr>
        <w:t xml:space="preserve">Aplikace </w:t>
      </w:r>
      <w:r w:rsidRPr="00B20576">
        <w:rPr>
          <w:sz w:val="20"/>
          <w:szCs w:val="20"/>
        </w:rPr>
        <w:t>a data. Zálohy jsou Uživateli k dispozici na vyžádání.</w:t>
      </w:r>
      <w:r w:rsidR="00884479">
        <w:rPr>
          <w:sz w:val="20"/>
          <w:szCs w:val="20"/>
        </w:rPr>
        <w:t xml:space="preserve"> Poskytovatel předá zálohy Uživateli do 3 pracovních dnů od přijetí žádosti. 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  <w:rPr>
          <w:sz w:val="20"/>
          <w:szCs w:val="20"/>
        </w:rPr>
      </w:pPr>
      <w:r w:rsidRPr="00B20576">
        <w:rPr>
          <w:sz w:val="20"/>
          <w:szCs w:val="20"/>
        </w:rPr>
        <w:t xml:space="preserve">Poskytovatel provádí Základní zálohování v rámci Správy serveru, pokud je sjednána ve Smlouvě. Poskytovatel zálohuje data a </w:t>
      </w:r>
      <w:r w:rsidR="00295186" w:rsidRPr="00B20576">
        <w:rPr>
          <w:sz w:val="20"/>
          <w:szCs w:val="20"/>
        </w:rPr>
        <w:t xml:space="preserve">Aplikace </w:t>
      </w:r>
      <w:r w:rsidRPr="00B20576">
        <w:rPr>
          <w:sz w:val="20"/>
          <w:szCs w:val="20"/>
        </w:rPr>
        <w:t>1x denně a záloha je ukládána na stejný server, na kterém běží Produkt a uchovávána po dobu jednoho týdne. Poskytovatel doporučuje Uživateli vyhradit zvláštní prostor na jiném serveru pro ukládání záloh. Zálohy jsou Uživateli volně dostupné.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lang w:val="cs-CZ"/>
        </w:rPr>
        <w:t>Pokud není zálohování zajišťováno Poskytovatelem</w:t>
      </w:r>
      <w:r w:rsidR="00F63F78">
        <w:rPr>
          <w:lang w:val="cs-CZ"/>
        </w:rPr>
        <w:t>,</w:t>
      </w:r>
      <w:r w:rsidRPr="00B20576">
        <w:rPr>
          <w:lang w:val="cs-CZ"/>
        </w:rPr>
        <w:t xml:space="preserve"> je Uživatel povinen zajistit </w:t>
      </w:r>
      <w:r w:rsidR="00295186" w:rsidRPr="00B20576">
        <w:rPr>
          <w:lang w:val="cs-CZ"/>
        </w:rPr>
        <w:t xml:space="preserve">Zálohování </w:t>
      </w:r>
      <w:r w:rsidRPr="00B20576">
        <w:rPr>
          <w:lang w:val="cs-CZ"/>
        </w:rPr>
        <w:t xml:space="preserve">dat a </w:t>
      </w:r>
      <w:r w:rsidR="00295186" w:rsidRPr="00B20576">
        <w:rPr>
          <w:lang w:val="cs-CZ"/>
        </w:rPr>
        <w:t>A</w:t>
      </w:r>
      <w:r w:rsidRPr="00B20576">
        <w:rPr>
          <w:lang w:val="cs-CZ"/>
        </w:rPr>
        <w:t>plikací svépomocí popř. třetí stranou tak, aby v případě havárie a/nebo výpadku jakékoliv části Produktu a/nebo hardware byl Poskytovatel na základě žádosti Uživatele schopen obnovit provoz Produktu. Zároveň se Uživatel zavazuje poskytnout potřebnou součinnost při obnově.</w:t>
      </w:r>
    </w:p>
    <w:p w:rsidR="00E91396" w:rsidRPr="00B20576" w:rsidRDefault="00E91396" w:rsidP="00B51E6C">
      <w:pPr>
        <w:pStyle w:val="lneksmlouvy"/>
        <w:numPr>
          <w:ilvl w:val="1"/>
          <w:numId w:val="16"/>
        </w:numPr>
      </w:pPr>
      <w:r w:rsidRPr="00B20576">
        <w:t>Konzultační služby</w:t>
      </w:r>
      <w:bookmarkEnd w:id="26"/>
      <w:r w:rsidRPr="00B20576">
        <w:t xml:space="preserve"> 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lang w:val="cs-CZ"/>
        </w:rPr>
        <w:t xml:space="preserve">Poskytovatel se zavazuje Uživateli poskytovat </w:t>
      </w:r>
      <w:r w:rsidR="006B51C7" w:rsidRPr="00B20576">
        <w:rPr>
          <w:lang w:val="cs-CZ"/>
        </w:rPr>
        <w:t xml:space="preserve">Konzultace </w:t>
      </w:r>
      <w:r w:rsidRPr="00B20576">
        <w:rPr>
          <w:lang w:val="cs-CZ"/>
        </w:rPr>
        <w:t>v telefonické, písemné formě nebo při osobní návštěvě, a to na základě požadavku (záznam v </w:t>
      </w:r>
      <w:proofErr w:type="spellStart"/>
      <w:r w:rsidRPr="00B20576">
        <w:rPr>
          <w:lang w:val="cs-CZ"/>
        </w:rPr>
        <w:t>HelpDesku</w:t>
      </w:r>
      <w:proofErr w:type="spellEnd"/>
      <w:r w:rsidRPr="00B20576">
        <w:rPr>
          <w:lang w:val="cs-CZ"/>
        </w:rPr>
        <w:t xml:space="preserve">). Požadavek musí obsahovat (obojí zajistí standardní mechanismy </w:t>
      </w:r>
      <w:proofErr w:type="spellStart"/>
      <w:r w:rsidRPr="00B20576">
        <w:rPr>
          <w:lang w:val="cs-CZ"/>
        </w:rPr>
        <w:t>HelpDesku</w:t>
      </w:r>
      <w:proofErr w:type="spellEnd"/>
      <w:r w:rsidRPr="00B20576">
        <w:rPr>
          <w:lang w:val="cs-CZ"/>
        </w:rPr>
        <w:t>):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 xml:space="preserve">jméno a pracoviště žadatele o </w:t>
      </w:r>
      <w:r w:rsidR="006B51C7" w:rsidRPr="00B20576">
        <w:t>Konzultaci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 xml:space="preserve">téma (předmět) </w:t>
      </w:r>
      <w:r w:rsidR="006B51C7" w:rsidRPr="00B20576">
        <w:t>Konzultace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lang w:val="cs-CZ"/>
        </w:rPr>
        <w:t xml:space="preserve">Konzultační služby jsou vždy hrazeny z předplacených </w:t>
      </w:r>
      <w:r w:rsidR="006B51C7" w:rsidRPr="00B20576">
        <w:rPr>
          <w:lang w:val="cs-CZ"/>
        </w:rPr>
        <w:t xml:space="preserve">Paušálních </w:t>
      </w:r>
      <w:r w:rsidRPr="00B20576">
        <w:rPr>
          <w:lang w:val="cs-CZ"/>
        </w:rPr>
        <w:t>hodin nebo jsou účtovány dle ceny sjednané ve Smlouvě</w:t>
      </w:r>
      <w:r w:rsidR="00416EDA">
        <w:rPr>
          <w:lang w:val="cs-CZ"/>
        </w:rPr>
        <w:t>, pokud Paušální hodiny nejsou sjednány</w:t>
      </w:r>
      <w:r w:rsidRPr="00B20576">
        <w:rPr>
          <w:lang w:val="cs-CZ"/>
        </w:rPr>
        <w:t xml:space="preserve">. 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lang w:val="cs-CZ"/>
        </w:rPr>
        <w:t xml:space="preserve">Mezi konzultační služby jsou počítány </w:t>
      </w:r>
      <w:r w:rsidR="006B51C7" w:rsidRPr="00B20576">
        <w:rPr>
          <w:lang w:val="cs-CZ"/>
        </w:rPr>
        <w:t xml:space="preserve">Konzultace </w:t>
      </w:r>
      <w:r w:rsidRPr="00B20576">
        <w:rPr>
          <w:lang w:val="cs-CZ"/>
        </w:rPr>
        <w:t xml:space="preserve">s uživateli v osobní, telefonické nebo elektronické formě. Do konzultačních služeb patří také řešení </w:t>
      </w:r>
      <w:r w:rsidR="006B51C7" w:rsidRPr="00B20576">
        <w:rPr>
          <w:lang w:val="cs-CZ"/>
        </w:rPr>
        <w:t xml:space="preserve">Incidentu </w:t>
      </w:r>
      <w:r w:rsidRPr="00B20576">
        <w:rPr>
          <w:lang w:val="cs-CZ"/>
        </w:rPr>
        <w:t xml:space="preserve">primárně označeného jako Chyba, jehož příčina není v nefunkčnosti </w:t>
      </w:r>
      <w:r w:rsidR="006B51C7" w:rsidRPr="00B20576">
        <w:rPr>
          <w:lang w:val="cs-CZ"/>
        </w:rPr>
        <w:t>Aplikace</w:t>
      </w:r>
      <w:r w:rsidRPr="00B20576">
        <w:rPr>
          <w:lang w:val="cs-CZ"/>
        </w:rPr>
        <w:t xml:space="preserve">, ale v neznalosti obsluhy nebo ve změně konfigurace technologického prostředí Uživatele nebo Informačních systémů třetích stran.  Z hlediska dodržení smluvních lhůt bude Poskytovatel vždy jednat s cílem odstranit závadu bez ohledu na to, kde je předpokládána příčina. V případě, že příčina bude mimo Produkt, bude čas účtován jako konzultační služby a příslušný </w:t>
      </w:r>
      <w:r w:rsidR="006B51C7" w:rsidRPr="00B20576">
        <w:rPr>
          <w:lang w:val="cs-CZ"/>
        </w:rPr>
        <w:t xml:space="preserve">Incident </w:t>
      </w:r>
      <w:r w:rsidRPr="00B20576">
        <w:rPr>
          <w:lang w:val="cs-CZ"/>
        </w:rPr>
        <w:t>v </w:t>
      </w:r>
      <w:proofErr w:type="spellStart"/>
      <w:r w:rsidRPr="00B20576">
        <w:rPr>
          <w:lang w:val="cs-CZ"/>
        </w:rPr>
        <w:t>HelpDesku</w:t>
      </w:r>
      <w:proofErr w:type="spellEnd"/>
      <w:r w:rsidRPr="00B20576">
        <w:rPr>
          <w:lang w:val="cs-CZ"/>
        </w:rPr>
        <w:t xml:space="preserve"> překlasifikován dle zásad uvedených výše (viz kapitola </w:t>
      </w:r>
      <w:r w:rsidRPr="00B20576">
        <w:rPr>
          <w:lang w:val="cs-CZ"/>
        </w:rPr>
        <w:fldChar w:fldCharType="begin"/>
      </w:r>
      <w:r w:rsidRPr="00B20576">
        <w:rPr>
          <w:lang w:val="cs-CZ"/>
        </w:rPr>
        <w:instrText xml:space="preserve"> REF _Ref366057982 \r \h </w:instrText>
      </w:r>
      <w:r w:rsidRPr="00B20576">
        <w:rPr>
          <w:lang w:val="cs-CZ"/>
        </w:rPr>
      </w:r>
      <w:r w:rsidRPr="00B20576">
        <w:rPr>
          <w:lang w:val="cs-CZ"/>
        </w:rPr>
        <w:fldChar w:fldCharType="separate"/>
      </w:r>
      <w:r w:rsidR="00041400">
        <w:rPr>
          <w:lang w:val="cs-CZ"/>
        </w:rPr>
        <w:t>III</w:t>
      </w:r>
      <w:r w:rsidRPr="00B20576">
        <w:rPr>
          <w:lang w:val="cs-CZ"/>
        </w:rPr>
        <w:fldChar w:fldCharType="end"/>
      </w:r>
      <w:r w:rsidR="006B51C7" w:rsidRPr="00B20576">
        <w:rPr>
          <w:lang w:val="cs-CZ"/>
        </w:rPr>
        <w:t>. této přílohy</w:t>
      </w:r>
      <w:r w:rsidRPr="00B20576">
        <w:rPr>
          <w:lang w:val="cs-CZ"/>
        </w:rPr>
        <w:t>).</w:t>
      </w:r>
    </w:p>
    <w:p w:rsidR="00E91396" w:rsidRPr="00B20576" w:rsidRDefault="00E91396" w:rsidP="00B51E6C">
      <w:pPr>
        <w:pStyle w:val="lneksmlouvy"/>
        <w:numPr>
          <w:ilvl w:val="1"/>
          <w:numId w:val="16"/>
        </w:numPr>
      </w:pPr>
      <w:bookmarkStart w:id="29" w:name="_Ref158118043"/>
      <w:r w:rsidRPr="00B20576">
        <w:lastRenderedPageBreak/>
        <w:t xml:space="preserve">Přístup na </w:t>
      </w:r>
      <w:proofErr w:type="spellStart"/>
      <w:r w:rsidRPr="00B20576">
        <w:t>HelpDesk</w:t>
      </w:r>
      <w:bookmarkEnd w:id="27"/>
      <w:bookmarkEnd w:id="29"/>
      <w:proofErr w:type="spellEnd"/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lang w:val="cs-CZ"/>
        </w:rPr>
        <w:t xml:space="preserve">Poskytovatel se zavazuje umožnit vybraným zaměstnancům Uživatele přístup do aplikace </w:t>
      </w:r>
      <w:proofErr w:type="spellStart"/>
      <w:r w:rsidRPr="00B20576">
        <w:rPr>
          <w:lang w:val="cs-CZ"/>
        </w:rPr>
        <w:t>HelpDesk</w:t>
      </w:r>
      <w:proofErr w:type="spellEnd"/>
      <w:r w:rsidRPr="00B20576">
        <w:rPr>
          <w:lang w:val="cs-CZ"/>
        </w:rPr>
        <w:t xml:space="preserve"> s dostupností 24x7</w:t>
      </w:r>
      <w:r w:rsidR="00F31E15">
        <w:rPr>
          <w:lang w:val="cs-CZ"/>
        </w:rPr>
        <w:t xml:space="preserve"> (zahrnuto v ceně Smlouvy)</w:t>
      </w:r>
      <w:r w:rsidRPr="00B20576">
        <w:rPr>
          <w:lang w:val="cs-CZ"/>
        </w:rPr>
        <w:t>. Uživatel získává následující přidanou hodnotu: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 xml:space="preserve">detailní Klasifikace </w:t>
      </w:r>
      <w:r w:rsidR="006B51C7" w:rsidRPr="00B20576">
        <w:t xml:space="preserve">Incidentu </w:t>
      </w:r>
      <w:r w:rsidRPr="00B20576">
        <w:t>při založení významně urychluje jeho řešení (typ, priorita),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>kompletní historie Incidentu včetně kontroly Reakční doby a Doby odstranění Chyby,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>možnost sledování průběhu řešení (stav, termín, zbývá odpracovat),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>komfortní komentování Incidentů, přikládání souborů,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 xml:space="preserve">možnost komentování přes běžného poštovního klienta (funkce </w:t>
      </w:r>
      <w:proofErr w:type="spellStart"/>
      <w:r w:rsidRPr="00B20576">
        <w:t>reply</w:t>
      </w:r>
      <w:proofErr w:type="spellEnd"/>
      <w:r w:rsidRPr="00B20576">
        <w:t>),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>automatické notifikace při všech akcích s </w:t>
      </w:r>
      <w:r w:rsidR="006B51C7" w:rsidRPr="00B20576">
        <w:t>I</w:t>
      </w:r>
      <w:r w:rsidRPr="00B20576">
        <w:t>ncidentem,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>online dokumentace k </w:t>
      </w:r>
      <w:proofErr w:type="spellStart"/>
      <w:r w:rsidRPr="00B20576">
        <w:t>HelpDesku</w:t>
      </w:r>
      <w:proofErr w:type="spellEnd"/>
      <w:r w:rsidRPr="00B20576">
        <w:t>,</w:t>
      </w:r>
    </w:p>
    <w:p w:rsidR="00265D89" w:rsidRDefault="00265D89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>
        <w:rPr>
          <w:lang w:val="cs-CZ"/>
        </w:rPr>
        <w:t xml:space="preserve">Přístup bude zřízen na základě žádosti Uživatele zaslané Poskytovateli do tří </w:t>
      </w:r>
      <w:r w:rsidR="004832FB">
        <w:rPr>
          <w:lang w:val="cs-CZ"/>
        </w:rPr>
        <w:t>dnů od přijetí žádosti.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lang w:val="cs-CZ"/>
        </w:rPr>
        <w:t xml:space="preserve">Postup zadání Incidentu je definován v Příručce pro uživatele </w:t>
      </w:r>
      <w:proofErr w:type="spellStart"/>
      <w:r w:rsidRPr="00B20576">
        <w:rPr>
          <w:lang w:val="cs-CZ"/>
        </w:rPr>
        <w:t>HelpDesku</w:t>
      </w:r>
      <w:proofErr w:type="spellEnd"/>
      <w:r w:rsidRPr="00B20576">
        <w:rPr>
          <w:lang w:val="cs-CZ"/>
        </w:rPr>
        <w:t xml:space="preserve">, která je viditelně umístěna po přihlášení do </w:t>
      </w:r>
      <w:proofErr w:type="spellStart"/>
      <w:r w:rsidRPr="00B20576">
        <w:rPr>
          <w:lang w:val="cs-CZ"/>
        </w:rPr>
        <w:t>HelpDesku</w:t>
      </w:r>
      <w:proofErr w:type="spellEnd"/>
      <w:r w:rsidRPr="00B20576">
        <w:rPr>
          <w:lang w:val="cs-CZ"/>
        </w:rPr>
        <w:t>.</w:t>
      </w:r>
    </w:p>
    <w:p w:rsidR="00E91396" w:rsidRPr="00B20576" w:rsidRDefault="00E91396" w:rsidP="00B51E6C">
      <w:pPr>
        <w:pStyle w:val="lneksmlouvy"/>
        <w:numPr>
          <w:ilvl w:val="1"/>
          <w:numId w:val="16"/>
        </w:numPr>
      </w:pPr>
      <w:bookmarkStart w:id="30" w:name="_Ref158118049"/>
      <w:r w:rsidRPr="00B20576">
        <w:t>Přístup do Databáze znalostí</w:t>
      </w:r>
      <w:bookmarkEnd w:id="30"/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rFonts w:cs="Arial"/>
          <w:lang w:val="cs-CZ"/>
        </w:rPr>
      </w:pPr>
      <w:r w:rsidRPr="00B20576">
        <w:rPr>
          <w:lang w:val="cs-CZ"/>
        </w:rPr>
        <w:t>Poskytovatel se zavazuje umožnit zaměstnancům Uživatele přístup do své Databáze znalostí s dostupností 24x7</w:t>
      </w:r>
      <w:r w:rsidR="00F31E15">
        <w:rPr>
          <w:lang w:val="cs-CZ"/>
        </w:rPr>
        <w:t xml:space="preserve"> (zahrnuto v ceně Smlouvy)</w:t>
      </w:r>
      <w:r w:rsidRPr="00B20576">
        <w:rPr>
          <w:lang w:val="cs-CZ"/>
        </w:rPr>
        <w:t xml:space="preserve">. Uživatel získává </w:t>
      </w:r>
      <w:r w:rsidRPr="00B20576">
        <w:rPr>
          <w:rFonts w:cs="Arial"/>
          <w:lang w:val="cs-CZ"/>
        </w:rPr>
        <w:t>následující přidanou hodnotu: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>Databáze znalostí je dostupná neomezeně pro všechny pracovníky Uživatele,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>Databáze znalostí je přímo propojena s </w:t>
      </w:r>
      <w:proofErr w:type="spellStart"/>
      <w:r w:rsidRPr="00B20576">
        <w:t>HelpDeskem</w:t>
      </w:r>
      <w:proofErr w:type="spellEnd"/>
      <w:r w:rsidR="006B51C7" w:rsidRPr="00B20576">
        <w:t>;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 xml:space="preserve">Dokumentace Produktu je online s možností exportu do běžných formátů (doc, </w:t>
      </w:r>
      <w:proofErr w:type="spellStart"/>
      <w:r w:rsidRPr="00B20576">
        <w:t>pdf</w:t>
      </w:r>
      <w:proofErr w:type="spellEnd"/>
      <w:r w:rsidR="006B51C7" w:rsidRPr="00B20576">
        <w:t>);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>možnost komentování článků s využitím vláknové technologie – spojení výhod diskuzního fóra a publikačního systému</w:t>
      </w:r>
      <w:r w:rsidR="006B51C7" w:rsidRPr="00B20576">
        <w:t>;</w:t>
      </w:r>
    </w:p>
    <w:p w:rsidR="00E9139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>historie verzí.</w:t>
      </w:r>
    </w:p>
    <w:p w:rsidR="004832FB" w:rsidRPr="00B20576" w:rsidRDefault="004832FB" w:rsidP="004832FB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</w:pPr>
      <w:r>
        <w:rPr>
          <w:lang w:val="cs-CZ"/>
        </w:rPr>
        <w:t>Přístup bude zřízen na základě žádosti Uživate</w:t>
      </w:r>
      <w:r w:rsidR="006B65E9">
        <w:rPr>
          <w:lang w:val="cs-CZ"/>
        </w:rPr>
        <w:t>le</w:t>
      </w:r>
      <w:r>
        <w:rPr>
          <w:lang w:val="cs-CZ"/>
        </w:rPr>
        <w:t xml:space="preserve"> zaslané Poskytovateli do tří dnů od přijetí žádosti.</w:t>
      </w:r>
    </w:p>
    <w:p w:rsidR="00E91396" w:rsidRPr="00B20576" w:rsidRDefault="00E91396" w:rsidP="00B51E6C">
      <w:pPr>
        <w:pStyle w:val="lneksmlouvy"/>
        <w:numPr>
          <w:ilvl w:val="1"/>
          <w:numId w:val="16"/>
        </w:numPr>
      </w:pPr>
      <w:bookmarkStart w:id="31" w:name="_Ref457730859"/>
      <w:bookmarkStart w:id="32" w:name="_Ref53280594"/>
      <w:bookmarkEnd w:id="28"/>
      <w:r w:rsidRPr="00B20576">
        <w:t>Školení uživatelů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r w:rsidRPr="00B20576">
        <w:rPr>
          <w:lang w:val="cs-CZ"/>
        </w:rPr>
        <w:t>Školení</w:t>
      </w:r>
      <w:bookmarkEnd w:id="31"/>
      <w:bookmarkEnd w:id="32"/>
      <w:r w:rsidRPr="00B20576">
        <w:rPr>
          <w:lang w:val="cs-CZ"/>
        </w:rPr>
        <w:t xml:space="preserve"> zaměstnanců Uživatele na místě: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bookmarkStart w:id="33" w:name="_Ref457730866"/>
      <w:r w:rsidRPr="00B20576">
        <w:t>Školení zaměstnanců Uživatele je výuka základních principů a vlastností Produktu. Výuka probíhá hromadně (jsou školeni více než 3 zaměstnanci Uživatele současně</w:t>
      </w:r>
      <w:r w:rsidR="006B51C7" w:rsidRPr="00B20576">
        <w:t>);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>Školení je uskutečněno na základě požadavku Uživatele vzneseného písemně nejméně tři týdny před zahájením školení. Uživatel zajistí školící prostory, výpočetní techniku a školence</w:t>
      </w:r>
      <w:r w:rsidR="006B51C7" w:rsidRPr="00B20576">
        <w:t xml:space="preserve">; </w:t>
      </w:r>
    </w:p>
    <w:p w:rsidR="00E91396" w:rsidRPr="00B20576" w:rsidRDefault="006B51C7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>š</w:t>
      </w:r>
      <w:r w:rsidR="00E91396" w:rsidRPr="00B20576">
        <w:t>kolící den se skládá z 6 vyučovacích hodin (tzn. 6 x 45 min), přípravy lektora na školení a cesty na místo konání školení</w:t>
      </w:r>
      <w:r w:rsidRPr="00B20576">
        <w:t xml:space="preserve">; </w:t>
      </w:r>
    </w:p>
    <w:p w:rsidR="00E91396" w:rsidRPr="00B20576" w:rsidRDefault="006B51C7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>c</w:t>
      </w:r>
      <w:r w:rsidR="00E91396" w:rsidRPr="00B20576">
        <w:t>ena školícího dne je stanovena Ceníkem (na vyžádání u Poskytovatele). Školení si Uživatel může sjednat a předplatit již ve Smlouvě.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lang w:val="cs-CZ"/>
        </w:rPr>
      </w:pPr>
      <w:bookmarkStart w:id="34" w:name="_Ref163642403"/>
      <w:r w:rsidRPr="00B20576">
        <w:rPr>
          <w:lang w:val="cs-CZ"/>
        </w:rPr>
        <w:t>Výjezdní školení správců VERSO</w:t>
      </w:r>
      <w:bookmarkEnd w:id="34"/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>Poskytovatel pořádá 1x ročně třídenní školení pro správce Uživatele, které se uskuteční na místě a v termínu předem stanoveném</w:t>
      </w:r>
      <w:r w:rsidR="002C7323" w:rsidRPr="00B20576">
        <w:t xml:space="preserve"> Poskytovatelem</w:t>
      </w:r>
      <w:r w:rsidRPr="00B20576">
        <w:t>. Toto školení je organizováno pro zástupce všech zákazníků využívajících systém VERSO</w:t>
      </w:r>
      <w:bookmarkStart w:id="35" w:name="_Ref163642415"/>
      <w:r w:rsidR="006B51C7" w:rsidRPr="00B20576">
        <w:t>;</w:t>
      </w:r>
    </w:p>
    <w:p w:rsidR="00E91396" w:rsidRPr="00B20576" w:rsidRDefault="006B51C7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>t</w:t>
      </w:r>
      <w:r w:rsidR="00E91396" w:rsidRPr="00B20576">
        <w:t>řídenní školení pro správce si Uživatel může sjednat a předplatit ve Smlouvě. Cena školení je dána Ceníkem (na vyžádání u Poskytovatele).</w:t>
      </w:r>
    </w:p>
    <w:p w:rsidR="00E91396" w:rsidRPr="00B20576" w:rsidRDefault="00E91396" w:rsidP="00B51E6C">
      <w:pPr>
        <w:pStyle w:val="lneksmlouvy"/>
        <w:numPr>
          <w:ilvl w:val="1"/>
          <w:numId w:val="16"/>
        </w:numPr>
      </w:pPr>
      <w:r w:rsidRPr="00B20576">
        <w:lastRenderedPageBreak/>
        <w:t>Doplňkové služby pro klienty OBD</w:t>
      </w:r>
    </w:p>
    <w:p w:rsidR="00E91396" w:rsidRPr="00B20576" w:rsidRDefault="00E91396" w:rsidP="00B51E6C">
      <w:pPr>
        <w:pStyle w:val="Odstavecsmlouvy"/>
        <w:numPr>
          <w:ilvl w:val="2"/>
          <w:numId w:val="16"/>
        </w:numPr>
        <w:tabs>
          <w:tab w:val="clear" w:pos="851"/>
          <w:tab w:val="num" w:pos="-1843"/>
        </w:tabs>
        <w:rPr>
          <w:rFonts w:cs="Tahoma"/>
          <w:lang w:val="cs-CZ"/>
        </w:rPr>
      </w:pPr>
      <w:r w:rsidRPr="00B20576">
        <w:rPr>
          <w:rFonts w:cs="Tahoma"/>
          <w:lang w:val="cs-CZ"/>
        </w:rPr>
        <w:t>Níže uvedené služby si může Uživatel sjednat ve Smlouvě, cena jednotlivých služeb je dána Ceníkem (na vyžádání u Poskytovatele):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 xml:space="preserve">Výjezdní </w:t>
      </w:r>
      <w:r w:rsidR="00B35A3E" w:rsidRPr="00B20576">
        <w:t xml:space="preserve">školení </w:t>
      </w:r>
      <w:r w:rsidRPr="00B20576">
        <w:t>správců OBD</w:t>
      </w:r>
      <w:bookmarkEnd w:id="35"/>
      <w:r w:rsidRPr="00B20576">
        <w:t>: Poskytovatel pořádá 1x ročně třídenní setkání pro správce Uživatele, které se uskuteční na místě a v termínu předem stanoveném. Mj. je diskutována problematika vykazování do RIV.</w:t>
      </w:r>
      <w:bookmarkEnd w:id="33"/>
      <w:r w:rsidRPr="00B20576">
        <w:t xml:space="preserve"> 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 xml:space="preserve">Číselníky </w:t>
      </w:r>
      <w:r w:rsidRPr="00B20576">
        <w:rPr>
          <w:rFonts w:cs="Tahoma"/>
        </w:rPr>
        <w:t>RIV</w:t>
      </w:r>
      <w:r w:rsidRPr="00B20576">
        <w:t>: Správa centrálních číselníků RIV vč. aktualizace.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 xml:space="preserve">Správa </w:t>
      </w:r>
      <w:r w:rsidRPr="00B20576">
        <w:rPr>
          <w:rFonts w:cs="Tahoma"/>
        </w:rPr>
        <w:t>číselníků</w:t>
      </w:r>
      <w:r w:rsidRPr="00B20576">
        <w:t xml:space="preserve"> forem RIV, správa literárních forem: Správa a kontrola literárních forem odevzdávaných do RIV.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 xml:space="preserve">Správa a načítání impakt faktorů: Lze dodat pouze v případě, že klient má přístup do Web </w:t>
      </w:r>
      <w:proofErr w:type="spellStart"/>
      <w:r w:rsidRPr="00B20576">
        <w:t>of</w:t>
      </w:r>
      <w:proofErr w:type="spellEnd"/>
      <w:r w:rsidRPr="00B20576">
        <w:t xml:space="preserve"> Science, z důvodů dodržení licenčních podmínek.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 xml:space="preserve">Poradenství k metodice RIV: </w:t>
      </w:r>
      <w:r w:rsidR="004E07D2" w:rsidRPr="00B20576">
        <w:t>Deset</w:t>
      </w:r>
      <w:r w:rsidRPr="00B20576">
        <w:t xml:space="preserve"> konzultačních hodin poskytnutých správci OBD na straně Uživatele k metodice RIV elektronickou nebo telefonickou formou ve vztahu k smluvní Dostupnosti.</w:t>
      </w:r>
    </w:p>
    <w:p w:rsidR="00E91396" w:rsidRPr="00B20576" w:rsidRDefault="00E91396" w:rsidP="00B51E6C">
      <w:pPr>
        <w:pStyle w:val="Odrazkysmlouva"/>
        <w:numPr>
          <w:ilvl w:val="3"/>
          <w:numId w:val="16"/>
        </w:numPr>
        <w:ind w:left="1418" w:hanging="851"/>
      </w:pPr>
      <w:r w:rsidRPr="00B20576">
        <w:t>Podpora při komunikaci s RVVI: Podpora při řešení rozporů a vyřazených výsledků z hodnocení RVVI.</w:t>
      </w:r>
    </w:p>
    <w:p w:rsidR="009D2AE9" w:rsidRPr="00B20576" w:rsidRDefault="009D2AE9" w:rsidP="00E91396">
      <w:pPr>
        <w:pStyle w:val="Zkladntext"/>
        <w:sectPr w:rsidR="009D2AE9" w:rsidRPr="00B20576" w:rsidSect="0031116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843" w:right="1417" w:bottom="1560" w:left="1417" w:header="708" w:footer="708" w:gutter="0"/>
          <w:cols w:space="708"/>
          <w:docGrid w:linePitch="360"/>
        </w:sectPr>
      </w:pPr>
    </w:p>
    <w:p w:rsidR="00E91396" w:rsidRDefault="009D2AE9" w:rsidP="00E018A4">
      <w:pPr>
        <w:pStyle w:val="Nadpissmlouvy"/>
      </w:pPr>
      <w:r w:rsidRPr="00B20576">
        <w:rPr>
          <w:color w:val="8A003E"/>
        </w:rPr>
        <w:lastRenderedPageBreak/>
        <w:t>Příloha č. 2 Servisní smlouvy</w:t>
      </w:r>
      <w:r w:rsidRPr="00B20576">
        <w:t>: Kalkulace ceny</w:t>
      </w:r>
    </w:p>
    <w:tbl>
      <w:tblPr>
        <w:tblW w:w="241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7"/>
        <w:gridCol w:w="145"/>
      </w:tblGrid>
      <w:tr w:rsidR="007C4ECB" w:rsidTr="007C4ECB">
        <w:trPr>
          <w:trHeight w:val="2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2"/>
              <w:gridCol w:w="3882"/>
              <w:gridCol w:w="1690"/>
              <w:gridCol w:w="552"/>
              <w:gridCol w:w="1352"/>
              <w:gridCol w:w="779"/>
            </w:tblGrid>
            <w:tr w:rsidR="007C4ECB" w:rsidRPr="007C4ECB" w:rsidTr="007C4ECB">
              <w:trPr>
                <w:trHeight w:val="255"/>
              </w:trPr>
              <w:tc>
                <w:tcPr>
                  <w:tcW w:w="4820" w:type="dxa"/>
                  <w:gridSpan w:val="2"/>
                  <w:tcBorders>
                    <w:top w:val="single" w:sz="8" w:space="0" w:color="CA005D"/>
                    <w:left w:val="single" w:sz="8" w:space="0" w:color="CA005D"/>
                    <w:bottom w:val="single" w:sz="4" w:space="0" w:color="CA005D"/>
                    <w:right w:val="single" w:sz="4" w:space="0" w:color="CA005D"/>
                  </w:tcBorders>
                  <w:shd w:val="clear" w:color="000000" w:fill="CA005D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</w:rPr>
                    <w:t>Základní služby VERSO</w:t>
                  </w:r>
                </w:p>
              </w:tc>
              <w:tc>
                <w:tcPr>
                  <w:tcW w:w="1880" w:type="dxa"/>
                  <w:tcBorders>
                    <w:top w:val="single" w:sz="8" w:space="0" w:color="CA005D"/>
                    <w:left w:val="nil"/>
                    <w:bottom w:val="single" w:sz="4" w:space="0" w:color="CA005D"/>
                    <w:right w:val="single" w:sz="8" w:space="0" w:color="CA005D"/>
                  </w:tcBorders>
                  <w:shd w:val="clear" w:color="000000" w:fill="CA005D"/>
                  <w:vAlign w:val="bottom"/>
                  <w:hideMark/>
                </w:tcPr>
                <w:p w:rsidR="007C4ECB" w:rsidRPr="007C4ECB" w:rsidRDefault="007C4ECB" w:rsidP="007C4ECB">
                  <w:pPr>
                    <w:jc w:val="center"/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C4ECB" w:rsidRPr="007C4ECB" w:rsidRDefault="007C4ECB" w:rsidP="007C4ECB">
                  <w:pPr>
                    <w:jc w:val="center"/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C4ECB" w:rsidRPr="007C4ECB" w:rsidRDefault="007C4ECB" w:rsidP="007C4EC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4ECB" w:rsidRPr="007C4ECB" w:rsidTr="007C4ECB">
              <w:trPr>
                <w:trHeight w:val="360"/>
              </w:trPr>
              <w:tc>
                <w:tcPr>
                  <w:tcW w:w="480" w:type="dxa"/>
                  <w:tcBorders>
                    <w:top w:val="nil"/>
                    <w:left w:val="single" w:sz="8" w:space="0" w:color="CA005D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C4ECB">
                    <w:rPr>
                      <w:rFonts w:cs="Times New Roman"/>
                      <w:sz w:val="20"/>
                      <w:szCs w:val="20"/>
                    </w:rPr>
                    <w:t>eObchod</w:t>
                  </w:r>
                  <w:proofErr w:type="spellEnd"/>
                  <w:r w:rsidRPr="007C4ECB">
                    <w:rPr>
                      <w:rFonts w:cs="Times New Roman"/>
                      <w:sz w:val="20"/>
                      <w:szCs w:val="20"/>
                    </w:rPr>
                    <w:t xml:space="preserve"> a Koncentrátor plateb - LS - 001/13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CA005D"/>
                    <w:right w:val="single" w:sz="8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               </w:t>
                  </w:r>
                  <w:r w:rsidRPr="007C4ECB">
                    <w:rPr>
                      <w:rFonts w:cs="Times New Roman"/>
                      <w:sz w:val="20"/>
                      <w:szCs w:val="20"/>
                    </w:rPr>
                    <w:t xml:space="preserve">189 000 Kč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4ECB" w:rsidRPr="007C4ECB" w:rsidTr="007C4ECB">
              <w:trPr>
                <w:trHeight w:val="330"/>
              </w:trPr>
              <w:tc>
                <w:tcPr>
                  <w:tcW w:w="480" w:type="dxa"/>
                  <w:tcBorders>
                    <w:top w:val="nil"/>
                    <w:left w:val="single" w:sz="8" w:space="0" w:color="CA005D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 xml:space="preserve">vylepšení: rozhraní pro platby </w:t>
                  </w:r>
                  <w:proofErr w:type="spellStart"/>
                  <w:r w:rsidRPr="007C4ECB">
                    <w:rPr>
                      <w:rFonts w:cs="Times New Roman"/>
                      <w:sz w:val="20"/>
                      <w:szCs w:val="20"/>
                    </w:rPr>
                    <w:t>ban</w:t>
                  </w:r>
                  <w:proofErr w:type="spellEnd"/>
                  <w:r w:rsidRPr="007C4ECB">
                    <w:rPr>
                      <w:rFonts w:cs="Times New Roman"/>
                      <w:sz w:val="20"/>
                      <w:szCs w:val="20"/>
                    </w:rPr>
                    <w:t>. Kartou 13VF257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CA005D"/>
                    <w:right w:val="single" w:sz="8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 xml:space="preserve">50 000 Kč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4ECB" w:rsidRPr="007C4ECB" w:rsidTr="007C4ECB">
              <w:trPr>
                <w:trHeight w:val="255"/>
              </w:trPr>
              <w:tc>
                <w:tcPr>
                  <w:tcW w:w="480" w:type="dxa"/>
                  <w:tcBorders>
                    <w:top w:val="nil"/>
                    <w:left w:val="single" w:sz="8" w:space="0" w:color="CA005D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LEG, CIS, MOSL - LS - 006/13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CA005D"/>
                    <w:right w:val="single" w:sz="8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               </w:t>
                  </w:r>
                  <w:r w:rsidRPr="007C4ECB">
                    <w:rPr>
                      <w:rFonts w:cs="Times New Roman"/>
                      <w:sz w:val="20"/>
                      <w:szCs w:val="20"/>
                    </w:rPr>
                    <w:t xml:space="preserve">145 000 Kč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4ECB" w:rsidRPr="007C4ECB" w:rsidTr="007C4ECB">
              <w:trPr>
                <w:trHeight w:val="255"/>
              </w:trPr>
              <w:tc>
                <w:tcPr>
                  <w:tcW w:w="480" w:type="dxa"/>
                  <w:tcBorders>
                    <w:top w:val="nil"/>
                    <w:left w:val="single" w:sz="8" w:space="0" w:color="CA005D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Procento paušálu za základní služby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CA005D"/>
                    <w:right w:val="single" w:sz="8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19%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4ECB" w:rsidRPr="007C4ECB" w:rsidTr="007C4ECB">
              <w:trPr>
                <w:trHeight w:val="270"/>
              </w:trPr>
              <w:tc>
                <w:tcPr>
                  <w:tcW w:w="480" w:type="dxa"/>
                  <w:tcBorders>
                    <w:top w:val="nil"/>
                    <w:left w:val="single" w:sz="8" w:space="0" w:color="CA005D"/>
                    <w:bottom w:val="single" w:sz="8" w:space="0" w:color="CA005D"/>
                    <w:right w:val="single" w:sz="4" w:space="0" w:color="CA005D"/>
                  </w:tcBorders>
                  <w:shd w:val="clear" w:color="000000" w:fill="FFE5F2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8" w:space="0" w:color="CA005D"/>
                    <w:right w:val="single" w:sz="4" w:space="0" w:color="CA005D"/>
                  </w:tcBorders>
                  <w:shd w:val="clear" w:color="000000" w:fill="FFE5F2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Cena základních služeb ("roční paušál")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CA005D"/>
                    <w:right w:val="single" w:sz="8" w:space="0" w:color="CA005D"/>
                  </w:tcBorders>
                  <w:shd w:val="clear" w:color="000000" w:fill="FFE5F2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                </w:t>
                  </w:r>
                  <w:r w:rsidRPr="007C4EC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72 960 Kč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4ECB" w:rsidRPr="007C4ECB" w:rsidTr="007C4ECB">
              <w:trPr>
                <w:trHeight w:val="27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4ECB" w:rsidRPr="007C4ECB" w:rsidTr="007C4ECB">
              <w:trPr>
                <w:trHeight w:val="255"/>
              </w:trPr>
              <w:tc>
                <w:tcPr>
                  <w:tcW w:w="4820" w:type="dxa"/>
                  <w:gridSpan w:val="2"/>
                  <w:tcBorders>
                    <w:top w:val="single" w:sz="8" w:space="0" w:color="CA005D"/>
                    <w:left w:val="single" w:sz="8" w:space="0" w:color="CA005D"/>
                    <w:bottom w:val="single" w:sz="4" w:space="0" w:color="CA005D"/>
                    <w:right w:val="single" w:sz="4" w:space="0" w:color="CA005D"/>
                  </w:tcBorders>
                  <w:shd w:val="clear" w:color="000000" w:fill="CA005D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</w:rPr>
                    <w:t>Doplňkové služby</w:t>
                  </w:r>
                </w:p>
              </w:tc>
              <w:tc>
                <w:tcPr>
                  <w:tcW w:w="1880" w:type="dxa"/>
                  <w:tcBorders>
                    <w:top w:val="single" w:sz="8" w:space="0" w:color="CA005D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000000" w:fill="CA005D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color w:val="FFFFFF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8" w:space="0" w:color="CA005D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000000" w:fill="CA005D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color w:val="FFFFFF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8" w:space="0" w:color="CA005D"/>
                    <w:left w:val="single" w:sz="4" w:space="0" w:color="CA005D"/>
                    <w:bottom w:val="single" w:sz="4" w:space="0" w:color="CA005D"/>
                    <w:right w:val="single" w:sz="4" w:space="0" w:color="CA005D"/>
                  </w:tcBorders>
                  <w:shd w:val="clear" w:color="000000" w:fill="CA005D"/>
                  <w:vAlign w:val="center"/>
                  <w:hideMark/>
                </w:tcPr>
                <w:p w:rsidR="007C4ECB" w:rsidRPr="007C4ECB" w:rsidRDefault="007C4ECB" w:rsidP="007C4ECB">
                  <w:pPr>
                    <w:jc w:val="center"/>
                    <w:rPr>
                      <w:rFonts w:cs="Times New Roman"/>
                      <w:color w:val="FFFFFF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color w:val="FFFFFF"/>
                      <w:sz w:val="20"/>
                      <w:szCs w:val="20"/>
                    </w:rPr>
                    <w:t xml:space="preserve"> jednotková cena za rok 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8" w:space="0" w:color="CA005D"/>
                    <w:left w:val="single" w:sz="4" w:space="0" w:color="CA005D"/>
                    <w:bottom w:val="single" w:sz="4" w:space="0" w:color="CA005D"/>
                    <w:right w:val="single" w:sz="8" w:space="0" w:color="CA005D"/>
                  </w:tcBorders>
                  <w:shd w:val="clear" w:color="000000" w:fill="CA005D"/>
                  <w:vAlign w:val="center"/>
                  <w:hideMark/>
                </w:tcPr>
                <w:p w:rsidR="007C4ECB" w:rsidRPr="007C4ECB" w:rsidRDefault="007C4ECB" w:rsidP="007C4ECB">
                  <w:pPr>
                    <w:jc w:val="center"/>
                    <w:rPr>
                      <w:rFonts w:cs="Times New Roman"/>
                      <w:color w:val="FFFFFF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color w:val="FFFFFF"/>
                      <w:sz w:val="20"/>
                      <w:szCs w:val="20"/>
                    </w:rPr>
                    <w:t>jednotka</w:t>
                  </w:r>
                </w:p>
              </w:tc>
            </w:tr>
            <w:tr w:rsidR="007C4ECB" w:rsidRPr="007C4ECB" w:rsidTr="007C4ECB">
              <w:trPr>
                <w:trHeight w:val="255"/>
              </w:trPr>
              <w:tc>
                <w:tcPr>
                  <w:tcW w:w="480" w:type="dxa"/>
                  <w:tcBorders>
                    <w:top w:val="nil"/>
                    <w:left w:val="single" w:sz="8" w:space="0" w:color="CA005D"/>
                    <w:bottom w:val="single" w:sz="4" w:space="0" w:color="CA005D"/>
                    <w:right w:val="single" w:sz="4" w:space="0" w:color="CA005D"/>
                  </w:tcBorders>
                  <w:shd w:val="clear" w:color="000000" w:fill="CA005D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color w:val="FFFFFF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000000" w:fill="CA005D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color w:val="FFFFFF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color w:val="FFFFFF"/>
                      <w:sz w:val="20"/>
                      <w:szCs w:val="20"/>
                    </w:rPr>
                    <w:t>školení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000000" w:fill="CA005D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color w:val="FFFFFF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000000" w:fill="CA005D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color w:val="FFFFFF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color w:val="FFFFFF"/>
                      <w:sz w:val="20"/>
                      <w:szCs w:val="20"/>
                    </w:rPr>
                    <w:t>počet</w:t>
                  </w:r>
                </w:p>
              </w:tc>
              <w:tc>
                <w:tcPr>
                  <w:tcW w:w="1500" w:type="dxa"/>
                  <w:vMerge/>
                  <w:tcBorders>
                    <w:top w:val="single" w:sz="8" w:space="0" w:color="CA005D"/>
                    <w:left w:val="single" w:sz="4" w:space="0" w:color="CA005D"/>
                    <w:bottom w:val="single" w:sz="4" w:space="0" w:color="CA005D"/>
                    <w:right w:val="single" w:sz="4" w:space="0" w:color="CA005D"/>
                  </w:tcBorders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8" w:space="0" w:color="CA005D"/>
                    <w:left w:val="single" w:sz="4" w:space="0" w:color="CA005D"/>
                    <w:bottom w:val="single" w:sz="4" w:space="0" w:color="CA005D"/>
                    <w:right w:val="single" w:sz="8" w:space="0" w:color="CA005D"/>
                  </w:tcBorders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7C4ECB" w:rsidRPr="007C4ECB" w:rsidTr="007C4ECB">
              <w:trPr>
                <w:trHeight w:val="255"/>
              </w:trPr>
              <w:tc>
                <w:tcPr>
                  <w:tcW w:w="480" w:type="dxa"/>
                  <w:tcBorders>
                    <w:top w:val="nil"/>
                    <w:left w:val="single" w:sz="8" w:space="0" w:color="CA005D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školení uživatelů na místě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                          </w:t>
                  </w:r>
                  <w:proofErr w:type="gramStart"/>
                  <w:r w:rsidRPr="007C4ECB">
                    <w:rPr>
                      <w:rFonts w:cs="Times New Roman"/>
                      <w:sz w:val="20"/>
                      <w:szCs w:val="20"/>
                    </w:rPr>
                    <w:t>-   Kč</w:t>
                  </w:r>
                  <w:proofErr w:type="gramEnd"/>
                  <w:r w:rsidRPr="007C4ECB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000000" w:fill="CCFFCC"/>
                  <w:vAlign w:val="center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         </w:t>
                  </w:r>
                  <w:r w:rsidRPr="007C4ECB">
                    <w:rPr>
                      <w:rFonts w:cs="Times New Roman"/>
                      <w:sz w:val="20"/>
                      <w:szCs w:val="20"/>
                    </w:rPr>
                    <w:t xml:space="preserve">10 000 Kč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CA005D"/>
                    <w:right w:val="single" w:sz="8" w:space="0" w:color="CA005D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den</w:t>
                  </w:r>
                </w:p>
              </w:tc>
            </w:tr>
            <w:tr w:rsidR="007C4ECB" w:rsidRPr="007C4ECB" w:rsidTr="007C4ECB">
              <w:trPr>
                <w:trHeight w:val="255"/>
              </w:trPr>
              <w:tc>
                <w:tcPr>
                  <w:tcW w:w="480" w:type="dxa"/>
                  <w:tcBorders>
                    <w:top w:val="nil"/>
                    <w:left w:val="single" w:sz="8" w:space="0" w:color="CA005D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výjezdní školení VERSO (3 dny)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                          </w:t>
                  </w:r>
                  <w:proofErr w:type="gramStart"/>
                  <w:r w:rsidRPr="007C4ECB">
                    <w:rPr>
                      <w:rFonts w:cs="Times New Roman"/>
                      <w:sz w:val="20"/>
                      <w:szCs w:val="20"/>
                    </w:rPr>
                    <w:t>-   Kč</w:t>
                  </w:r>
                  <w:proofErr w:type="gramEnd"/>
                  <w:r w:rsidRPr="007C4ECB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000000" w:fill="CCFFCC"/>
                  <w:vAlign w:val="center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           </w:t>
                  </w:r>
                  <w:r w:rsidRPr="007C4ECB">
                    <w:rPr>
                      <w:rFonts w:cs="Times New Roman"/>
                      <w:sz w:val="20"/>
                      <w:szCs w:val="20"/>
                    </w:rPr>
                    <w:t xml:space="preserve">9 900 Kč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CA005D"/>
                    <w:right w:val="single" w:sz="8" w:space="0" w:color="CA005D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osoba</w:t>
                  </w:r>
                </w:p>
              </w:tc>
            </w:tr>
            <w:tr w:rsidR="007C4ECB" w:rsidRPr="007C4ECB" w:rsidTr="007C4ECB">
              <w:trPr>
                <w:trHeight w:val="255"/>
              </w:trPr>
              <w:tc>
                <w:tcPr>
                  <w:tcW w:w="480" w:type="dxa"/>
                  <w:tcBorders>
                    <w:top w:val="nil"/>
                    <w:left w:val="single" w:sz="8" w:space="0" w:color="CA005D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výjezdní setkání správců OBD a Konference RIV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                   </w:t>
                  </w:r>
                  <w:r w:rsidRPr="007C4ECB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C4ECB">
                    <w:rPr>
                      <w:rFonts w:cs="Times New Roman"/>
                      <w:sz w:val="20"/>
                      <w:szCs w:val="20"/>
                    </w:rPr>
                    <w:t>-   Kč</w:t>
                  </w:r>
                  <w:proofErr w:type="gramEnd"/>
                  <w:r w:rsidRPr="007C4ECB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000000" w:fill="CCFFCC"/>
                  <w:vAlign w:val="center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 xml:space="preserve">9 000 Kč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CA005D"/>
                    <w:right w:val="single" w:sz="8" w:space="0" w:color="CA005D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osoba</w:t>
                  </w:r>
                </w:p>
              </w:tc>
            </w:tr>
            <w:tr w:rsidR="007C4ECB" w:rsidRPr="007C4ECB" w:rsidTr="007C4ECB">
              <w:trPr>
                <w:trHeight w:val="270"/>
              </w:trPr>
              <w:tc>
                <w:tcPr>
                  <w:tcW w:w="480" w:type="dxa"/>
                  <w:tcBorders>
                    <w:top w:val="nil"/>
                    <w:left w:val="single" w:sz="8" w:space="0" w:color="CA005D"/>
                    <w:bottom w:val="single" w:sz="8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8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Cena doplňkových služeb celkem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CA005D"/>
                    <w:right w:val="single" w:sz="4" w:space="0" w:color="CA005D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                         </w:t>
                  </w:r>
                  <w:proofErr w:type="gramStart"/>
                  <w:r w:rsidRPr="007C4EC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-   Kč</w:t>
                  </w:r>
                  <w:proofErr w:type="gramEnd"/>
                  <w:r w:rsidRPr="007C4EC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CA005D"/>
                    <w:right w:val="single" w:sz="4" w:space="0" w:color="CA005D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CA005D"/>
                    <w:right w:val="single" w:sz="4" w:space="0" w:color="CA005D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CA005D"/>
                    <w:right w:val="single" w:sz="8" w:space="0" w:color="CA005D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C4ECB" w:rsidRPr="007C4ECB" w:rsidTr="007C4ECB">
              <w:trPr>
                <w:trHeight w:val="27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4ECB" w:rsidRPr="007C4ECB" w:rsidTr="007C4ECB">
              <w:trPr>
                <w:trHeight w:val="255"/>
              </w:trPr>
              <w:tc>
                <w:tcPr>
                  <w:tcW w:w="6700" w:type="dxa"/>
                  <w:gridSpan w:val="3"/>
                  <w:tcBorders>
                    <w:top w:val="single" w:sz="8" w:space="0" w:color="CA005D"/>
                    <w:left w:val="single" w:sz="8" w:space="0" w:color="CA005D"/>
                    <w:bottom w:val="single" w:sz="4" w:space="0" w:color="CA005D"/>
                    <w:right w:val="single" w:sz="8" w:space="0" w:color="CA005D"/>
                  </w:tcBorders>
                  <w:shd w:val="clear" w:color="000000" w:fill="CA005D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</w:rPr>
                    <w:t>Kalkulace celkové ceny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4ECB" w:rsidRPr="007C4ECB" w:rsidTr="007C4ECB">
              <w:trPr>
                <w:trHeight w:val="255"/>
              </w:trPr>
              <w:tc>
                <w:tcPr>
                  <w:tcW w:w="4820" w:type="dxa"/>
                  <w:gridSpan w:val="2"/>
                  <w:tcBorders>
                    <w:top w:val="single" w:sz="4" w:space="0" w:color="CA005D"/>
                    <w:left w:val="single" w:sz="8" w:space="0" w:color="CA005D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Servisní smlouva platná                    </w:t>
                  </w: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             </w:t>
                  </w:r>
                  <w:r w:rsidRPr="007C4EC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         od: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CA005D"/>
                    <w:right w:val="single" w:sz="8" w:space="0" w:color="CA005D"/>
                  </w:tcBorders>
                  <w:shd w:val="clear" w:color="000000" w:fill="CCFFCC"/>
                  <w:vAlign w:val="center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C4EC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1.1.2016</w:t>
                  </w:r>
                  <w:proofErr w:type="gramEnd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4ECB" w:rsidRPr="007C4ECB" w:rsidTr="007C4ECB">
              <w:trPr>
                <w:trHeight w:val="255"/>
              </w:trPr>
              <w:tc>
                <w:tcPr>
                  <w:tcW w:w="4820" w:type="dxa"/>
                  <w:gridSpan w:val="2"/>
                  <w:tcBorders>
                    <w:top w:val="single" w:sz="4" w:space="0" w:color="CA005D"/>
                    <w:left w:val="single" w:sz="8" w:space="0" w:color="CA005D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do: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CA005D"/>
                    <w:right w:val="single" w:sz="8" w:space="0" w:color="CA005D"/>
                  </w:tcBorders>
                  <w:shd w:val="clear" w:color="000000" w:fill="CCFFCC"/>
                  <w:vAlign w:val="center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C4EC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31.12.2016</w:t>
                  </w:r>
                  <w:proofErr w:type="gramEnd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4ECB" w:rsidRPr="007C4ECB" w:rsidTr="007C4ECB">
              <w:trPr>
                <w:trHeight w:val="255"/>
              </w:trPr>
              <w:tc>
                <w:tcPr>
                  <w:tcW w:w="4820" w:type="dxa"/>
                  <w:gridSpan w:val="2"/>
                  <w:tcBorders>
                    <w:top w:val="single" w:sz="4" w:space="0" w:color="CA005D"/>
                    <w:left w:val="single" w:sz="8" w:space="0" w:color="CA005D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Cena základních služeb za rok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CA005D"/>
                    <w:right w:val="single" w:sz="8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                </w:t>
                  </w:r>
                  <w:r w:rsidRPr="007C4EC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72 960 Kč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4ECB" w:rsidRPr="007C4ECB" w:rsidTr="007C4ECB">
              <w:trPr>
                <w:trHeight w:val="255"/>
              </w:trPr>
              <w:tc>
                <w:tcPr>
                  <w:tcW w:w="4820" w:type="dxa"/>
                  <w:gridSpan w:val="2"/>
                  <w:tcBorders>
                    <w:top w:val="single" w:sz="4" w:space="0" w:color="CA005D"/>
                    <w:left w:val="single" w:sz="8" w:space="0" w:color="CA005D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Cena doplňkových služeb za období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CA005D"/>
                    <w:right w:val="single" w:sz="8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                         </w:t>
                  </w:r>
                  <w:proofErr w:type="gramStart"/>
                  <w:r w:rsidRPr="007C4EC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-   Kč</w:t>
                  </w:r>
                  <w:proofErr w:type="gramEnd"/>
                  <w:r w:rsidRPr="007C4EC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4ECB" w:rsidRPr="007C4ECB" w:rsidTr="007C4ECB">
              <w:trPr>
                <w:trHeight w:val="255"/>
              </w:trPr>
              <w:tc>
                <w:tcPr>
                  <w:tcW w:w="4820" w:type="dxa"/>
                  <w:gridSpan w:val="2"/>
                  <w:tcBorders>
                    <w:top w:val="single" w:sz="4" w:space="0" w:color="CA005D"/>
                    <w:left w:val="single" w:sz="8" w:space="0" w:color="CA005D"/>
                    <w:bottom w:val="single" w:sz="4" w:space="0" w:color="CA005D"/>
                    <w:right w:val="single" w:sz="4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sz w:val="20"/>
                      <w:szCs w:val="20"/>
                    </w:rPr>
                    <w:t>DPH 21 %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CA005D"/>
                    <w:right w:val="single" w:sz="8" w:space="0" w:color="CA005D"/>
                  </w:tcBorders>
                  <w:shd w:val="clear" w:color="auto" w:fill="auto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15 322 Kč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jc w:val="right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4ECB" w:rsidRPr="007C4ECB" w:rsidTr="007C4ECB">
              <w:trPr>
                <w:trHeight w:val="270"/>
              </w:trPr>
              <w:tc>
                <w:tcPr>
                  <w:tcW w:w="4820" w:type="dxa"/>
                  <w:gridSpan w:val="2"/>
                  <w:tcBorders>
                    <w:top w:val="single" w:sz="4" w:space="0" w:color="CA005D"/>
                    <w:left w:val="single" w:sz="8" w:space="0" w:color="CA005D"/>
                    <w:bottom w:val="single" w:sz="8" w:space="0" w:color="CA005D"/>
                    <w:right w:val="single" w:sz="4" w:space="0" w:color="CA005D"/>
                  </w:tcBorders>
                  <w:shd w:val="clear" w:color="000000" w:fill="CA005D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C4ECB"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</w:rPr>
                    <w:t>Cena servisní smlouvy (včetně DPH)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CA005D"/>
                    <w:right w:val="single" w:sz="8" w:space="0" w:color="CA005D"/>
                  </w:tcBorders>
                  <w:shd w:val="clear" w:color="000000" w:fill="CA005D"/>
                  <w:noWrap/>
                  <w:vAlign w:val="bottom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</w:rPr>
                    <w:t xml:space="preserve">                 </w:t>
                  </w:r>
                  <w:r w:rsidRPr="007C4ECB"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</w:rPr>
                    <w:t xml:space="preserve">88 282 Kč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4ECB" w:rsidRPr="007C4ECB" w:rsidRDefault="007C4ECB" w:rsidP="007C4E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C4ECB" w:rsidRDefault="007C4ECB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B" w:rsidRDefault="007C4ECB">
            <w:pPr>
              <w:rPr>
                <w:sz w:val="20"/>
                <w:szCs w:val="20"/>
              </w:rPr>
            </w:pPr>
          </w:p>
        </w:tc>
      </w:tr>
      <w:tr w:rsidR="007C4ECB" w:rsidTr="007C4ECB">
        <w:trPr>
          <w:trHeight w:val="2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B" w:rsidRDefault="007C4ECB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B" w:rsidRDefault="007C4ECB">
            <w:pPr>
              <w:rPr>
                <w:sz w:val="20"/>
                <w:szCs w:val="20"/>
              </w:rPr>
            </w:pPr>
          </w:p>
        </w:tc>
      </w:tr>
      <w:tr w:rsidR="007C4ECB" w:rsidTr="007C4ECB">
        <w:trPr>
          <w:trHeight w:val="2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B" w:rsidRDefault="007C4E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B" w:rsidRDefault="007C4ECB">
            <w:pPr>
              <w:rPr>
                <w:sz w:val="20"/>
                <w:szCs w:val="20"/>
              </w:rPr>
            </w:pPr>
          </w:p>
        </w:tc>
      </w:tr>
      <w:tr w:rsidR="007C4ECB" w:rsidTr="007C4ECB">
        <w:trPr>
          <w:trHeight w:val="2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B" w:rsidRDefault="007C4E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B" w:rsidRDefault="007C4ECB">
            <w:pPr>
              <w:rPr>
                <w:sz w:val="20"/>
                <w:szCs w:val="20"/>
              </w:rPr>
            </w:pPr>
          </w:p>
        </w:tc>
      </w:tr>
      <w:tr w:rsidR="007C4ECB" w:rsidTr="007C4ECB">
        <w:trPr>
          <w:trHeight w:val="2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B" w:rsidRDefault="007C4E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B" w:rsidRDefault="007C4ECB">
            <w:pPr>
              <w:rPr>
                <w:sz w:val="20"/>
                <w:szCs w:val="20"/>
              </w:rPr>
            </w:pPr>
          </w:p>
        </w:tc>
      </w:tr>
      <w:tr w:rsidR="007C4ECB" w:rsidTr="007C4ECB">
        <w:trPr>
          <w:trHeight w:val="2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B" w:rsidRDefault="007C4E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B" w:rsidRDefault="007C4ECB">
            <w:pPr>
              <w:rPr>
                <w:sz w:val="20"/>
                <w:szCs w:val="20"/>
              </w:rPr>
            </w:pPr>
          </w:p>
        </w:tc>
      </w:tr>
      <w:tr w:rsidR="007C4ECB" w:rsidTr="007C4ECB">
        <w:trPr>
          <w:trHeight w:val="2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B" w:rsidRDefault="007C4E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B" w:rsidRDefault="007C4ECB">
            <w:pPr>
              <w:rPr>
                <w:sz w:val="20"/>
                <w:szCs w:val="20"/>
              </w:rPr>
            </w:pPr>
          </w:p>
        </w:tc>
      </w:tr>
      <w:tr w:rsidR="007C4ECB" w:rsidTr="007C4ECB">
        <w:trPr>
          <w:trHeight w:val="2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B" w:rsidRDefault="007C4ECB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B" w:rsidRDefault="007C4ECB">
            <w:pPr>
              <w:rPr>
                <w:sz w:val="20"/>
                <w:szCs w:val="20"/>
              </w:rPr>
            </w:pPr>
          </w:p>
        </w:tc>
      </w:tr>
      <w:tr w:rsidR="007C4ECB" w:rsidTr="007C4ECB">
        <w:trPr>
          <w:trHeight w:val="27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B" w:rsidRDefault="007C4ECB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ECB" w:rsidRDefault="007C4ECB">
            <w:pPr>
              <w:rPr>
                <w:sz w:val="20"/>
                <w:szCs w:val="20"/>
              </w:rPr>
            </w:pPr>
          </w:p>
        </w:tc>
      </w:tr>
    </w:tbl>
    <w:p w:rsidR="00266E81" w:rsidRPr="00B20576" w:rsidRDefault="00266E81" w:rsidP="001045C0">
      <w:pPr>
        <w:tabs>
          <w:tab w:val="left" w:pos="1855"/>
        </w:tabs>
        <w:rPr>
          <w:lang w:eastAsia="en-US"/>
        </w:rPr>
      </w:pPr>
    </w:p>
    <w:sectPr w:rsidR="00266E81" w:rsidRPr="00B20576" w:rsidSect="0031116E">
      <w:headerReference w:type="default" r:id="rId14"/>
      <w:pgSz w:w="11906" w:h="16838"/>
      <w:pgMar w:top="184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A06" w:rsidRDefault="00346A06">
      <w:r>
        <w:separator/>
      </w:r>
    </w:p>
  </w:endnote>
  <w:endnote w:type="continuationSeparator" w:id="0">
    <w:p w:rsidR="00346A06" w:rsidRDefault="0034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A06" w:rsidRDefault="00346A06">
    <w:pPr>
      <w:pStyle w:val="Zpat"/>
      <w:jc w:val="right"/>
    </w:pPr>
  </w:p>
  <w:p w:rsidR="00346A06" w:rsidRPr="00296960" w:rsidRDefault="00346A06">
    <w:pPr>
      <w:pStyle w:val="Zpat"/>
      <w:jc w:val="right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C2A7B">
      <w:rPr>
        <w:b/>
        <w:bCs/>
        <w:noProof/>
      </w:rPr>
      <w:t>5</w:t>
    </w:r>
    <w:r>
      <w:rPr>
        <w:b/>
        <w:bCs/>
      </w:rPr>
      <w:fldChar w:fldCharType="end"/>
    </w:r>
    <w:r>
      <w:t xml:space="preserve">  (celkem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C2A7B">
      <w:rPr>
        <w:b/>
        <w:bCs/>
        <w:noProof/>
      </w:rPr>
      <w:t>13</w:t>
    </w:r>
    <w:r>
      <w:rPr>
        <w:b/>
        <w:bCs/>
      </w:rPr>
      <w:fldChar w:fldCharType="end"/>
    </w:r>
    <w:r w:rsidRPr="00296960">
      <w:t>)</w:t>
    </w:r>
  </w:p>
  <w:p w:rsidR="00346A06" w:rsidRDefault="00346A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A06" w:rsidRPr="00D43AF4" w:rsidRDefault="00346A06">
    <w:pPr>
      <w:pStyle w:val="Zpat"/>
      <w:jc w:val="right"/>
      <w:rPr>
        <w:b/>
      </w:rPr>
    </w:pPr>
    <w:r w:rsidRPr="00D43AF4">
      <w:rPr>
        <w:rStyle w:val="slostrnky"/>
        <w:rFonts w:ascii="Calibri" w:hAnsi="Calibri"/>
        <w:b w:val="0"/>
        <w:sz w:val="16"/>
      </w:rPr>
      <w:t xml:space="preserve">Strana </w:t>
    </w:r>
    <w:r w:rsidRPr="00D43AF4">
      <w:rPr>
        <w:rStyle w:val="slostrnky"/>
        <w:rFonts w:ascii="Calibri" w:hAnsi="Calibri"/>
        <w:b w:val="0"/>
        <w:sz w:val="16"/>
      </w:rPr>
      <w:fldChar w:fldCharType="begin"/>
    </w:r>
    <w:r w:rsidRPr="00D43AF4">
      <w:rPr>
        <w:rStyle w:val="slostrnky"/>
        <w:rFonts w:ascii="Calibri" w:hAnsi="Calibri"/>
        <w:b w:val="0"/>
        <w:sz w:val="16"/>
      </w:rPr>
      <w:instrText xml:space="preserve"> PAGE </w:instrText>
    </w:r>
    <w:r w:rsidRPr="00D43AF4">
      <w:rPr>
        <w:rStyle w:val="slostrnky"/>
        <w:rFonts w:ascii="Calibri" w:hAnsi="Calibri"/>
        <w:b w:val="0"/>
        <w:sz w:val="16"/>
      </w:rPr>
      <w:fldChar w:fldCharType="separate"/>
    </w:r>
    <w:r w:rsidR="00FC2A7B">
      <w:rPr>
        <w:rStyle w:val="slostrnky"/>
        <w:rFonts w:ascii="Calibri" w:hAnsi="Calibri"/>
        <w:b w:val="0"/>
        <w:noProof/>
        <w:sz w:val="16"/>
      </w:rPr>
      <w:t>7</w:t>
    </w:r>
    <w:r w:rsidRPr="00D43AF4">
      <w:rPr>
        <w:rStyle w:val="slostrnky"/>
        <w:rFonts w:ascii="Calibri" w:hAnsi="Calibri"/>
        <w:b w:val="0"/>
        <w:sz w:val="16"/>
      </w:rPr>
      <w:fldChar w:fldCharType="end"/>
    </w:r>
    <w:r w:rsidRPr="00D43AF4">
      <w:rPr>
        <w:rStyle w:val="slostrnky"/>
        <w:rFonts w:ascii="Calibri" w:hAnsi="Calibri"/>
        <w:b w:val="0"/>
        <w:sz w:val="16"/>
      </w:rPr>
      <w:t xml:space="preserve"> (celkem </w:t>
    </w:r>
    <w:r w:rsidRPr="00D43AF4">
      <w:rPr>
        <w:rStyle w:val="slostrnky"/>
        <w:rFonts w:ascii="Calibri" w:hAnsi="Calibri"/>
        <w:b w:val="0"/>
        <w:sz w:val="16"/>
      </w:rPr>
      <w:fldChar w:fldCharType="begin"/>
    </w:r>
    <w:r w:rsidRPr="00D43AF4">
      <w:rPr>
        <w:rStyle w:val="slostrnky"/>
        <w:rFonts w:ascii="Calibri" w:hAnsi="Calibri"/>
        <w:b w:val="0"/>
        <w:sz w:val="16"/>
      </w:rPr>
      <w:instrText xml:space="preserve"> NUMPAGES </w:instrText>
    </w:r>
    <w:r w:rsidRPr="00D43AF4">
      <w:rPr>
        <w:rStyle w:val="slostrnky"/>
        <w:rFonts w:ascii="Calibri" w:hAnsi="Calibri"/>
        <w:b w:val="0"/>
        <w:sz w:val="16"/>
      </w:rPr>
      <w:fldChar w:fldCharType="separate"/>
    </w:r>
    <w:r w:rsidR="00FC2A7B">
      <w:rPr>
        <w:rStyle w:val="slostrnky"/>
        <w:rFonts w:ascii="Calibri" w:hAnsi="Calibri"/>
        <w:b w:val="0"/>
        <w:noProof/>
        <w:sz w:val="16"/>
      </w:rPr>
      <w:t>13</w:t>
    </w:r>
    <w:r w:rsidRPr="00D43AF4">
      <w:rPr>
        <w:rStyle w:val="slostrnky"/>
        <w:rFonts w:ascii="Calibri" w:hAnsi="Calibri"/>
        <w:b w:val="0"/>
        <w:sz w:val="16"/>
      </w:rPr>
      <w:fldChar w:fldCharType="end"/>
    </w:r>
    <w:r w:rsidRPr="00D43AF4">
      <w:rPr>
        <w:rStyle w:val="slostrnky"/>
        <w:rFonts w:ascii="Calibri" w:hAnsi="Calibri"/>
        <w:b w:val="0"/>
        <w:sz w:val="16"/>
      </w:rPr>
      <w:t xml:space="preserve">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A06" w:rsidRDefault="00346A06" w:rsidP="0031116E">
    <w:pPr>
      <w:pStyle w:val="Zkladntext"/>
      <w:tabs>
        <w:tab w:val="right" w:pos="9498"/>
      </w:tabs>
    </w:pP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(celkem </w:t>
    </w:r>
    <w:fldSimple w:instr=" NUMPAGES ">
      <w:r>
        <w:rPr>
          <w:noProof/>
        </w:rPr>
        <w:t>12</w:t>
      </w:r>
    </w:fldSimple>
    <w:bookmarkStart w:id="36" w:name="_Ref429493051"/>
    <w:bookmarkStart w:id="37" w:name="_Ref429492449"/>
    <w:r>
      <w:t>)</w:t>
    </w:r>
    <w:bookmarkEnd w:id="36"/>
    <w:bookmarkEnd w:id="3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A06" w:rsidRDefault="00346A06">
      <w:r>
        <w:separator/>
      </w:r>
    </w:p>
  </w:footnote>
  <w:footnote w:type="continuationSeparator" w:id="0">
    <w:p w:rsidR="00346A06" w:rsidRDefault="0034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A06" w:rsidRDefault="00346A06" w:rsidP="00663891">
    <w:pPr>
      <w:pStyle w:val="Zhlav"/>
    </w:pPr>
  </w:p>
  <w:p w:rsidR="00346A06" w:rsidRDefault="00346A06" w:rsidP="00663891">
    <w:pPr>
      <w:pStyle w:val="Zhlav"/>
    </w:pPr>
    <w:fldSimple w:instr=" STYLEREF  &quot;Nadpis smlouvy&quot;  \* MERGEFORMAT ">
      <w:r w:rsidR="00FC2A7B">
        <w:rPr>
          <w:noProof/>
        </w:rPr>
        <w:t>Servisní smlouva: Aplikační moduly VERSO od 1.1.2016 do 31.12.2016</w:t>
      </w:r>
    </w:fldSimple>
  </w:p>
  <w:p w:rsidR="00346A06" w:rsidRDefault="00346A06" w:rsidP="00DC3CF6">
    <w:pPr>
      <w:pStyle w:val="Zhlav"/>
      <w:tabs>
        <w:tab w:val="clear" w:pos="4536"/>
        <w:tab w:val="clear" w:pos="9072"/>
        <w:tab w:val="left" w:pos="3075"/>
      </w:tabs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4749800</wp:posOffset>
          </wp:positionH>
          <wp:positionV relativeFrom="page">
            <wp:posOffset>104775</wp:posOffset>
          </wp:positionV>
          <wp:extent cx="885825" cy="895350"/>
          <wp:effectExtent l="0" t="0" r="9525" b="0"/>
          <wp:wrapTight wrapText="bothSides">
            <wp:wrapPolygon edited="0">
              <wp:start x="0" y="0"/>
              <wp:lineTo x="0" y="21140"/>
              <wp:lineTo x="21368" y="21140"/>
              <wp:lineTo x="21368" y="0"/>
              <wp:lineTo x="0" y="0"/>
            </wp:wrapPolygon>
          </wp:wrapTight>
          <wp:docPr id="1" name="obrázek 1" descr="ders-styly-vnitrek-LevyHorniRoh-uNadpisu1uro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ers-styly-vnitrek-LevyHorniRoh-uNadpisu1uro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A06" w:rsidRPr="001F3425" w:rsidRDefault="00346A06" w:rsidP="0031116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12EA64F" wp14:editId="45AEE417">
          <wp:simplePos x="0" y="0"/>
          <wp:positionH relativeFrom="column">
            <wp:posOffset>5024755</wp:posOffset>
          </wp:positionH>
          <wp:positionV relativeFrom="paragraph">
            <wp:posOffset>-249555</wp:posOffset>
          </wp:positionV>
          <wp:extent cx="762000" cy="76200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STYLEREF  &quot;Nadpis smlouvy&quot;  \* MERGEFORMAT ">
      <w:r w:rsidR="00FC2A7B">
        <w:rPr>
          <w:noProof/>
        </w:rPr>
        <w:t>Příloha č. 1 Servisní smlouvy: Servisní podmínky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A06" w:rsidRDefault="00346A06" w:rsidP="0031116E">
    <w:pPr>
      <w:pStyle w:val="Zhlav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A06" w:rsidRPr="001F3425" w:rsidRDefault="00346A06" w:rsidP="0031116E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-249555</wp:posOffset>
          </wp:positionV>
          <wp:extent cx="762000" cy="7620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STYLEREF  &quot;Nadpis smlouvy&quot;  \* MERGEFORMAT ">
      <w:r w:rsidR="00FA3976">
        <w:rPr>
          <w:noProof/>
        </w:rPr>
        <w:t>Příloha č. 2 Servisní smlouvy: Kalkulace ceny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3CA3C6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46AD24C"/>
    <w:lvl w:ilvl="0">
      <w:start w:val="1"/>
      <w:numFmt w:val="decimal"/>
      <w:pStyle w:val="Odrazkysmlouv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1ECE300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115D86"/>
    <w:multiLevelType w:val="multilevel"/>
    <w:tmpl w:val="0A48E498"/>
    <w:styleLink w:val="Vcerovovseznamproslovn2"/>
    <w:lvl w:ilvl="0">
      <w:start w:val="1"/>
      <w:numFmt w:val="upperLetter"/>
      <w:pStyle w:val="slovanseznam2"/>
      <w:lvlText w:val="%1)"/>
      <w:lvlJc w:val="left"/>
      <w:pPr>
        <w:ind w:left="397" w:hanging="397"/>
      </w:pPr>
      <w:rPr>
        <w:rFonts w:cs="Times New Roman" w:hint="default"/>
        <w:b w:val="0"/>
        <w:bCs w:val="0"/>
        <w:i w:val="0"/>
        <w:iCs w:val="0"/>
        <w:color w:val="8A003E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1247" w:hanging="510"/>
      </w:pPr>
      <w:rPr>
        <w:rFonts w:cs="Times New Roman" w:hint="default"/>
        <w:color w:val="8A003E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588" w:hanging="284"/>
      </w:pPr>
      <w:rPr>
        <w:rFonts w:cs="Times New Roman" w:hint="default"/>
        <w:color w:val="8A003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10C80BD8"/>
    <w:multiLevelType w:val="hybridMultilevel"/>
    <w:tmpl w:val="77C65222"/>
    <w:lvl w:ilvl="0" w:tplc="58F2D5C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45713DB"/>
    <w:multiLevelType w:val="hybridMultilevel"/>
    <w:tmpl w:val="D17C0C2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8441B5D"/>
    <w:multiLevelType w:val="multilevel"/>
    <w:tmpl w:val="759EAAC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 w:val="0"/>
        <w:bCs w:val="0"/>
        <w:i w:val="0"/>
        <w:iCs w:val="0"/>
        <w:sz w:val="44"/>
        <w:szCs w:val="4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6"/>
        <w:szCs w:val="36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7" w15:restartNumberingAfterBreak="0">
    <w:nsid w:val="1C5055A8"/>
    <w:multiLevelType w:val="multilevel"/>
    <w:tmpl w:val="CF405E5A"/>
    <w:styleLink w:val="slovntrojrovov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1DCE25B2"/>
    <w:multiLevelType w:val="multilevel"/>
    <w:tmpl w:val="D3064294"/>
    <w:lvl w:ilvl="0">
      <w:start w:val="1"/>
      <w:numFmt w:val="none"/>
      <w:pStyle w:val="Zakladnitextnecislovany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  <w:color w:val="80808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bullet"/>
      <w:pStyle w:val="Zakladnitextnecislovany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80808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0772204"/>
    <w:multiLevelType w:val="multilevel"/>
    <w:tmpl w:val="46C20190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35FE0F67"/>
    <w:multiLevelType w:val="multilevel"/>
    <w:tmpl w:val="9DE28C34"/>
    <w:styleLink w:val="slovantrojrovovseznam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361E50A5"/>
    <w:multiLevelType w:val="hybridMultilevel"/>
    <w:tmpl w:val="4DD69658"/>
    <w:lvl w:ilvl="0" w:tplc="09D4685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9EA7E09"/>
    <w:multiLevelType w:val="multilevel"/>
    <w:tmpl w:val="B00EADF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isLgl/>
      <w:lvlText w:val="%2.%3.%4"/>
      <w:lvlJc w:val="left"/>
      <w:pPr>
        <w:tabs>
          <w:tab w:val="num" w:pos="852"/>
        </w:tabs>
        <w:ind w:left="852" w:hanging="284"/>
      </w:pPr>
      <w:rPr>
        <w:rFonts w:ascii="Calibri" w:hAnsi="Calibri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47FB275B"/>
    <w:multiLevelType w:val="multilevel"/>
    <w:tmpl w:val="9A5E80FA"/>
    <w:lvl w:ilvl="0">
      <w:start w:val="1"/>
      <w:numFmt w:val="none"/>
      <w:pStyle w:val="Postupnadpis"/>
      <w:lvlText w:val="Postup:"/>
      <w:lvlJc w:val="left"/>
      <w:pPr>
        <w:tabs>
          <w:tab w:val="num" w:pos="144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F844687"/>
    <w:multiLevelType w:val="hybridMultilevel"/>
    <w:tmpl w:val="672C6D88"/>
    <w:lvl w:ilvl="0" w:tplc="7E54C2FE">
      <w:start w:val="1"/>
      <w:numFmt w:val="bullet"/>
      <w:pStyle w:val="Odrky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b/>
        <w:i w:val="0"/>
        <w:color w:val="CA005D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716ECF"/>
    <w:multiLevelType w:val="hybridMultilevel"/>
    <w:tmpl w:val="874E38FA"/>
    <w:lvl w:ilvl="0" w:tplc="58F2D5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0710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89628DB"/>
    <w:multiLevelType w:val="multilevel"/>
    <w:tmpl w:val="B516ADBC"/>
    <w:lvl w:ilvl="0">
      <w:start w:val="1"/>
      <w:numFmt w:val="decimal"/>
      <w:pStyle w:val="slovanseznam"/>
      <w:lvlText w:val="%1."/>
      <w:lvlJc w:val="left"/>
      <w:pPr>
        <w:ind w:left="397" w:hanging="397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1191" w:hanging="114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5D42037A"/>
    <w:multiLevelType w:val="hybridMultilevel"/>
    <w:tmpl w:val="21B4821A"/>
    <w:lvl w:ilvl="0" w:tplc="3A181A14">
      <w:start w:val="1"/>
      <w:numFmt w:val="decimal"/>
      <w:pStyle w:val="Zakladnitextcislovany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AC009D"/>
    <w:multiLevelType w:val="hybridMultilevel"/>
    <w:tmpl w:val="08D061B0"/>
    <w:lvl w:ilvl="0" w:tplc="C8EEDBD0">
      <w:start w:val="1"/>
      <w:numFmt w:val="none"/>
      <w:pStyle w:val="Legenda"/>
      <w:lvlText w:val="Legenda: 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/>
        <w:i w:val="0"/>
        <w:iCs w:val="0"/>
      </w:rPr>
    </w:lvl>
    <w:lvl w:ilvl="1" w:tplc="789ED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E681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884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679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2423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6AD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5A2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80F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1D332C"/>
    <w:multiLevelType w:val="multilevel"/>
    <w:tmpl w:val="A85A164E"/>
    <w:styleLink w:val="WWNum8"/>
    <w:lvl w:ilvl="0">
      <w:start w:val="11"/>
      <w:numFmt w:val="decimal"/>
      <w:lvlText w:val="Článek 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lowerLetter"/>
      <w:lvlText w:val="(%3)"/>
      <w:lvlJc w:val="left"/>
      <w:pPr>
        <w:ind w:left="612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4"/>
  </w:num>
  <w:num w:numId="6">
    <w:abstractNumId w:val="8"/>
  </w:num>
  <w:num w:numId="7">
    <w:abstractNumId w:val="19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0"/>
  </w:num>
  <w:num w:numId="12">
    <w:abstractNumId w:val="7"/>
  </w:num>
  <w:num w:numId="13">
    <w:abstractNumId w:val="3"/>
  </w:num>
  <w:num w:numId="14">
    <w:abstractNumId w:val="17"/>
  </w:num>
  <w:num w:numId="15">
    <w:abstractNumId w:val="12"/>
  </w:num>
  <w:num w:numId="16">
    <w:abstractNumId w:val="9"/>
  </w:num>
  <w:num w:numId="17">
    <w:abstractNumId w:val="1"/>
  </w:num>
  <w:num w:numId="18">
    <w:abstractNumId w:val="16"/>
  </w:num>
  <w:num w:numId="19">
    <w:abstractNumId w:val="1"/>
  </w:num>
  <w:num w:numId="20">
    <w:abstractNumId w:val="1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20"/>
  </w:num>
  <w:num w:numId="29">
    <w:abstractNumId w:val="1"/>
  </w:num>
  <w:num w:numId="30">
    <w:abstractNumId w:val="1"/>
  </w:num>
  <w:num w:numId="31">
    <w:abstractNumId w:val="5"/>
  </w:num>
  <w:num w:numId="32">
    <w:abstractNumId w:val="15"/>
  </w:num>
  <w:num w:numId="3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F1"/>
    <w:rsid w:val="00000FFE"/>
    <w:rsid w:val="000015E7"/>
    <w:rsid w:val="00002825"/>
    <w:rsid w:val="00003C6C"/>
    <w:rsid w:val="00004C29"/>
    <w:rsid w:val="0000540E"/>
    <w:rsid w:val="00006E76"/>
    <w:rsid w:val="00007DF7"/>
    <w:rsid w:val="00010038"/>
    <w:rsid w:val="00011F05"/>
    <w:rsid w:val="0001496F"/>
    <w:rsid w:val="00014A02"/>
    <w:rsid w:val="00016A5F"/>
    <w:rsid w:val="00021E18"/>
    <w:rsid w:val="000232C3"/>
    <w:rsid w:val="0002336E"/>
    <w:rsid w:val="00023513"/>
    <w:rsid w:val="00023678"/>
    <w:rsid w:val="00023D36"/>
    <w:rsid w:val="00024AED"/>
    <w:rsid w:val="0002621F"/>
    <w:rsid w:val="00027932"/>
    <w:rsid w:val="00031DC0"/>
    <w:rsid w:val="000322E0"/>
    <w:rsid w:val="00032401"/>
    <w:rsid w:val="00035461"/>
    <w:rsid w:val="00036F1E"/>
    <w:rsid w:val="00037756"/>
    <w:rsid w:val="00037B26"/>
    <w:rsid w:val="00041400"/>
    <w:rsid w:val="0004679C"/>
    <w:rsid w:val="00051596"/>
    <w:rsid w:val="00051E18"/>
    <w:rsid w:val="00054048"/>
    <w:rsid w:val="00054A00"/>
    <w:rsid w:val="00054A08"/>
    <w:rsid w:val="00055723"/>
    <w:rsid w:val="00056D9F"/>
    <w:rsid w:val="000578CA"/>
    <w:rsid w:val="00065144"/>
    <w:rsid w:val="00067405"/>
    <w:rsid w:val="00067AFF"/>
    <w:rsid w:val="00070954"/>
    <w:rsid w:val="00071EC9"/>
    <w:rsid w:val="000772B7"/>
    <w:rsid w:val="00082923"/>
    <w:rsid w:val="00086CC2"/>
    <w:rsid w:val="00087B76"/>
    <w:rsid w:val="00092EB7"/>
    <w:rsid w:val="00093311"/>
    <w:rsid w:val="0009641D"/>
    <w:rsid w:val="000A1DB7"/>
    <w:rsid w:val="000A4ECC"/>
    <w:rsid w:val="000A534A"/>
    <w:rsid w:val="000B018A"/>
    <w:rsid w:val="000B64C7"/>
    <w:rsid w:val="000C549C"/>
    <w:rsid w:val="000C62DE"/>
    <w:rsid w:val="000C78B4"/>
    <w:rsid w:val="000D01A5"/>
    <w:rsid w:val="000D1702"/>
    <w:rsid w:val="000D3A3E"/>
    <w:rsid w:val="000D66B5"/>
    <w:rsid w:val="000E0E31"/>
    <w:rsid w:val="000E19E9"/>
    <w:rsid w:val="000E1A1C"/>
    <w:rsid w:val="000E1DFD"/>
    <w:rsid w:val="000E20A0"/>
    <w:rsid w:val="000F20C6"/>
    <w:rsid w:val="000F3423"/>
    <w:rsid w:val="00101B5D"/>
    <w:rsid w:val="001027F9"/>
    <w:rsid w:val="001045C0"/>
    <w:rsid w:val="00105AD5"/>
    <w:rsid w:val="001064B9"/>
    <w:rsid w:val="00110207"/>
    <w:rsid w:val="001124A2"/>
    <w:rsid w:val="00112E68"/>
    <w:rsid w:val="001138C9"/>
    <w:rsid w:val="00114D0A"/>
    <w:rsid w:val="00124475"/>
    <w:rsid w:val="001277DD"/>
    <w:rsid w:val="00130549"/>
    <w:rsid w:val="00130A58"/>
    <w:rsid w:val="00130AFF"/>
    <w:rsid w:val="001321FA"/>
    <w:rsid w:val="00142E70"/>
    <w:rsid w:val="00144714"/>
    <w:rsid w:val="001455CD"/>
    <w:rsid w:val="0014564E"/>
    <w:rsid w:val="00145D62"/>
    <w:rsid w:val="00151680"/>
    <w:rsid w:val="00152493"/>
    <w:rsid w:val="00152A35"/>
    <w:rsid w:val="00153D77"/>
    <w:rsid w:val="001546E1"/>
    <w:rsid w:val="00156FE6"/>
    <w:rsid w:val="00172B77"/>
    <w:rsid w:val="00174B8D"/>
    <w:rsid w:val="00175A08"/>
    <w:rsid w:val="00180A59"/>
    <w:rsid w:val="001828EA"/>
    <w:rsid w:val="0018389B"/>
    <w:rsid w:val="001858F7"/>
    <w:rsid w:val="00187B0C"/>
    <w:rsid w:val="00187BFD"/>
    <w:rsid w:val="00190512"/>
    <w:rsid w:val="001907E7"/>
    <w:rsid w:val="00194672"/>
    <w:rsid w:val="00195061"/>
    <w:rsid w:val="001978C8"/>
    <w:rsid w:val="001A4A09"/>
    <w:rsid w:val="001A6BBD"/>
    <w:rsid w:val="001B0EA4"/>
    <w:rsid w:val="001B108D"/>
    <w:rsid w:val="001B2343"/>
    <w:rsid w:val="001B2410"/>
    <w:rsid w:val="001C0488"/>
    <w:rsid w:val="001C27DE"/>
    <w:rsid w:val="001C6373"/>
    <w:rsid w:val="001D19F6"/>
    <w:rsid w:val="001D6EB7"/>
    <w:rsid w:val="001D7756"/>
    <w:rsid w:val="001E1546"/>
    <w:rsid w:val="001E2523"/>
    <w:rsid w:val="001E4F8D"/>
    <w:rsid w:val="001F05BD"/>
    <w:rsid w:val="001F2E46"/>
    <w:rsid w:val="001F5091"/>
    <w:rsid w:val="001F5531"/>
    <w:rsid w:val="00204723"/>
    <w:rsid w:val="00205FB4"/>
    <w:rsid w:val="00206B8F"/>
    <w:rsid w:val="00207E72"/>
    <w:rsid w:val="00210296"/>
    <w:rsid w:val="00210914"/>
    <w:rsid w:val="002130A6"/>
    <w:rsid w:val="0021393A"/>
    <w:rsid w:val="002151BA"/>
    <w:rsid w:val="002171DE"/>
    <w:rsid w:val="00221AB4"/>
    <w:rsid w:val="00224CB1"/>
    <w:rsid w:val="00231271"/>
    <w:rsid w:val="002454F1"/>
    <w:rsid w:val="002462CD"/>
    <w:rsid w:val="0025069C"/>
    <w:rsid w:val="0025091F"/>
    <w:rsid w:val="002540DB"/>
    <w:rsid w:val="0026326E"/>
    <w:rsid w:val="00263AEF"/>
    <w:rsid w:val="00264175"/>
    <w:rsid w:val="00265D89"/>
    <w:rsid w:val="00266E81"/>
    <w:rsid w:val="00266F36"/>
    <w:rsid w:val="00267A64"/>
    <w:rsid w:val="0027018B"/>
    <w:rsid w:val="00271520"/>
    <w:rsid w:val="00272E8D"/>
    <w:rsid w:val="0027304C"/>
    <w:rsid w:val="002741E0"/>
    <w:rsid w:val="00275964"/>
    <w:rsid w:val="00275AFB"/>
    <w:rsid w:val="00281892"/>
    <w:rsid w:val="002818A4"/>
    <w:rsid w:val="00282112"/>
    <w:rsid w:val="00286625"/>
    <w:rsid w:val="00286B05"/>
    <w:rsid w:val="00292586"/>
    <w:rsid w:val="00294447"/>
    <w:rsid w:val="00295186"/>
    <w:rsid w:val="0029583C"/>
    <w:rsid w:val="00296960"/>
    <w:rsid w:val="00297960"/>
    <w:rsid w:val="002A5191"/>
    <w:rsid w:val="002A5836"/>
    <w:rsid w:val="002A5A2F"/>
    <w:rsid w:val="002A6DF3"/>
    <w:rsid w:val="002B084E"/>
    <w:rsid w:val="002B17C7"/>
    <w:rsid w:val="002C5DC3"/>
    <w:rsid w:val="002C6034"/>
    <w:rsid w:val="002C6671"/>
    <w:rsid w:val="002C6A92"/>
    <w:rsid w:val="002C7323"/>
    <w:rsid w:val="002D11B9"/>
    <w:rsid w:val="002D1F7E"/>
    <w:rsid w:val="002D4AD6"/>
    <w:rsid w:val="002D593A"/>
    <w:rsid w:val="002D6F54"/>
    <w:rsid w:val="002E20F6"/>
    <w:rsid w:val="002E2D84"/>
    <w:rsid w:val="002E3ECD"/>
    <w:rsid w:val="002E3FD3"/>
    <w:rsid w:val="002E44FD"/>
    <w:rsid w:val="002E5300"/>
    <w:rsid w:val="002E5604"/>
    <w:rsid w:val="002E620D"/>
    <w:rsid w:val="002F26D8"/>
    <w:rsid w:val="002F2954"/>
    <w:rsid w:val="002F55D3"/>
    <w:rsid w:val="00300C32"/>
    <w:rsid w:val="00301BA6"/>
    <w:rsid w:val="00304CA0"/>
    <w:rsid w:val="00307077"/>
    <w:rsid w:val="00307ADF"/>
    <w:rsid w:val="003106CC"/>
    <w:rsid w:val="0031116E"/>
    <w:rsid w:val="003126B3"/>
    <w:rsid w:val="0031389E"/>
    <w:rsid w:val="003176EA"/>
    <w:rsid w:val="003225EC"/>
    <w:rsid w:val="00331FEE"/>
    <w:rsid w:val="00333197"/>
    <w:rsid w:val="003333A1"/>
    <w:rsid w:val="003354D8"/>
    <w:rsid w:val="00337986"/>
    <w:rsid w:val="00343E06"/>
    <w:rsid w:val="00346A06"/>
    <w:rsid w:val="00346C5B"/>
    <w:rsid w:val="00347317"/>
    <w:rsid w:val="00360866"/>
    <w:rsid w:val="00362587"/>
    <w:rsid w:val="00364B1B"/>
    <w:rsid w:val="00373914"/>
    <w:rsid w:val="003743F4"/>
    <w:rsid w:val="003774CE"/>
    <w:rsid w:val="003814EB"/>
    <w:rsid w:val="0038204F"/>
    <w:rsid w:val="00382625"/>
    <w:rsid w:val="0038651C"/>
    <w:rsid w:val="00387388"/>
    <w:rsid w:val="003873F0"/>
    <w:rsid w:val="00387A6E"/>
    <w:rsid w:val="0039060B"/>
    <w:rsid w:val="003907C4"/>
    <w:rsid w:val="00392819"/>
    <w:rsid w:val="00393283"/>
    <w:rsid w:val="0039534A"/>
    <w:rsid w:val="0039733D"/>
    <w:rsid w:val="003A0D66"/>
    <w:rsid w:val="003A1299"/>
    <w:rsid w:val="003A42A1"/>
    <w:rsid w:val="003B4909"/>
    <w:rsid w:val="003B67AD"/>
    <w:rsid w:val="003C09CD"/>
    <w:rsid w:val="003C0C19"/>
    <w:rsid w:val="003C3D1C"/>
    <w:rsid w:val="003C529C"/>
    <w:rsid w:val="003C77CD"/>
    <w:rsid w:val="003D0885"/>
    <w:rsid w:val="003D5954"/>
    <w:rsid w:val="003E41F2"/>
    <w:rsid w:val="003E72DB"/>
    <w:rsid w:val="003F1971"/>
    <w:rsid w:val="003F2C2D"/>
    <w:rsid w:val="003F433E"/>
    <w:rsid w:val="003F4E0E"/>
    <w:rsid w:val="003F50AF"/>
    <w:rsid w:val="003F5A2D"/>
    <w:rsid w:val="003F678C"/>
    <w:rsid w:val="00404294"/>
    <w:rsid w:val="00405D04"/>
    <w:rsid w:val="00405E64"/>
    <w:rsid w:val="004065D4"/>
    <w:rsid w:val="00412AC8"/>
    <w:rsid w:val="00412E40"/>
    <w:rsid w:val="004169ED"/>
    <w:rsid w:val="00416EDA"/>
    <w:rsid w:val="004222AB"/>
    <w:rsid w:val="00423A88"/>
    <w:rsid w:val="0042443C"/>
    <w:rsid w:val="00425607"/>
    <w:rsid w:val="00430C35"/>
    <w:rsid w:val="004341C5"/>
    <w:rsid w:val="00436E04"/>
    <w:rsid w:val="00446453"/>
    <w:rsid w:val="004500FC"/>
    <w:rsid w:val="004508E8"/>
    <w:rsid w:val="00452092"/>
    <w:rsid w:val="0045264D"/>
    <w:rsid w:val="004651B4"/>
    <w:rsid w:val="0046551F"/>
    <w:rsid w:val="004665BF"/>
    <w:rsid w:val="00473493"/>
    <w:rsid w:val="0048053E"/>
    <w:rsid w:val="0048205F"/>
    <w:rsid w:val="004832FB"/>
    <w:rsid w:val="00483694"/>
    <w:rsid w:val="00483FFF"/>
    <w:rsid w:val="004853BD"/>
    <w:rsid w:val="00486065"/>
    <w:rsid w:val="00486E94"/>
    <w:rsid w:val="0049417C"/>
    <w:rsid w:val="00497AD3"/>
    <w:rsid w:val="004A3C3A"/>
    <w:rsid w:val="004A6ECA"/>
    <w:rsid w:val="004A7536"/>
    <w:rsid w:val="004B144E"/>
    <w:rsid w:val="004B4DB0"/>
    <w:rsid w:val="004B7DF3"/>
    <w:rsid w:val="004C3AA9"/>
    <w:rsid w:val="004D0D3A"/>
    <w:rsid w:val="004D34B6"/>
    <w:rsid w:val="004D4CC5"/>
    <w:rsid w:val="004D71F7"/>
    <w:rsid w:val="004D7AD0"/>
    <w:rsid w:val="004E0027"/>
    <w:rsid w:val="004E0617"/>
    <w:rsid w:val="004E07D2"/>
    <w:rsid w:val="004E0CB7"/>
    <w:rsid w:val="004E12CB"/>
    <w:rsid w:val="004E3492"/>
    <w:rsid w:val="004E3AD5"/>
    <w:rsid w:val="004E6630"/>
    <w:rsid w:val="004E7F64"/>
    <w:rsid w:val="004F1237"/>
    <w:rsid w:val="004F1835"/>
    <w:rsid w:val="005007DF"/>
    <w:rsid w:val="00502DD1"/>
    <w:rsid w:val="00505C9A"/>
    <w:rsid w:val="0051122D"/>
    <w:rsid w:val="0051382C"/>
    <w:rsid w:val="005139AE"/>
    <w:rsid w:val="00523B62"/>
    <w:rsid w:val="00525852"/>
    <w:rsid w:val="005260E2"/>
    <w:rsid w:val="00542E9D"/>
    <w:rsid w:val="005438DC"/>
    <w:rsid w:val="0054472C"/>
    <w:rsid w:val="0054582D"/>
    <w:rsid w:val="00546709"/>
    <w:rsid w:val="0054779B"/>
    <w:rsid w:val="00550720"/>
    <w:rsid w:val="00552C1D"/>
    <w:rsid w:val="00554D4A"/>
    <w:rsid w:val="00555372"/>
    <w:rsid w:val="00565674"/>
    <w:rsid w:val="00565690"/>
    <w:rsid w:val="005740FF"/>
    <w:rsid w:val="005747FE"/>
    <w:rsid w:val="00575614"/>
    <w:rsid w:val="00575C28"/>
    <w:rsid w:val="00577CBB"/>
    <w:rsid w:val="005813EC"/>
    <w:rsid w:val="00581EB0"/>
    <w:rsid w:val="0058276E"/>
    <w:rsid w:val="00583701"/>
    <w:rsid w:val="00584905"/>
    <w:rsid w:val="00592B56"/>
    <w:rsid w:val="00596A5F"/>
    <w:rsid w:val="00597966"/>
    <w:rsid w:val="005A4C8B"/>
    <w:rsid w:val="005A50A3"/>
    <w:rsid w:val="005A61C0"/>
    <w:rsid w:val="005B0974"/>
    <w:rsid w:val="005B3376"/>
    <w:rsid w:val="005B6865"/>
    <w:rsid w:val="005B78C9"/>
    <w:rsid w:val="005C2341"/>
    <w:rsid w:val="005C2CE6"/>
    <w:rsid w:val="005C36E4"/>
    <w:rsid w:val="005C50D2"/>
    <w:rsid w:val="005C61E8"/>
    <w:rsid w:val="005C689A"/>
    <w:rsid w:val="005C7582"/>
    <w:rsid w:val="005D2F9B"/>
    <w:rsid w:val="005D4F49"/>
    <w:rsid w:val="005D5D74"/>
    <w:rsid w:val="005D66CA"/>
    <w:rsid w:val="005D70C6"/>
    <w:rsid w:val="005E1213"/>
    <w:rsid w:val="005E2A6A"/>
    <w:rsid w:val="005E3916"/>
    <w:rsid w:val="005F0278"/>
    <w:rsid w:val="005F2C0A"/>
    <w:rsid w:val="005F5919"/>
    <w:rsid w:val="00601A32"/>
    <w:rsid w:val="006044CE"/>
    <w:rsid w:val="00607FAD"/>
    <w:rsid w:val="006101E5"/>
    <w:rsid w:val="006167CF"/>
    <w:rsid w:val="00616B45"/>
    <w:rsid w:val="00617088"/>
    <w:rsid w:val="0062141F"/>
    <w:rsid w:val="00625DB8"/>
    <w:rsid w:val="0063585F"/>
    <w:rsid w:val="00635864"/>
    <w:rsid w:val="00636994"/>
    <w:rsid w:val="00642570"/>
    <w:rsid w:val="006428AD"/>
    <w:rsid w:val="00642A80"/>
    <w:rsid w:val="00644CE1"/>
    <w:rsid w:val="00644DA1"/>
    <w:rsid w:val="006458DF"/>
    <w:rsid w:val="006460AB"/>
    <w:rsid w:val="0064647C"/>
    <w:rsid w:val="00646D84"/>
    <w:rsid w:val="00650854"/>
    <w:rsid w:val="00652010"/>
    <w:rsid w:val="00663891"/>
    <w:rsid w:val="00664E96"/>
    <w:rsid w:val="00666A9E"/>
    <w:rsid w:val="0066714A"/>
    <w:rsid w:val="00673F76"/>
    <w:rsid w:val="00680258"/>
    <w:rsid w:val="00683C80"/>
    <w:rsid w:val="00683F74"/>
    <w:rsid w:val="00686430"/>
    <w:rsid w:val="00686D33"/>
    <w:rsid w:val="00692EE1"/>
    <w:rsid w:val="006934F8"/>
    <w:rsid w:val="00697BF7"/>
    <w:rsid w:val="006A16BC"/>
    <w:rsid w:val="006A2A46"/>
    <w:rsid w:val="006A43EE"/>
    <w:rsid w:val="006A6D9C"/>
    <w:rsid w:val="006A74C0"/>
    <w:rsid w:val="006A74C4"/>
    <w:rsid w:val="006B0FC4"/>
    <w:rsid w:val="006B2313"/>
    <w:rsid w:val="006B51C7"/>
    <w:rsid w:val="006B5C58"/>
    <w:rsid w:val="006B65E9"/>
    <w:rsid w:val="006B6DD2"/>
    <w:rsid w:val="006B6EBE"/>
    <w:rsid w:val="006C0340"/>
    <w:rsid w:val="006C09D4"/>
    <w:rsid w:val="006C443F"/>
    <w:rsid w:val="006C4AF2"/>
    <w:rsid w:val="006C573D"/>
    <w:rsid w:val="006D0D1E"/>
    <w:rsid w:val="006D2580"/>
    <w:rsid w:val="006D770C"/>
    <w:rsid w:val="006E0920"/>
    <w:rsid w:val="006E29FC"/>
    <w:rsid w:val="006E3894"/>
    <w:rsid w:val="006E4B85"/>
    <w:rsid w:val="006E6C89"/>
    <w:rsid w:val="006F583B"/>
    <w:rsid w:val="006F5D98"/>
    <w:rsid w:val="006F6544"/>
    <w:rsid w:val="00701881"/>
    <w:rsid w:val="00706234"/>
    <w:rsid w:val="00706A42"/>
    <w:rsid w:val="00707811"/>
    <w:rsid w:val="00707A74"/>
    <w:rsid w:val="00712043"/>
    <w:rsid w:val="00717A51"/>
    <w:rsid w:val="00730C0F"/>
    <w:rsid w:val="00732B14"/>
    <w:rsid w:val="007335CF"/>
    <w:rsid w:val="00737057"/>
    <w:rsid w:val="00741401"/>
    <w:rsid w:val="007445C5"/>
    <w:rsid w:val="0074545D"/>
    <w:rsid w:val="00751D04"/>
    <w:rsid w:val="00753214"/>
    <w:rsid w:val="007540A3"/>
    <w:rsid w:val="00756A2D"/>
    <w:rsid w:val="00761A0B"/>
    <w:rsid w:val="00761F46"/>
    <w:rsid w:val="00762155"/>
    <w:rsid w:val="00762F51"/>
    <w:rsid w:val="0076454D"/>
    <w:rsid w:val="007679DB"/>
    <w:rsid w:val="00774355"/>
    <w:rsid w:val="00776292"/>
    <w:rsid w:val="0078231C"/>
    <w:rsid w:val="0078417E"/>
    <w:rsid w:val="007852A4"/>
    <w:rsid w:val="00785EF6"/>
    <w:rsid w:val="00791869"/>
    <w:rsid w:val="007935D6"/>
    <w:rsid w:val="00795DBD"/>
    <w:rsid w:val="007A4529"/>
    <w:rsid w:val="007A4F58"/>
    <w:rsid w:val="007B075C"/>
    <w:rsid w:val="007B1834"/>
    <w:rsid w:val="007C0052"/>
    <w:rsid w:val="007C14FC"/>
    <w:rsid w:val="007C2718"/>
    <w:rsid w:val="007C4E29"/>
    <w:rsid w:val="007C4ECB"/>
    <w:rsid w:val="007C4FB5"/>
    <w:rsid w:val="007C51CB"/>
    <w:rsid w:val="007C715E"/>
    <w:rsid w:val="007D0099"/>
    <w:rsid w:val="007D280E"/>
    <w:rsid w:val="007D34DA"/>
    <w:rsid w:val="007D3D85"/>
    <w:rsid w:val="007D56B9"/>
    <w:rsid w:val="007E0FD6"/>
    <w:rsid w:val="007E21D1"/>
    <w:rsid w:val="007E2C10"/>
    <w:rsid w:val="007E2E03"/>
    <w:rsid w:val="007E2F82"/>
    <w:rsid w:val="007E5F2F"/>
    <w:rsid w:val="007F265F"/>
    <w:rsid w:val="007F4DA2"/>
    <w:rsid w:val="00800697"/>
    <w:rsid w:val="00800AB9"/>
    <w:rsid w:val="00805373"/>
    <w:rsid w:val="00806BC7"/>
    <w:rsid w:val="00807B11"/>
    <w:rsid w:val="0081188F"/>
    <w:rsid w:val="008266D5"/>
    <w:rsid w:val="00827879"/>
    <w:rsid w:val="00827AF8"/>
    <w:rsid w:val="00830CC8"/>
    <w:rsid w:val="00832568"/>
    <w:rsid w:val="008345C1"/>
    <w:rsid w:val="00834BA7"/>
    <w:rsid w:val="00835477"/>
    <w:rsid w:val="0083647C"/>
    <w:rsid w:val="00841BC1"/>
    <w:rsid w:val="00842D44"/>
    <w:rsid w:val="008453D5"/>
    <w:rsid w:val="00845414"/>
    <w:rsid w:val="008475BA"/>
    <w:rsid w:val="00853CD9"/>
    <w:rsid w:val="00854508"/>
    <w:rsid w:val="00854A85"/>
    <w:rsid w:val="00855046"/>
    <w:rsid w:val="00855090"/>
    <w:rsid w:val="008569E2"/>
    <w:rsid w:val="00856F3D"/>
    <w:rsid w:val="008612ED"/>
    <w:rsid w:val="00863BC0"/>
    <w:rsid w:val="00865318"/>
    <w:rsid w:val="00865B03"/>
    <w:rsid w:val="00866374"/>
    <w:rsid w:val="008664D8"/>
    <w:rsid w:val="008666F4"/>
    <w:rsid w:val="00866722"/>
    <w:rsid w:val="00866C61"/>
    <w:rsid w:val="00866E26"/>
    <w:rsid w:val="008672E1"/>
    <w:rsid w:val="00870C7D"/>
    <w:rsid w:val="008747A4"/>
    <w:rsid w:val="00874CC6"/>
    <w:rsid w:val="00874E48"/>
    <w:rsid w:val="00875D62"/>
    <w:rsid w:val="00875F00"/>
    <w:rsid w:val="00882B20"/>
    <w:rsid w:val="00884479"/>
    <w:rsid w:val="008850F7"/>
    <w:rsid w:val="00890234"/>
    <w:rsid w:val="00892B85"/>
    <w:rsid w:val="00893E7A"/>
    <w:rsid w:val="008950BE"/>
    <w:rsid w:val="00895A95"/>
    <w:rsid w:val="008A0D93"/>
    <w:rsid w:val="008A0ED9"/>
    <w:rsid w:val="008A1DD0"/>
    <w:rsid w:val="008A388C"/>
    <w:rsid w:val="008A41DE"/>
    <w:rsid w:val="008A4405"/>
    <w:rsid w:val="008A5009"/>
    <w:rsid w:val="008A5AD5"/>
    <w:rsid w:val="008A6035"/>
    <w:rsid w:val="008A7D30"/>
    <w:rsid w:val="008B00B3"/>
    <w:rsid w:val="008B00C2"/>
    <w:rsid w:val="008B25F5"/>
    <w:rsid w:val="008B39F3"/>
    <w:rsid w:val="008B5BEE"/>
    <w:rsid w:val="008C18B9"/>
    <w:rsid w:val="008C18D7"/>
    <w:rsid w:val="008C28EE"/>
    <w:rsid w:val="008C400C"/>
    <w:rsid w:val="008C7AB4"/>
    <w:rsid w:val="008C7CF8"/>
    <w:rsid w:val="008D3FE7"/>
    <w:rsid w:val="008D4488"/>
    <w:rsid w:val="008E0F11"/>
    <w:rsid w:val="008E4338"/>
    <w:rsid w:val="008E4A1A"/>
    <w:rsid w:val="008F0075"/>
    <w:rsid w:val="008F23CB"/>
    <w:rsid w:val="008F2E97"/>
    <w:rsid w:val="008F52E2"/>
    <w:rsid w:val="008F5A22"/>
    <w:rsid w:val="00903206"/>
    <w:rsid w:val="0090385E"/>
    <w:rsid w:val="00904049"/>
    <w:rsid w:val="009104E8"/>
    <w:rsid w:val="00910774"/>
    <w:rsid w:val="00912363"/>
    <w:rsid w:val="009123F9"/>
    <w:rsid w:val="009135DB"/>
    <w:rsid w:val="00913647"/>
    <w:rsid w:val="00914B7E"/>
    <w:rsid w:val="00915750"/>
    <w:rsid w:val="009209CB"/>
    <w:rsid w:val="009266AF"/>
    <w:rsid w:val="009352CF"/>
    <w:rsid w:val="00937771"/>
    <w:rsid w:val="0094020E"/>
    <w:rsid w:val="009404CE"/>
    <w:rsid w:val="00944716"/>
    <w:rsid w:val="00946FDF"/>
    <w:rsid w:val="00947443"/>
    <w:rsid w:val="009479FB"/>
    <w:rsid w:val="00952419"/>
    <w:rsid w:val="00952C86"/>
    <w:rsid w:val="009542A5"/>
    <w:rsid w:val="0096764F"/>
    <w:rsid w:val="0097053D"/>
    <w:rsid w:val="009727EC"/>
    <w:rsid w:val="009734EB"/>
    <w:rsid w:val="00973A2F"/>
    <w:rsid w:val="009758CB"/>
    <w:rsid w:val="0098121C"/>
    <w:rsid w:val="009821FE"/>
    <w:rsid w:val="00982300"/>
    <w:rsid w:val="00984105"/>
    <w:rsid w:val="009914AD"/>
    <w:rsid w:val="00992D7D"/>
    <w:rsid w:val="0099629C"/>
    <w:rsid w:val="009A15BE"/>
    <w:rsid w:val="009A1E8B"/>
    <w:rsid w:val="009A3E39"/>
    <w:rsid w:val="009A5BC8"/>
    <w:rsid w:val="009A68C7"/>
    <w:rsid w:val="009B2649"/>
    <w:rsid w:val="009B5EF1"/>
    <w:rsid w:val="009C60D3"/>
    <w:rsid w:val="009C781F"/>
    <w:rsid w:val="009C79EA"/>
    <w:rsid w:val="009D069A"/>
    <w:rsid w:val="009D2AE9"/>
    <w:rsid w:val="009D36A4"/>
    <w:rsid w:val="009D6DA6"/>
    <w:rsid w:val="009E1F63"/>
    <w:rsid w:val="009E2790"/>
    <w:rsid w:val="009E3B53"/>
    <w:rsid w:val="009E3CBA"/>
    <w:rsid w:val="009E491F"/>
    <w:rsid w:val="009F3B87"/>
    <w:rsid w:val="009F4867"/>
    <w:rsid w:val="009F54D6"/>
    <w:rsid w:val="00A01DF4"/>
    <w:rsid w:val="00A02E6A"/>
    <w:rsid w:val="00A074F9"/>
    <w:rsid w:val="00A13729"/>
    <w:rsid w:val="00A15265"/>
    <w:rsid w:val="00A21CD0"/>
    <w:rsid w:val="00A23BC1"/>
    <w:rsid w:val="00A25E2C"/>
    <w:rsid w:val="00A26A73"/>
    <w:rsid w:val="00A26D6A"/>
    <w:rsid w:val="00A303F6"/>
    <w:rsid w:val="00A30A7A"/>
    <w:rsid w:val="00A327A0"/>
    <w:rsid w:val="00A34076"/>
    <w:rsid w:val="00A34497"/>
    <w:rsid w:val="00A37BC1"/>
    <w:rsid w:val="00A44C21"/>
    <w:rsid w:val="00A4664F"/>
    <w:rsid w:val="00A47892"/>
    <w:rsid w:val="00A500E0"/>
    <w:rsid w:val="00A51541"/>
    <w:rsid w:val="00A532DD"/>
    <w:rsid w:val="00A56B6B"/>
    <w:rsid w:val="00A61666"/>
    <w:rsid w:val="00A65179"/>
    <w:rsid w:val="00A666A4"/>
    <w:rsid w:val="00A66ACF"/>
    <w:rsid w:val="00A8029D"/>
    <w:rsid w:val="00A8503F"/>
    <w:rsid w:val="00A91225"/>
    <w:rsid w:val="00A91B58"/>
    <w:rsid w:val="00A929EA"/>
    <w:rsid w:val="00A93157"/>
    <w:rsid w:val="00A95354"/>
    <w:rsid w:val="00A97191"/>
    <w:rsid w:val="00AA4D69"/>
    <w:rsid w:val="00AA4F46"/>
    <w:rsid w:val="00AA7159"/>
    <w:rsid w:val="00AA7F8C"/>
    <w:rsid w:val="00AB0529"/>
    <w:rsid w:val="00AB0CBD"/>
    <w:rsid w:val="00AB116E"/>
    <w:rsid w:val="00AB2682"/>
    <w:rsid w:val="00AB4FBF"/>
    <w:rsid w:val="00AB6180"/>
    <w:rsid w:val="00AB62A7"/>
    <w:rsid w:val="00AB7E3C"/>
    <w:rsid w:val="00AC421A"/>
    <w:rsid w:val="00AD34E6"/>
    <w:rsid w:val="00AD378F"/>
    <w:rsid w:val="00AD5C42"/>
    <w:rsid w:val="00AD6EAB"/>
    <w:rsid w:val="00AE2BCB"/>
    <w:rsid w:val="00AE49AB"/>
    <w:rsid w:val="00AE69D9"/>
    <w:rsid w:val="00B012E3"/>
    <w:rsid w:val="00B05361"/>
    <w:rsid w:val="00B053D4"/>
    <w:rsid w:val="00B05E69"/>
    <w:rsid w:val="00B07A82"/>
    <w:rsid w:val="00B12194"/>
    <w:rsid w:val="00B1422C"/>
    <w:rsid w:val="00B16EDE"/>
    <w:rsid w:val="00B172B2"/>
    <w:rsid w:val="00B17BBF"/>
    <w:rsid w:val="00B20194"/>
    <w:rsid w:val="00B20576"/>
    <w:rsid w:val="00B207A8"/>
    <w:rsid w:val="00B23EB7"/>
    <w:rsid w:val="00B25E06"/>
    <w:rsid w:val="00B26845"/>
    <w:rsid w:val="00B26B85"/>
    <w:rsid w:val="00B33BE3"/>
    <w:rsid w:val="00B35A3E"/>
    <w:rsid w:val="00B37896"/>
    <w:rsid w:val="00B42271"/>
    <w:rsid w:val="00B428EB"/>
    <w:rsid w:val="00B43565"/>
    <w:rsid w:val="00B4521F"/>
    <w:rsid w:val="00B51A90"/>
    <w:rsid w:val="00B51E6C"/>
    <w:rsid w:val="00B524B4"/>
    <w:rsid w:val="00B53678"/>
    <w:rsid w:val="00B53E9C"/>
    <w:rsid w:val="00B53F8D"/>
    <w:rsid w:val="00B546F6"/>
    <w:rsid w:val="00B5695E"/>
    <w:rsid w:val="00B72492"/>
    <w:rsid w:val="00B76C2D"/>
    <w:rsid w:val="00B8225C"/>
    <w:rsid w:val="00B84777"/>
    <w:rsid w:val="00B84F88"/>
    <w:rsid w:val="00B8578B"/>
    <w:rsid w:val="00B87915"/>
    <w:rsid w:val="00B87950"/>
    <w:rsid w:val="00B97719"/>
    <w:rsid w:val="00B97C7E"/>
    <w:rsid w:val="00BA0D56"/>
    <w:rsid w:val="00BA24C5"/>
    <w:rsid w:val="00BA7292"/>
    <w:rsid w:val="00BA78AA"/>
    <w:rsid w:val="00BB02CE"/>
    <w:rsid w:val="00BB3974"/>
    <w:rsid w:val="00BB5D29"/>
    <w:rsid w:val="00BB6E51"/>
    <w:rsid w:val="00BB6FBB"/>
    <w:rsid w:val="00BC42B0"/>
    <w:rsid w:val="00BD072D"/>
    <w:rsid w:val="00BD2D80"/>
    <w:rsid w:val="00BD6B19"/>
    <w:rsid w:val="00BE0D8A"/>
    <w:rsid w:val="00BE503D"/>
    <w:rsid w:val="00BE656A"/>
    <w:rsid w:val="00BF1CA2"/>
    <w:rsid w:val="00BF236C"/>
    <w:rsid w:val="00BF2DF9"/>
    <w:rsid w:val="00BF3170"/>
    <w:rsid w:val="00BF39F4"/>
    <w:rsid w:val="00BF5F6E"/>
    <w:rsid w:val="00BF6378"/>
    <w:rsid w:val="00C06BE1"/>
    <w:rsid w:val="00C06C89"/>
    <w:rsid w:val="00C15FC7"/>
    <w:rsid w:val="00C20F5C"/>
    <w:rsid w:val="00C23EF5"/>
    <w:rsid w:val="00C253A0"/>
    <w:rsid w:val="00C270FE"/>
    <w:rsid w:val="00C3068F"/>
    <w:rsid w:val="00C3087B"/>
    <w:rsid w:val="00C3490F"/>
    <w:rsid w:val="00C37DF6"/>
    <w:rsid w:val="00C4084C"/>
    <w:rsid w:val="00C409D9"/>
    <w:rsid w:val="00C4105E"/>
    <w:rsid w:val="00C426EB"/>
    <w:rsid w:val="00C431A7"/>
    <w:rsid w:val="00C445D0"/>
    <w:rsid w:val="00C451F7"/>
    <w:rsid w:val="00C454BC"/>
    <w:rsid w:val="00C54FD4"/>
    <w:rsid w:val="00C551D1"/>
    <w:rsid w:val="00C55D76"/>
    <w:rsid w:val="00C6585D"/>
    <w:rsid w:val="00C70DC7"/>
    <w:rsid w:val="00C73E21"/>
    <w:rsid w:val="00C75DDC"/>
    <w:rsid w:val="00C763AB"/>
    <w:rsid w:val="00C77B4A"/>
    <w:rsid w:val="00C81859"/>
    <w:rsid w:val="00C81CE1"/>
    <w:rsid w:val="00C81DFF"/>
    <w:rsid w:val="00C85343"/>
    <w:rsid w:val="00C87139"/>
    <w:rsid w:val="00C90813"/>
    <w:rsid w:val="00C90904"/>
    <w:rsid w:val="00C934C0"/>
    <w:rsid w:val="00C951CC"/>
    <w:rsid w:val="00C974BC"/>
    <w:rsid w:val="00CA1CA1"/>
    <w:rsid w:val="00CB00FF"/>
    <w:rsid w:val="00CB1DF1"/>
    <w:rsid w:val="00CB25C4"/>
    <w:rsid w:val="00CB7ACE"/>
    <w:rsid w:val="00CC0388"/>
    <w:rsid w:val="00CC03A6"/>
    <w:rsid w:val="00CC4907"/>
    <w:rsid w:val="00CD0DA0"/>
    <w:rsid w:val="00CD1843"/>
    <w:rsid w:val="00CD5756"/>
    <w:rsid w:val="00CD6955"/>
    <w:rsid w:val="00CD6AA2"/>
    <w:rsid w:val="00CE14B6"/>
    <w:rsid w:val="00CE1625"/>
    <w:rsid w:val="00CE25EB"/>
    <w:rsid w:val="00CE34AF"/>
    <w:rsid w:val="00CE5CDF"/>
    <w:rsid w:val="00CE77E5"/>
    <w:rsid w:val="00CF1923"/>
    <w:rsid w:val="00CF1B32"/>
    <w:rsid w:val="00CF6054"/>
    <w:rsid w:val="00D01670"/>
    <w:rsid w:val="00D01F51"/>
    <w:rsid w:val="00D03251"/>
    <w:rsid w:val="00D03579"/>
    <w:rsid w:val="00D03C3F"/>
    <w:rsid w:val="00D14488"/>
    <w:rsid w:val="00D169CB"/>
    <w:rsid w:val="00D30A7D"/>
    <w:rsid w:val="00D31D6E"/>
    <w:rsid w:val="00D33347"/>
    <w:rsid w:val="00D34249"/>
    <w:rsid w:val="00D40912"/>
    <w:rsid w:val="00D40FA7"/>
    <w:rsid w:val="00D432B4"/>
    <w:rsid w:val="00D43AF4"/>
    <w:rsid w:val="00D46F77"/>
    <w:rsid w:val="00D52BFD"/>
    <w:rsid w:val="00D53425"/>
    <w:rsid w:val="00D605E7"/>
    <w:rsid w:val="00D63086"/>
    <w:rsid w:val="00D633A1"/>
    <w:rsid w:val="00D667CC"/>
    <w:rsid w:val="00D71816"/>
    <w:rsid w:val="00D7439C"/>
    <w:rsid w:val="00D76988"/>
    <w:rsid w:val="00D77886"/>
    <w:rsid w:val="00D8022E"/>
    <w:rsid w:val="00D809EF"/>
    <w:rsid w:val="00D835EB"/>
    <w:rsid w:val="00D83F0D"/>
    <w:rsid w:val="00D92A63"/>
    <w:rsid w:val="00D93D74"/>
    <w:rsid w:val="00D96F91"/>
    <w:rsid w:val="00DA0E1C"/>
    <w:rsid w:val="00DA12FF"/>
    <w:rsid w:val="00DA150A"/>
    <w:rsid w:val="00DA18E8"/>
    <w:rsid w:val="00DA2155"/>
    <w:rsid w:val="00DA3182"/>
    <w:rsid w:val="00DA5460"/>
    <w:rsid w:val="00DB35B8"/>
    <w:rsid w:val="00DB40EA"/>
    <w:rsid w:val="00DB4CCE"/>
    <w:rsid w:val="00DB551A"/>
    <w:rsid w:val="00DB5FBA"/>
    <w:rsid w:val="00DB72D9"/>
    <w:rsid w:val="00DC1568"/>
    <w:rsid w:val="00DC1A8B"/>
    <w:rsid w:val="00DC1CBF"/>
    <w:rsid w:val="00DC223D"/>
    <w:rsid w:val="00DC3CF6"/>
    <w:rsid w:val="00DC5701"/>
    <w:rsid w:val="00DC706B"/>
    <w:rsid w:val="00DC7378"/>
    <w:rsid w:val="00DD0B16"/>
    <w:rsid w:val="00DD2077"/>
    <w:rsid w:val="00DD5AF2"/>
    <w:rsid w:val="00DE0666"/>
    <w:rsid w:val="00DE0FE7"/>
    <w:rsid w:val="00DE155F"/>
    <w:rsid w:val="00DE2A09"/>
    <w:rsid w:val="00DE59F8"/>
    <w:rsid w:val="00DE6A6B"/>
    <w:rsid w:val="00DF036A"/>
    <w:rsid w:val="00DF13D5"/>
    <w:rsid w:val="00DF1534"/>
    <w:rsid w:val="00DF2A1D"/>
    <w:rsid w:val="00DF6891"/>
    <w:rsid w:val="00E0003F"/>
    <w:rsid w:val="00E0022A"/>
    <w:rsid w:val="00E018A4"/>
    <w:rsid w:val="00E026F7"/>
    <w:rsid w:val="00E045CB"/>
    <w:rsid w:val="00E11B5D"/>
    <w:rsid w:val="00E16109"/>
    <w:rsid w:val="00E168C2"/>
    <w:rsid w:val="00E16F6E"/>
    <w:rsid w:val="00E17040"/>
    <w:rsid w:val="00E21CE4"/>
    <w:rsid w:val="00E30D75"/>
    <w:rsid w:val="00E32A96"/>
    <w:rsid w:val="00E42409"/>
    <w:rsid w:val="00E4412E"/>
    <w:rsid w:val="00E4425F"/>
    <w:rsid w:val="00E45060"/>
    <w:rsid w:val="00E5041A"/>
    <w:rsid w:val="00E51AEF"/>
    <w:rsid w:val="00E527A6"/>
    <w:rsid w:val="00E54888"/>
    <w:rsid w:val="00E60056"/>
    <w:rsid w:val="00E6251B"/>
    <w:rsid w:val="00E700E2"/>
    <w:rsid w:val="00E7089E"/>
    <w:rsid w:val="00E708CC"/>
    <w:rsid w:val="00E7098C"/>
    <w:rsid w:val="00E72B96"/>
    <w:rsid w:val="00E72D91"/>
    <w:rsid w:val="00E74941"/>
    <w:rsid w:val="00E754EE"/>
    <w:rsid w:val="00E8092B"/>
    <w:rsid w:val="00E83181"/>
    <w:rsid w:val="00E83F18"/>
    <w:rsid w:val="00E85944"/>
    <w:rsid w:val="00E90DFB"/>
    <w:rsid w:val="00E91396"/>
    <w:rsid w:val="00E916A7"/>
    <w:rsid w:val="00E92D30"/>
    <w:rsid w:val="00E931AB"/>
    <w:rsid w:val="00E93A99"/>
    <w:rsid w:val="00E9683F"/>
    <w:rsid w:val="00EA0ECD"/>
    <w:rsid w:val="00EA1800"/>
    <w:rsid w:val="00EA6C0F"/>
    <w:rsid w:val="00EA6FE0"/>
    <w:rsid w:val="00EB077E"/>
    <w:rsid w:val="00EB4992"/>
    <w:rsid w:val="00EB77BE"/>
    <w:rsid w:val="00EC136C"/>
    <w:rsid w:val="00EC3CFB"/>
    <w:rsid w:val="00EC416B"/>
    <w:rsid w:val="00EC5709"/>
    <w:rsid w:val="00EC68AC"/>
    <w:rsid w:val="00EC7327"/>
    <w:rsid w:val="00ED307E"/>
    <w:rsid w:val="00EE2E9C"/>
    <w:rsid w:val="00EE4DFA"/>
    <w:rsid w:val="00EE526D"/>
    <w:rsid w:val="00EE6536"/>
    <w:rsid w:val="00EE6AFC"/>
    <w:rsid w:val="00EF4D33"/>
    <w:rsid w:val="00EF6A9A"/>
    <w:rsid w:val="00F0044E"/>
    <w:rsid w:val="00F00B17"/>
    <w:rsid w:val="00F02DA0"/>
    <w:rsid w:val="00F03016"/>
    <w:rsid w:val="00F110E4"/>
    <w:rsid w:val="00F123C8"/>
    <w:rsid w:val="00F13028"/>
    <w:rsid w:val="00F133A2"/>
    <w:rsid w:val="00F20638"/>
    <w:rsid w:val="00F233F4"/>
    <w:rsid w:val="00F30746"/>
    <w:rsid w:val="00F31E15"/>
    <w:rsid w:val="00F32408"/>
    <w:rsid w:val="00F32456"/>
    <w:rsid w:val="00F324BE"/>
    <w:rsid w:val="00F40C76"/>
    <w:rsid w:val="00F40D30"/>
    <w:rsid w:val="00F44335"/>
    <w:rsid w:val="00F45757"/>
    <w:rsid w:val="00F50B43"/>
    <w:rsid w:val="00F50CF2"/>
    <w:rsid w:val="00F512E2"/>
    <w:rsid w:val="00F53EDB"/>
    <w:rsid w:val="00F567E8"/>
    <w:rsid w:val="00F56A1F"/>
    <w:rsid w:val="00F57FDE"/>
    <w:rsid w:val="00F601DC"/>
    <w:rsid w:val="00F60ADC"/>
    <w:rsid w:val="00F63AB2"/>
    <w:rsid w:val="00F63F78"/>
    <w:rsid w:val="00F65211"/>
    <w:rsid w:val="00F66293"/>
    <w:rsid w:val="00F708C0"/>
    <w:rsid w:val="00F71D36"/>
    <w:rsid w:val="00F735AE"/>
    <w:rsid w:val="00F75E6D"/>
    <w:rsid w:val="00F76018"/>
    <w:rsid w:val="00F77B14"/>
    <w:rsid w:val="00F84ACD"/>
    <w:rsid w:val="00F9517C"/>
    <w:rsid w:val="00FA1745"/>
    <w:rsid w:val="00FA1ED0"/>
    <w:rsid w:val="00FA2997"/>
    <w:rsid w:val="00FA2C07"/>
    <w:rsid w:val="00FA3976"/>
    <w:rsid w:val="00FA53C2"/>
    <w:rsid w:val="00FA686D"/>
    <w:rsid w:val="00FA76CF"/>
    <w:rsid w:val="00FB0D99"/>
    <w:rsid w:val="00FB2F0E"/>
    <w:rsid w:val="00FB3E57"/>
    <w:rsid w:val="00FC0B7A"/>
    <w:rsid w:val="00FC10C1"/>
    <w:rsid w:val="00FC2A7B"/>
    <w:rsid w:val="00FC41AF"/>
    <w:rsid w:val="00FC466B"/>
    <w:rsid w:val="00FD0F93"/>
    <w:rsid w:val="00FD34EE"/>
    <w:rsid w:val="00FD51F3"/>
    <w:rsid w:val="00FD54FC"/>
    <w:rsid w:val="00FE06F9"/>
    <w:rsid w:val="00FE4963"/>
    <w:rsid w:val="00FE709B"/>
    <w:rsid w:val="00FF101C"/>
    <w:rsid w:val="00FF1FD0"/>
    <w:rsid w:val="00FF5374"/>
    <w:rsid w:val="00FF5618"/>
    <w:rsid w:val="00FF6C6D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700E12E-FDDC-473E-A695-6A12E61C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0A0"/>
    <w:rPr>
      <w:rFonts w:ascii="Calibri" w:hAnsi="Calibri" w:cs="Calibri"/>
      <w:sz w:val="24"/>
      <w:szCs w:val="24"/>
    </w:rPr>
  </w:style>
  <w:style w:type="paragraph" w:styleId="Nadpis1">
    <w:name w:val="heading 1"/>
    <w:basedOn w:val="Zkladntext"/>
    <w:next w:val="Zkladntext"/>
    <w:link w:val="Nadpis1Char"/>
    <w:uiPriority w:val="99"/>
    <w:qFormat/>
    <w:rsid w:val="000E20A0"/>
    <w:pPr>
      <w:keepNext/>
      <w:pageBreakBefore/>
      <w:numPr>
        <w:numId w:val="4"/>
      </w:numPr>
      <w:pBdr>
        <w:bottom w:val="single" w:sz="4" w:space="1" w:color="CA005D"/>
      </w:pBdr>
      <w:spacing w:before="0" w:after="360"/>
      <w:jc w:val="left"/>
      <w:outlineLvl w:val="0"/>
    </w:pPr>
    <w:rPr>
      <w:b/>
      <w:bCs/>
      <w:color w:val="8A003E"/>
      <w:kern w:val="32"/>
      <w:sz w:val="44"/>
      <w:szCs w:val="44"/>
    </w:rPr>
  </w:style>
  <w:style w:type="paragraph" w:styleId="Nadpis2">
    <w:name w:val="heading 2"/>
    <w:basedOn w:val="Nadpis1"/>
    <w:next w:val="Zkladntext"/>
    <w:link w:val="Nadpis2Char"/>
    <w:uiPriority w:val="99"/>
    <w:qFormat/>
    <w:rsid w:val="000E20A0"/>
    <w:pPr>
      <w:pageBreakBefore w:val="0"/>
      <w:numPr>
        <w:ilvl w:val="1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1"/>
    </w:pPr>
    <w:rPr>
      <w:sz w:val="36"/>
      <w:szCs w:val="36"/>
    </w:rPr>
  </w:style>
  <w:style w:type="paragraph" w:styleId="Nadpis3">
    <w:name w:val="heading 3"/>
    <w:basedOn w:val="Nadpis1"/>
    <w:next w:val="Zkladntext"/>
    <w:link w:val="Nadpis3Char"/>
    <w:uiPriority w:val="99"/>
    <w:qFormat/>
    <w:rsid w:val="000E20A0"/>
    <w:pPr>
      <w:pageBreakBefore w:val="0"/>
      <w:numPr>
        <w:ilvl w:val="2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2"/>
    </w:pPr>
    <w:rPr>
      <w:sz w:val="32"/>
      <w:szCs w:val="32"/>
    </w:rPr>
  </w:style>
  <w:style w:type="paragraph" w:styleId="Nadpis4">
    <w:name w:val="heading 4"/>
    <w:basedOn w:val="Zkladntext"/>
    <w:next w:val="Zkladntext"/>
    <w:link w:val="Nadpis4Char"/>
    <w:uiPriority w:val="99"/>
    <w:qFormat/>
    <w:rsid w:val="000E20A0"/>
    <w:pPr>
      <w:keepNext/>
      <w:spacing w:before="480"/>
      <w:jc w:val="left"/>
      <w:outlineLvl w:val="3"/>
    </w:pPr>
    <w:rPr>
      <w:b/>
      <w:bCs/>
      <w:color w:val="404040"/>
      <w:sz w:val="32"/>
      <w:szCs w:val="32"/>
    </w:rPr>
  </w:style>
  <w:style w:type="paragraph" w:styleId="Nadpis5">
    <w:name w:val="heading 5"/>
    <w:basedOn w:val="Zkladntext"/>
    <w:next w:val="Zkladntext"/>
    <w:link w:val="Nadpis5Char"/>
    <w:uiPriority w:val="99"/>
    <w:qFormat/>
    <w:rsid w:val="000E20A0"/>
    <w:pPr>
      <w:spacing w:before="480"/>
      <w:jc w:val="left"/>
      <w:outlineLvl w:val="4"/>
    </w:pPr>
    <w:rPr>
      <w:b/>
      <w:bCs/>
      <w:color w:val="404040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0E20A0"/>
    <w:pPr>
      <w:keepNext/>
      <w:keepLines/>
      <w:spacing w:before="200"/>
      <w:outlineLvl w:val="5"/>
    </w:pPr>
    <w:rPr>
      <w:rFonts w:ascii="Cambria" w:eastAsia="MS Gothic" w:hAnsi="Cambria" w:cs="Cambria"/>
      <w:i/>
      <w:iCs/>
      <w:color w:val="243F60"/>
      <w:sz w:val="20"/>
      <w:szCs w:val="20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0E20A0"/>
    <w:pPr>
      <w:keepNext/>
      <w:keepLines/>
      <w:spacing w:before="200"/>
      <w:outlineLvl w:val="6"/>
    </w:pPr>
    <w:rPr>
      <w:rFonts w:ascii="Cambria" w:eastAsia="MS Gothic" w:hAnsi="Cambria" w:cs="Cambria"/>
      <w:i/>
      <w:iCs/>
      <w:color w:val="404040"/>
      <w:sz w:val="20"/>
      <w:szCs w:val="20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0E20A0"/>
    <w:pPr>
      <w:keepNext/>
      <w:keepLines/>
      <w:spacing w:before="200"/>
      <w:outlineLvl w:val="7"/>
    </w:pPr>
    <w:rPr>
      <w:rFonts w:ascii="Cambria" w:eastAsia="MS Gothic" w:hAnsi="Cambria" w:cs="Cambria"/>
      <w:color w:val="404040"/>
      <w:sz w:val="20"/>
      <w:szCs w:val="20"/>
      <w:lang w:val="en-US" w:eastAsia="en-US"/>
    </w:rPr>
  </w:style>
  <w:style w:type="paragraph" w:styleId="Nadpis9">
    <w:name w:val="heading 9"/>
    <w:basedOn w:val="Normln"/>
    <w:next w:val="Zkladntext"/>
    <w:link w:val="Nadpis9Char"/>
    <w:uiPriority w:val="99"/>
    <w:qFormat/>
    <w:rsid w:val="000E20A0"/>
    <w:pPr>
      <w:keepNext/>
      <w:tabs>
        <w:tab w:val="num" w:pos="2160"/>
      </w:tabs>
      <w:spacing w:before="80" w:after="60"/>
      <w:outlineLvl w:val="8"/>
    </w:pPr>
    <w:rPr>
      <w:b/>
      <w:bCs/>
      <w:i/>
      <w:iCs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72B96"/>
    <w:rPr>
      <w:rFonts w:ascii="Calibri" w:hAnsi="Calibri" w:cs="Calibri"/>
      <w:b/>
      <w:bCs/>
      <w:color w:val="8A003E"/>
      <w:kern w:val="32"/>
      <w:sz w:val="44"/>
      <w:szCs w:val="44"/>
      <w:lang w:eastAsia="en-US"/>
    </w:rPr>
  </w:style>
  <w:style w:type="character" w:customStyle="1" w:styleId="Nadpis2Char">
    <w:name w:val="Nadpis 2 Char"/>
    <w:link w:val="Nadpis2"/>
    <w:uiPriority w:val="99"/>
    <w:locked/>
    <w:rsid w:val="00E72B96"/>
    <w:rPr>
      <w:rFonts w:ascii="Calibri" w:hAnsi="Calibri" w:cs="Calibri"/>
      <w:b/>
      <w:bCs/>
      <w:color w:val="8A003E"/>
      <w:kern w:val="32"/>
      <w:sz w:val="36"/>
      <w:szCs w:val="36"/>
      <w:lang w:eastAsia="en-US"/>
    </w:rPr>
  </w:style>
  <w:style w:type="character" w:customStyle="1" w:styleId="Nadpis3Char">
    <w:name w:val="Nadpis 3 Char"/>
    <w:link w:val="Nadpis3"/>
    <w:uiPriority w:val="99"/>
    <w:locked/>
    <w:rsid w:val="00E72B96"/>
    <w:rPr>
      <w:rFonts w:ascii="Calibri" w:hAnsi="Calibri" w:cs="Calibri"/>
      <w:b/>
      <w:bCs/>
      <w:color w:val="8A003E"/>
      <w:kern w:val="32"/>
      <w:sz w:val="32"/>
      <w:szCs w:val="32"/>
      <w:lang w:eastAsia="en-US"/>
    </w:rPr>
  </w:style>
  <w:style w:type="character" w:customStyle="1" w:styleId="Nadpis4Char">
    <w:name w:val="Nadpis 4 Char"/>
    <w:link w:val="Nadpis4"/>
    <w:uiPriority w:val="99"/>
    <w:locked/>
    <w:rsid w:val="000E20A0"/>
    <w:rPr>
      <w:rFonts w:ascii="Calibri" w:hAnsi="Calibri" w:cs="Calibri"/>
      <w:b/>
      <w:bCs/>
      <w:color w:val="404040"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locked/>
    <w:rsid w:val="000E20A0"/>
    <w:rPr>
      <w:rFonts w:ascii="Calibri" w:hAnsi="Calibri" w:cs="Calibri"/>
      <w:b/>
      <w:bCs/>
      <w:color w:val="404040"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0E20A0"/>
    <w:rPr>
      <w:rFonts w:ascii="Cambria" w:eastAsia="MS Gothic" w:hAnsi="Cambria" w:cs="Cambria"/>
      <w:i/>
      <w:iCs/>
      <w:color w:val="243F60"/>
      <w:lang w:val="en-US" w:eastAsia="en-US"/>
    </w:rPr>
  </w:style>
  <w:style w:type="character" w:customStyle="1" w:styleId="Nadpis7Char">
    <w:name w:val="Nadpis 7 Char"/>
    <w:link w:val="Nadpis7"/>
    <w:uiPriority w:val="99"/>
    <w:semiHidden/>
    <w:locked/>
    <w:rsid w:val="000E20A0"/>
    <w:rPr>
      <w:rFonts w:ascii="Cambria" w:eastAsia="MS Gothic" w:hAnsi="Cambria" w:cs="Cambria"/>
      <w:i/>
      <w:iCs/>
      <w:color w:val="404040"/>
      <w:lang w:val="en-US" w:eastAsia="en-US"/>
    </w:rPr>
  </w:style>
  <w:style w:type="character" w:customStyle="1" w:styleId="Nadpis8Char">
    <w:name w:val="Nadpis 8 Char"/>
    <w:link w:val="Nadpis8"/>
    <w:uiPriority w:val="99"/>
    <w:locked/>
    <w:rsid w:val="000E20A0"/>
    <w:rPr>
      <w:rFonts w:ascii="Cambria" w:eastAsia="MS Gothic" w:hAnsi="Cambria" w:cs="Cambria"/>
      <w:color w:val="404040"/>
      <w:lang w:val="en-US" w:eastAsia="en-US"/>
    </w:rPr>
  </w:style>
  <w:style w:type="character" w:customStyle="1" w:styleId="Nadpis9Char">
    <w:name w:val="Nadpis 9 Char"/>
    <w:link w:val="Nadpis9"/>
    <w:uiPriority w:val="99"/>
    <w:semiHidden/>
    <w:locked/>
    <w:rsid w:val="00E72B96"/>
    <w:rPr>
      <w:rFonts w:ascii="Cambria" w:hAnsi="Cambria" w:cs="Cambria"/>
    </w:rPr>
  </w:style>
  <w:style w:type="paragraph" w:styleId="Zpat">
    <w:name w:val="footer"/>
    <w:aliases w:val="Zápatí - text"/>
    <w:basedOn w:val="Zkladntext"/>
    <w:link w:val="ZpatChar"/>
    <w:rsid w:val="000E20A0"/>
    <w:pPr>
      <w:pBdr>
        <w:top w:val="single" w:sz="4" w:space="1" w:color="CA005D"/>
      </w:pBd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aliases w:val="Zápatí - text Char"/>
    <w:link w:val="Zpat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Zpat-nadpis">
    <w:name w:val="Zápatí - nadpis"/>
    <w:basedOn w:val="Zpat"/>
    <w:next w:val="Zpat"/>
    <w:uiPriority w:val="99"/>
    <w:rsid w:val="000E20A0"/>
    <w:pPr>
      <w:pBdr>
        <w:top w:val="none" w:sz="0" w:space="0" w:color="auto"/>
      </w:pBdr>
    </w:pPr>
    <w:rPr>
      <w:b/>
      <w:bCs/>
    </w:rPr>
  </w:style>
  <w:style w:type="paragraph" w:styleId="Zhlav">
    <w:name w:val="header"/>
    <w:basedOn w:val="Normln"/>
    <w:link w:val="ZhlavChar"/>
    <w:rsid w:val="000E20A0"/>
    <w:pPr>
      <w:tabs>
        <w:tab w:val="center" w:pos="4536"/>
        <w:tab w:val="right" w:pos="9072"/>
      </w:tabs>
    </w:pPr>
    <w:rPr>
      <w:color w:val="7A0037"/>
      <w:sz w:val="18"/>
      <w:szCs w:val="18"/>
    </w:rPr>
  </w:style>
  <w:style w:type="character" w:customStyle="1" w:styleId="ZhlavChar">
    <w:name w:val="Záhlaví Char"/>
    <w:link w:val="Zhlav"/>
    <w:locked/>
    <w:rsid w:val="000E20A0"/>
    <w:rPr>
      <w:rFonts w:ascii="Calibri" w:hAnsi="Calibri" w:cs="Calibri"/>
      <w:color w:val="7A0037"/>
      <w:sz w:val="24"/>
      <w:szCs w:val="24"/>
    </w:rPr>
  </w:style>
  <w:style w:type="table" w:styleId="Mkatabulky">
    <w:name w:val="Table Grid"/>
    <w:basedOn w:val="Normlntabulka"/>
    <w:uiPriority w:val="99"/>
    <w:rsid w:val="000E20A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0E20A0"/>
    <w:pPr>
      <w:spacing w:before="120" w:after="120"/>
      <w:jc w:val="both"/>
    </w:pPr>
    <w:rPr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Nadpistitulnstrana">
    <w:name w:val="Nadpis titulní strana"/>
    <w:basedOn w:val="Zkladntext"/>
    <w:next w:val="Zkladntext"/>
    <w:uiPriority w:val="99"/>
    <w:rsid w:val="000E20A0"/>
    <w:pPr>
      <w:spacing w:before="1680" w:after="240"/>
      <w:jc w:val="center"/>
    </w:pPr>
    <w:rPr>
      <w:b/>
      <w:bCs/>
      <w:color w:val="CA005D"/>
      <w:sz w:val="64"/>
      <w:szCs w:val="64"/>
    </w:rPr>
  </w:style>
  <w:style w:type="paragraph" w:customStyle="1" w:styleId="Autortitulnstrana">
    <w:name w:val="Autor titulní strana"/>
    <w:basedOn w:val="Zkladntext"/>
    <w:uiPriority w:val="99"/>
    <w:rsid w:val="000E20A0"/>
    <w:rPr>
      <w:i/>
      <w:iCs/>
      <w:color w:val="000000"/>
    </w:rPr>
  </w:style>
  <w:style w:type="paragraph" w:customStyle="1" w:styleId="Zvraznntextu">
    <w:name w:val="Zvýraznění textu"/>
    <w:basedOn w:val="Zkladntext"/>
    <w:link w:val="ZvraznntextuChar"/>
    <w:uiPriority w:val="99"/>
    <w:rsid w:val="000E20A0"/>
    <w:rPr>
      <w:b/>
      <w:bCs/>
      <w:color w:val="CA005D"/>
    </w:rPr>
  </w:style>
  <w:style w:type="character" w:customStyle="1" w:styleId="ZvraznntextuChar">
    <w:name w:val="Zvýraznění textu Char"/>
    <w:link w:val="Zvraznntextu"/>
    <w:uiPriority w:val="99"/>
    <w:locked/>
    <w:rsid w:val="000E20A0"/>
    <w:rPr>
      <w:rFonts w:ascii="Calibri" w:hAnsi="Calibri" w:cs="Calibri"/>
      <w:b/>
      <w:bCs/>
      <w:color w:val="CA005D"/>
      <w:sz w:val="22"/>
      <w:szCs w:val="22"/>
      <w:lang w:eastAsia="en-US"/>
    </w:rPr>
  </w:style>
  <w:style w:type="paragraph" w:customStyle="1" w:styleId="Tabulka-lichdek">
    <w:name w:val="Tabulka - lichý řádek"/>
    <w:basedOn w:val="Zkladntext"/>
    <w:uiPriority w:val="99"/>
    <w:rsid w:val="000E20A0"/>
    <w:pPr>
      <w:spacing w:after="0"/>
    </w:pPr>
    <w:rPr>
      <w:color w:val="CA005D"/>
    </w:rPr>
  </w:style>
  <w:style w:type="paragraph" w:customStyle="1" w:styleId="Tabulka-suddek">
    <w:name w:val="Tabulka - sudý řádek"/>
    <w:basedOn w:val="Zkladntext"/>
    <w:uiPriority w:val="99"/>
    <w:rsid w:val="000E20A0"/>
    <w:pPr>
      <w:spacing w:after="0"/>
    </w:pPr>
    <w:rPr>
      <w:color w:val="6A1A41"/>
    </w:rPr>
  </w:style>
  <w:style w:type="paragraph" w:customStyle="1" w:styleId="Tabulka-zhlav">
    <w:name w:val="Tabulka - záhlaví"/>
    <w:basedOn w:val="Zkladntext"/>
    <w:uiPriority w:val="99"/>
    <w:rsid w:val="000E20A0"/>
    <w:pPr>
      <w:spacing w:after="0"/>
    </w:pPr>
  </w:style>
  <w:style w:type="paragraph" w:customStyle="1" w:styleId="Tabulka-text">
    <w:name w:val="Tabulka - text"/>
    <w:basedOn w:val="Zkladntext"/>
    <w:uiPriority w:val="99"/>
    <w:rsid w:val="000E20A0"/>
    <w:pPr>
      <w:spacing w:before="60" w:after="60"/>
    </w:pPr>
    <w:rPr>
      <w:color w:val="000000"/>
    </w:rPr>
  </w:style>
  <w:style w:type="paragraph" w:customStyle="1" w:styleId="Odstavecsmlouvy">
    <w:name w:val="Odstavec smlouvy"/>
    <w:basedOn w:val="Zkladntext"/>
    <w:link w:val="OdstavecsmlouvyChar"/>
    <w:rsid w:val="000E20A0"/>
    <w:pPr>
      <w:numPr>
        <w:ilvl w:val="2"/>
        <w:numId w:val="1"/>
      </w:numPr>
      <w:outlineLvl w:val="1"/>
    </w:pPr>
    <w:rPr>
      <w:rFonts w:cs="Times New Roman"/>
      <w:sz w:val="20"/>
      <w:szCs w:val="20"/>
      <w:lang w:val="x-none"/>
    </w:rPr>
  </w:style>
  <w:style w:type="paragraph" w:customStyle="1" w:styleId="lneksmlouvy">
    <w:name w:val="Článek smlouvy"/>
    <w:basedOn w:val="Zkladntext"/>
    <w:next w:val="Odstavecsmlouvy"/>
    <w:rsid w:val="000E20A0"/>
    <w:pPr>
      <w:keepNext/>
      <w:numPr>
        <w:ilvl w:val="1"/>
        <w:numId w:val="1"/>
      </w:numPr>
      <w:pBdr>
        <w:bottom w:val="single" w:sz="4" w:space="1" w:color="CA005D"/>
      </w:pBdr>
      <w:tabs>
        <w:tab w:val="clear" w:pos="360"/>
        <w:tab w:val="num" w:pos="1440"/>
      </w:tabs>
      <w:spacing w:before="360" w:after="180"/>
      <w:ind w:left="720" w:hanging="720"/>
      <w:jc w:val="center"/>
      <w:outlineLvl w:val="1"/>
    </w:pPr>
    <w:rPr>
      <w:b/>
      <w:bCs/>
      <w:smallCaps/>
      <w:sz w:val="28"/>
      <w:szCs w:val="28"/>
    </w:rPr>
  </w:style>
  <w:style w:type="table" w:customStyle="1" w:styleId="TabulkaDERS">
    <w:name w:val="Tabulka DERS"/>
    <w:uiPriority w:val="99"/>
    <w:rsid w:val="000E20A0"/>
    <w:pPr>
      <w:keepNext/>
    </w:pPr>
    <w:rPr>
      <w:rFonts w:ascii="Calibri" w:hAnsi="Calibri" w:cs="Calibri"/>
      <w:sz w:val="26"/>
      <w:szCs w:val="26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semiHidden/>
    <w:rsid w:val="000E20A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E20A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72B96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E20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72B96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E20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0E20A0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Zkladntext"/>
    <w:uiPriority w:val="99"/>
    <w:rsid w:val="000E20A0"/>
    <w:pPr>
      <w:numPr>
        <w:numId w:val="5"/>
      </w:numPr>
      <w:tabs>
        <w:tab w:val="left" w:pos="1134"/>
      </w:tabs>
      <w:spacing w:before="60" w:after="60"/>
      <w:ind w:left="1020" w:hanging="340"/>
    </w:pPr>
  </w:style>
  <w:style w:type="paragraph" w:customStyle="1" w:styleId="Zakladnitextcislovany2">
    <w:name w:val="Zakladni_text_cislovany_2"/>
    <w:basedOn w:val="Zkladntext"/>
    <w:uiPriority w:val="99"/>
    <w:rsid w:val="000E20A0"/>
    <w:pPr>
      <w:numPr>
        <w:numId w:val="10"/>
      </w:numPr>
      <w:spacing w:before="40" w:after="40"/>
      <w:outlineLvl w:val="1"/>
    </w:pPr>
    <w:rPr>
      <w:rFonts w:ascii="Arial" w:hAnsi="Arial" w:cs="Arial"/>
      <w:sz w:val="20"/>
      <w:szCs w:val="20"/>
      <w:lang w:eastAsia="cs-CZ"/>
    </w:rPr>
  </w:style>
  <w:style w:type="character" w:customStyle="1" w:styleId="Zakladnitextcislovany2Char">
    <w:name w:val="Zakladni_text_cislovany_2 Char"/>
    <w:uiPriority w:val="99"/>
    <w:rsid w:val="000E20A0"/>
    <w:rPr>
      <w:rFonts w:ascii="Arial" w:hAnsi="Arial"/>
      <w:lang w:val="cs-CZ" w:eastAsia="cs-CZ"/>
    </w:rPr>
  </w:style>
  <w:style w:type="paragraph" w:customStyle="1" w:styleId="Zakladnitextnecislovany">
    <w:name w:val="Zakladni_text_necislovany"/>
    <w:basedOn w:val="Zakladnitextcislovany2"/>
    <w:autoRedefine/>
    <w:uiPriority w:val="99"/>
    <w:rsid w:val="000E20A0"/>
    <w:pPr>
      <w:numPr>
        <w:ilvl w:val="6"/>
        <w:numId w:val="6"/>
      </w:numPr>
      <w:tabs>
        <w:tab w:val="clear" w:pos="360"/>
        <w:tab w:val="num" w:pos="432"/>
        <w:tab w:val="num" w:pos="1985"/>
      </w:tabs>
      <w:ind w:left="1985" w:hanging="709"/>
    </w:pPr>
  </w:style>
  <w:style w:type="paragraph" w:customStyle="1" w:styleId="Zakladnitextodsazeny">
    <w:name w:val="Zakladni_text_odsazeny"/>
    <w:basedOn w:val="Zakladnitextnecislovany"/>
    <w:uiPriority w:val="99"/>
    <w:rsid w:val="000E20A0"/>
  </w:style>
  <w:style w:type="character" w:customStyle="1" w:styleId="OdstavecsmlouvyChar">
    <w:name w:val="Odstavec smlouvy Char"/>
    <w:link w:val="Odstavecsmlouvy"/>
    <w:locked/>
    <w:rsid w:val="000E20A0"/>
    <w:rPr>
      <w:rFonts w:ascii="Calibri" w:hAnsi="Calibri"/>
      <w:lang w:val="x-none" w:eastAsia="en-US"/>
    </w:rPr>
  </w:style>
  <w:style w:type="paragraph" w:customStyle="1" w:styleId="Rozvrendokumentu1">
    <w:name w:val="Rozvržení dokumentu1"/>
    <w:basedOn w:val="Normln"/>
    <w:uiPriority w:val="99"/>
    <w:semiHidden/>
    <w:rsid w:val="000E2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rsid w:val="000E20A0"/>
    <w:rPr>
      <w:rFonts w:cs="Times New Roman"/>
      <w:color w:val="0000FF"/>
      <w:u w:val="single"/>
    </w:rPr>
  </w:style>
  <w:style w:type="paragraph" w:customStyle="1" w:styleId="Tabulkanadpis">
    <w:name w:val="Tabulka_nadpis"/>
    <w:basedOn w:val="Zkladntext"/>
    <w:uiPriority w:val="99"/>
    <w:rsid w:val="000E20A0"/>
    <w:pPr>
      <w:shd w:val="clear" w:color="auto" w:fill="CCCCCC"/>
      <w:spacing w:after="0"/>
      <w:jc w:val="center"/>
    </w:pPr>
    <w:rPr>
      <w:rFonts w:ascii="Tahoma" w:hAnsi="Tahoma" w:cs="Tahoma"/>
      <w:b/>
      <w:bCs/>
      <w:smallCaps/>
      <w:sz w:val="18"/>
      <w:szCs w:val="18"/>
    </w:rPr>
  </w:style>
  <w:style w:type="paragraph" w:customStyle="1" w:styleId="Tabulkatext">
    <w:name w:val="Tabulka_text"/>
    <w:basedOn w:val="Zkladntext"/>
    <w:uiPriority w:val="99"/>
    <w:rsid w:val="000E20A0"/>
    <w:pPr>
      <w:spacing w:before="60" w:after="60"/>
      <w:ind w:left="57"/>
    </w:pPr>
    <w:rPr>
      <w:sz w:val="18"/>
      <w:szCs w:val="18"/>
    </w:rPr>
  </w:style>
  <w:style w:type="paragraph" w:customStyle="1" w:styleId="Legenda">
    <w:name w:val="Legenda"/>
    <w:basedOn w:val="Zkladntext"/>
    <w:next w:val="legendadaltext"/>
    <w:uiPriority w:val="99"/>
    <w:rsid w:val="000E20A0"/>
    <w:pPr>
      <w:numPr>
        <w:numId w:val="7"/>
      </w:numPr>
      <w:spacing w:before="60" w:after="60"/>
    </w:pPr>
    <w:rPr>
      <w:rFonts w:ascii="Tahoma" w:hAnsi="Tahoma" w:cs="Tahoma"/>
      <w:sz w:val="16"/>
      <w:szCs w:val="16"/>
    </w:rPr>
  </w:style>
  <w:style w:type="paragraph" w:customStyle="1" w:styleId="legendadaltext">
    <w:name w:val="legenda_další text"/>
    <w:basedOn w:val="Legenda"/>
    <w:uiPriority w:val="99"/>
    <w:rsid w:val="000E20A0"/>
    <w:pPr>
      <w:numPr>
        <w:numId w:val="0"/>
      </w:numPr>
      <w:ind w:left="851"/>
    </w:pPr>
  </w:style>
  <w:style w:type="table" w:customStyle="1" w:styleId="DERS">
    <w:name w:val="DERS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upnadpis">
    <w:name w:val="Postup_nadpis"/>
    <w:basedOn w:val="Normln"/>
    <w:next w:val="slovanseznam"/>
    <w:uiPriority w:val="99"/>
    <w:rsid w:val="000E20A0"/>
    <w:pPr>
      <w:numPr>
        <w:numId w:val="8"/>
      </w:numPr>
      <w:shd w:val="clear" w:color="auto" w:fill="595959"/>
      <w:spacing w:before="120" w:after="120"/>
      <w:jc w:val="both"/>
    </w:pPr>
    <w:rPr>
      <w:rFonts w:ascii="Tahoma" w:hAnsi="Tahoma" w:cs="Tahoma"/>
      <w:b/>
      <w:bCs/>
      <w:sz w:val="20"/>
      <w:szCs w:val="20"/>
      <w:lang w:eastAsia="en-US"/>
    </w:rPr>
  </w:style>
  <w:style w:type="paragraph" w:customStyle="1" w:styleId="Nadpispriloh">
    <w:name w:val="Nadpis_priloh"/>
    <w:basedOn w:val="Nadpis1"/>
    <w:next w:val="Nadpis5"/>
    <w:uiPriority w:val="99"/>
    <w:rsid w:val="000E20A0"/>
    <w:pPr>
      <w:numPr>
        <w:numId w:val="0"/>
      </w:numPr>
      <w:pBdr>
        <w:top w:val="single" w:sz="4" w:space="1" w:color="808080"/>
        <w:bottom w:val="single" w:sz="4" w:space="1" w:color="808080"/>
      </w:pBdr>
      <w:tabs>
        <w:tab w:val="num" w:pos="432"/>
        <w:tab w:val="left" w:pos="3402"/>
      </w:tabs>
      <w:spacing w:before="240" w:after="120"/>
      <w:ind w:left="432" w:hanging="432"/>
    </w:pPr>
    <w:rPr>
      <w:rFonts w:ascii="Tahoma" w:hAnsi="Tahoma" w:cs="Tahoma"/>
      <w:smallCaps/>
      <w:color w:val="auto"/>
      <w:kern w:val="0"/>
      <w:sz w:val="28"/>
      <w:szCs w:val="28"/>
    </w:rPr>
  </w:style>
  <w:style w:type="paragraph" w:customStyle="1" w:styleId="Podnadpispriloh">
    <w:name w:val="Podnadpis_priloh"/>
    <w:basedOn w:val="Nadpis5"/>
    <w:next w:val="Zkladntext"/>
    <w:uiPriority w:val="99"/>
    <w:rsid w:val="000E20A0"/>
    <w:pPr>
      <w:keepNext/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i/>
      <w:iCs/>
      <w:smallCaps/>
      <w:sz w:val="24"/>
      <w:szCs w:val="24"/>
    </w:rPr>
  </w:style>
  <w:style w:type="paragraph" w:customStyle="1" w:styleId="StylNadpis411b">
    <w:name w:val="Styl Nadpis 4 + 11 b."/>
    <w:basedOn w:val="Nadpis4"/>
    <w:uiPriority w:val="99"/>
    <w:rsid w:val="000E20A0"/>
    <w:pPr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smallCaps/>
      <w:sz w:val="22"/>
      <w:szCs w:val="22"/>
    </w:rPr>
  </w:style>
  <w:style w:type="paragraph" w:styleId="slovanseznam">
    <w:name w:val="List Number"/>
    <w:basedOn w:val="Zkladntext"/>
    <w:uiPriority w:val="99"/>
    <w:rsid w:val="000E20A0"/>
    <w:pPr>
      <w:numPr>
        <w:numId w:val="14"/>
      </w:numPr>
      <w:spacing w:before="60"/>
      <w:outlineLvl w:val="5"/>
    </w:pPr>
  </w:style>
  <w:style w:type="paragraph" w:styleId="Odstavecseseznamem">
    <w:name w:val="List Paragraph"/>
    <w:basedOn w:val="Normln"/>
    <w:uiPriority w:val="99"/>
    <w:qFormat/>
    <w:rsid w:val="000E20A0"/>
    <w:pPr>
      <w:ind w:left="708"/>
    </w:pPr>
  </w:style>
  <w:style w:type="paragraph" w:customStyle="1" w:styleId="Nadpissmlouvy">
    <w:name w:val="Nadpis smlouvy"/>
    <w:basedOn w:val="Zkladntext"/>
    <w:next w:val="Odstavecsmlouvy"/>
    <w:qFormat/>
    <w:rsid w:val="00E42409"/>
    <w:pPr>
      <w:pBdr>
        <w:bottom w:val="single" w:sz="4" w:space="1" w:color="CA005D"/>
      </w:pBdr>
      <w:spacing w:before="0" w:after="240"/>
      <w:jc w:val="center"/>
    </w:pPr>
    <w:rPr>
      <w:b/>
      <w:bCs/>
      <w:noProof/>
      <w:sz w:val="40"/>
      <w:szCs w:val="40"/>
    </w:rPr>
  </w:style>
  <w:style w:type="paragraph" w:customStyle="1" w:styleId="Odrazkysmlouva">
    <w:name w:val="Odrazky_smlouva"/>
    <w:basedOn w:val="Zkladntext"/>
    <w:qFormat/>
    <w:rsid w:val="000E20A0"/>
    <w:pPr>
      <w:numPr>
        <w:ilvl w:val="3"/>
        <w:numId w:val="1"/>
      </w:numPr>
      <w:tabs>
        <w:tab w:val="left" w:pos="1418"/>
      </w:tabs>
      <w:spacing w:before="40" w:after="40"/>
      <w:outlineLvl w:val="3"/>
    </w:pPr>
    <w:rPr>
      <w:sz w:val="18"/>
      <w:szCs w:val="18"/>
    </w:rPr>
  </w:style>
  <w:style w:type="character" w:customStyle="1" w:styleId="OdstavecsmlouvyCharChar">
    <w:name w:val="Odstavec smlouvy Char Char"/>
    <w:uiPriority w:val="99"/>
    <w:locked/>
    <w:rsid w:val="000E20A0"/>
    <w:rPr>
      <w:rFonts w:ascii="Calibri" w:hAnsi="Calibri" w:cs="Calibri"/>
      <w:sz w:val="24"/>
      <w:szCs w:val="24"/>
      <w:lang w:val="cs-CZ" w:eastAsia="en-US"/>
    </w:rPr>
  </w:style>
  <w:style w:type="paragraph" w:customStyle="1" w:styleId="Smlouvazkladntext">
    <w:name w:val="Smlouva základní text"/>
    <w:basedOn w:val="Zkladntext3"/>
    <w:rsid w:val="000E20A0"/>
    <w:pPr>
      <w:spacing w:before="20" w:after="20"/>
    </w:pPr>
    <w:rPr>
      <w:sz w:val="18"/>
      <w:szCs w:val="18"/>
    </w:rPr>
  </w:style>
  <w:style w:type="paragraph" w:styleId="Zkladntext3">
    <w:name w:val="Body Text 3"/>
    <w:basedOn w:val="Normln"/>
    <w:link w:val="Zkladntext3Char"/>
    <w:uiPriority w:val="99"/>
    <w:rsid w:val="000E20A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0E20A0"/>
    <w:rPr>
      <w:rFonts w:ascii="Calibri" w:hAnsi="Calibri" w:cs="Calibri"/>
      <w:sz w:val="16"/>
      <w:szCs w:val="16"/>
    </w:rPr>
  </w:style>
  <w:style w:type="table" w:customStyle="1" w:styleId="tabulkaDERS0">
    <w:name w:val="tabulka_DERS_0"/>
    <w:uiPriority w:val="99"/>
    <w:rsid w:val="000E20A0"/>
    <w:rPr>
      <w:rFonts w:ascii="Calibri" w:hAnsi="Calibri" w:cs="Calibri"/>
    </w:rPr>
    <w:tblPr>
      <w:jc w:val="center"/>
      <w:tblBorders>
        <w:top w:val="single" w:sz="2" w:space="0" w:color="CA005D"/>
        <w:left w:val="single" w:sz="2" w:space="0" w:color="CA005D"/>
        <w:bottom w:val="single" w:sz="2" w:space="0" w:color="CA005D"/>
        <w:right w:val="single" w:sz="2" w:space="0" w:color="CA005D"/>
        <w:insideH w:val="single" w:sz="2" w:space="0" w:color="CA005D"/>
        <w:insideV w:val="single" w:sz="2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rPr>
      <w:jc w:val="center"/>
    </w:trPr>
  </w:style>
  <w:style w:type="table" w:customStyle="1" w:styleId="TabulkaDERS4">
    <w:name w:val="Tabulka_DERS_4"/>
    <w:basedOn w:val="tabulkaDERS0"/>
    <w:uiPriority w:val="99"/>
    <w:rsid w:val="000E20A0"/>
    <w:tblPr>
      <w:tblBorders>
        <w:top w:val="single" w:sz="4" w:space="0" w:color="8A003E"/>
        <w:left w:val="single" w:sz="4" w:space="0" w:color="8A003E"/>
        <w:bottom w:val="single" w:sz="4" w:space="0" w:color="8A003E"/>
        <w:right w:val="single" w:sz="4" w:space="0" w:color="8A003E"/>
        <w:insideH w:val="single" w:sz="4" w:space="0" w:color="8A003E"/>
        <w:insideV w:val="single" w:sz="4" w:space="0" w:color="8A003E"/>
      </w:tblBorders>
    </w:tblPr>
    <w:tblStylePr w:type="firstRow">
      <w:pPr>
        <w:jc w:val="center"/>
      </w:pPr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double" w:sz="4" w:space="0" w:color="740034"/>
          <w:right w:val="single" w:sz="4" w:space="0" w:color="8A003E"/>
          <w:insideH w:val="single" w:sz="4" w:space="0" w:color="8A003E"/>
          <w:insideV w:val="single" w:sz="4" w:space="0" w:color="8A003E"/>
          <w:tl2br w:val="nil"/>
          <w:tr2bl w:val="nil"/>
        </w:tcBorders>
        <w:shd w:val="clear" w:color="auto" w:fill="auto"/>
      </w:tcPr>
    </w:tblStylePr>
    <w:tblStylePr w:type="firstCol"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single" w:sz="4" w:space="0" w:color="8A003E"/>
          <w:right w:val="double" w:sz="4" w:space="0" w:color="740034"/>
          <w:insideH w:val="nil"/>
          <w:insideV w:val="nil"/>
        </w:tcBorders>
        <w:shd w:val="clear" w:color="auto" w:fill="auto"/>
      </w:tcPr>
    </w:tblStylePr>
  </w:style>
  <w:style w:type="table" w:customStyle="1" w:styleId="tabulkaDERS5">
    <w:name w:val="tabulka_DERS_5"/>
    <w:uiPriority w:val="99"/>
    <w:rsid w:val="000E20A0"/>
    <w:pPr>
      <w:jc w:val="center"/>
    </w:pPr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E4E4E4"/>
    </w:tcPr>
  </w:style>
  <w:style w:type="paragraph" w:styleId="Seznamsodrkami">
    <w:name w:val="List Bullet"/>
    <w:basedOn w:val="Zkladntext"/>
    <w:uiPriority w:val="99"/>
    <w:rsid w:val="000E20A0"/>
    <w:pPr>
      <w:numPr>
        <w:numId w:val="2"/>
      </w:numPr>
      <w:tabs>
        <w:tab w:val="clear" w:pos="360"/>
        <w:tab w:val="num" w:pos="432"/>
      </w:tabs>
      <w:spacing w:after="200"/>
    </w:pPr>
  </w:style>
  <w:style w:type="table" w:customStyle="1" w:styleId="tabulkaDERS3">
    <w:name w:val="tabulka_DERS_3"/>
    <w:uiPriority w:val="99"/>
    <w:rsid w:val="000E20A0"/>
    <w:pPr>
      <w:keepNext/>
      <w:jc w:val="center"/>
    </w:pPr>
    <w:rPr>
      <w:rFonts w:ascii="Calibri" w:hAnsi="Calibri" w:cs="Calibri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85" w:type="dxa"/>
        <w:left w:w="108" w:type="dxa"/>
        <w:bottom w:w="85" w:type="dxa"/>
        <w:right w:w="108" w:type="dxa"/>
      </w:tblCellMar>
    </w:tblPr>
    <w:trPr>
      <w:cantSplit/>
    </w:trPr>
  </w:style>
  <w:style w:type="paragraph" w:styleId="Seznamsodrkami2">
    <w:name w:val="List Bullet 2"/>
    <w:basedOn w:val="Zkladntext"/>
    <w:uiPriority w:val="99"/>
    <w:rsid w:val="000E20A0"/>
    <w:pPr>
      <w:numPr>
        <w:numId w:val="3"/>
      </w:numPr>
      <w:tabs>
        <w:tab w:val="num" w:pos="907"/>
      </w:tabs>
      <w:spacing w:before="60"/>
      <w:ind w:left="644"/>
    </w:pPr>
    <w:rPr>
      <w:sz w:val="20"/>
      <w:szCs w:val="20"/>
      <w:lang w:val="en-US"/>
    </w:rPr>
  </w:style>
  <w:style w:type="paragraph" w:customStyle="1" w:styleId="Tabulkanadpis0">
    <w:name w:val="Tabulka nadpis"/>
    <w:basedOn w:val="Zkladntext"/>
    <w:qFormat/>
    <w:rsid w:val="000E20A0"/>
    <w:pPr>
      <w:spacing w:before="0" w:after="0"/>
    </w:pPr>
    <w:rPr>
      <w:b/>
      <w:bCs/>
      <w:sz w:val="20"/>
      <w:szCs w:val="20"/>
      <w:lang w:val="en-US"/>
    </w:rPr>
  </w:style>
  <w:style w:type="paragraph" w:customStyle="1" w:styleId="Tabulkatext0">
    <w:name w:val="Tabulka text"/>
    <w:basedOn w:val="Normln"/>
    <w:qFormat/>
    <w:rsid w:val="000E20A0"/>
    <w:rPr>
      <w:sz w:val="20"/>
      <w:szCs w:val="20"/>
      <w:lang w:eastAsia="en-US"/>
    </w:rPr>
  </w:style>
  <w:style w:type="paragraph" w:styleId="Titulek">
    <w:name w:val="caption"/>
    <w:basedOn w:val="Normln"/>
    <w:next w:val="Zkladntext"/>
    <w:uiPriority w:val="99"/>
    <w:qFormat/>
    <w:rsid w:val="000E20A0"/>
    <w:pPr>
      <w:pBdr>
        <w:top w:val="single" w:sz="4" w:space="3" w:color="CA005D"/>
      </w:pBdr>
      <w:spacing w:after="200"/>
    </w:pPr>
    <w:rPr>
      <w:b/>
      <w:bCs/>
      <w:color w:val="7F7F7F"/>
      <w:sz w:val="16"/>
      <w:szCs w:val="16"/>
      <w:lang w:val="en-US" w:eastAsia="en-US"/>
    </w:rPr>
  </w:style>
  <w:style w:type="paragraph" w:customStyle="1" w:styleId="Dopiszkladntext">
    <w:name w:val="Dopis základní text"/>
    <w:basedOn w:val="Zkladntext"/>
    <w:uiPriority w:val="99"/>
    <w:rsid w:val="000E20A0"/>
    <w:pPr>
      <w:spacing w:before="240" w:after="240" w:line="288" w:lineRule="auto"/>
    </w:pPr>
  </w:style>
  <w:style w:type="paragraph" w:styleId="Podtitul">
    <w:name w:val="Subtitle"/>
    <w:basedOn w:val="Zkladntext"/>
    <w:next w:val="Zkladntext"/>
    <w:link w:val="PodtitulChar"/>
    <w:uiPriority w:val="99"/>
    <w:qFormat/>
    <w:rsid w:val="000E20A0"/>
    <w:pPr>
      <w:numPr>
        <w:ilvl w:val="1"/>
      </w:numPr>
      <w:spacing w:before="1200" w:after="360"/>
      <w:jc w:val="center"/>
    </w:pPr>
    <w:rPr>
      <w:rFonts w:eastAsia="MS Gothic"/>
      <w:b/>
      <w:bCs/>
      <w:color w:val="595959"/>
      <w:sz w:val="44"/>
      <w:szCs w:val="44"/>
    </w:rPr>
  </w:style>
  <w:style w:type="character" w:customStyle="1" w:styleId="PodtitulChar">
    <w:name w:val="Podtitul Char"/>
    <w:link w:val="Podtitul"/>
    <w:uiPriority w:val="99"/>
    <w:locked/>
    <w:rsid w:val="000E20A0"/>
    <w:rPr>
      <w:rFonts w:ascii="Calibri" w:eastAsia="MS Gothic" w:hAnsi="Calibri" w:cs="Calibri"/>
      <w:b/>
      <w:bCs/>
      <w:color w:val="595959"/>
      <w:sz w:val="22"/>
      <w:szCs w:val="22"/>
      <w:lang w:eastAsia="en-US"/>
    </w:rPr>
  </w:style>
  <w:style w:type="paragraph" w:styleId="slovanseznam2">
    <w:name w:val="List Number 2"/>
    <w:basedOn w:val="Zkladntext"/>
    <w:uiPriority w:val="99"/>
    <w:rsid w:val="000E20A0"/>
    <w:pPr>
      <w:numPr>
        <w:numId w:val="13"/>
      </w:numPr>
      <w:spacing w:before="60"/>
      <w:ind w:left="681"/>
      <w:outlineLvl w:val="6"/>
    </w:pPr>
    <w:rPr>
      <w:sz w:val="20"/>
      <w:szCs w:val="20"/>
    </w:rPr>
  </w:style>
  <w:style w:type="table" w:customStyle="1" w:styleId="TabulkaDERS1">
    <w:name w:val="Tabulka_DERS_1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lkaDERS2">
    <w:name w:val="Tabulka_DERS_2"/>
    <w:basedOn w:val="TabulkaDERS1"/>
    <w:uiPriority w:val="99"/>
    <w:rsid w:val="000E20A0"/>
    <w:tblPr/>
    <w:tblStylePr w:type="firstRow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  <w:tblStylePr w:type="firstCol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</w:style>
  <w:style w:type="paragraph" w:customStyle="1" w:styleId="StylTabulkatext9b">
    <w:name w:val="Styl Tabulka text + 9 b."/>
    <w:basedOn w:val="Tabulkatext0"/>
    <w:uiPriority w:val="99"/>
    <w:rsid w:val="000E20A0"/>
    <w:rPr>
      <w:sz w:val="18"/>
      <w:szCs w:val="18"/>
    </w:rPr>
  </w:style>
  <w:style w:type="paragraph" w:styleId="Revize">
    <w:name w:val="Revision"/>
    <w:hidden/>
    <w:uiPriority w:val="99"/>
    <w:semiHidden/>
    <w:rsid w:val="000E20A0"/>
    <w:rPr>
      <w:rFonts w:ascii="Calibri" w:hAnsi="Calibri" w:cs="Calibri"/>
      <w:sz w:val="24"/>
      <w:szCs w:val="24"/>
    </w:rPr>
  </w:style>
  <w:style w:type="numbering" w:customStyle="1" w:styleId="Vcerovovseznamproslovn2">
    <w:name w:val="Víceúrovňový seznam pro číslování 2"/>
    <w:rsid w:val="00B67413"/>
    <w:pPr>
      <w:numPr>
        <w:numId w:val="13"/>
      </w:numPr>
    </w:pPr>
  </w:style>
  <w:style w:type="numbering" w:customStyle="1" w:styleId="slovntrojrovov">
    <w:name w:val="Číslování trojúrovňové"/>
    <w:rsid w:val="00B67413"/>
    <w:pPr>
      <w:numPr>
        <w:numId w:val="12"/>
      </w:numPr>
    </w:pPr>
  </w:style>
  <w:style w:type="numbering" w:customStyle="1" w:styleId="slovantrojrovovseznam">
    <w:name w:val="Číslovaný trojúrovňový seznam"/>
    <w:rsid w:val="00B67413"/>
    <w:pPr>
      <w:numPr>
        <w:numId w:val="11"/>
      </w:numPr>
    </w:pPr>
  </w:style>
  <w:style w:type="table" w:customStyle="1" w:styleId="DERS1">
    <w:name w:val="DERS1"/>
    <w:basedOn w:val="Normlntabulka"/>
    <w:rsid w:val="006934F8"/>
    <w:rPr>
      <w:rFonts w:ascii="Calibri" w:hAnsi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</w:tblPr>
    <w:tblStylePr w:type="firstRow">
      <w:rPr>
        <w:rFonts w:ascii="Calibri Light" w:hAnsi="Calibri Light"/>
        <w:b/>
        <w:color w:val="920042"/>
      </w:rPr>
      <w:tblPr/>
      <w:tcPr>
        <w:shd w:val="clear" w:color="auto" w:fill="D9D9D9"/>
      </w:tcPr>
    </w:tblStylePr>
  </w:style>
  <w:style w:type="character" w:styleId="slostrnky">
    <w:name w:val="page number"/>
    <w:locked/>
    <w:rsid w:val="00E91396"/>
    <w:rPr>
      <w:rFonts w:ascii="Arial" w:hAnsi="Arial"/>
      <w:b/>
      <w:color w:val="000000"/>
      <w:sz w:val="20"/>
    </w:rPr>
  </w:style>
  <w:style w:type="numbering" w:customStyle="1" w:styleId="WWNum8">
    <w:name w:val="WWNum8"/>
    <w:basedOn w:val="Bezseznamu"/>
    <w:rsid w:val="00221AB4"/>
    <w:pPr>
      <w:numPr>
        <w:numId w:val="28"/>
      </w:numPr>
    </w:pPr>
  </w:style>
  <w:style w:type="paragraph" w:customStyle="1" w:styleId="Framecontents">
    <w:name w:val="Frame contents"/>
    <w:basedOn w:val="Normln"/>
    <w:rsid w:val="006A16BC"/>
    <w:pPr>
      <w:suppressAutoHyphens/>
      <w:autoSpaceDN w:val="0"/>
      <w:spacing w:after="180"/>
      <w:textAlignment w:val="baseline"/>
    </w:pPr>
    <w:rPr>
      <w:rFonts w:cs="Times New Roman"/>
      <w:kern w:val="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8C91BBD7-78F3-46D5-A6DF-C9B1BFC1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911969FE</Template>
  <TotalTime>90</TotalTime>
  <Pages>13</Pages>
  <Words>4915</Words>
  <Characters>29885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titulní strana (alt+N)</vt:lpstr>
    </vt:vector>
  </TitlesOfParts>
  <Company>DERS s.r.o.</Company>
  <LinksUpToDate>false</LinksUpToDate>
  <CharactersWithSpaces>34731</CharactersWithSpaces>
  <SharedDoc>false</SharedDoc>
  <HLinks>
    <vt:vector size="24" baseType="variant">
      <vt:variant>
        <vt:i4>5439495</vt:i4>
      </vt:variant>
      <vt:variant>
        <vt:i4>45</vt:i4>
      </vt:variant>
      <vt:variant>
        <vt:i4>0</vt:i4>
      </vt:variant>
      <vt:variant>
        <vt:i4>5</vt:i4>
      </vt:variant>
      <vt:variant>
        <vt:lpwstr>https://wiki.ders.cz/</vt:lpwstr>
      </vt:variant>
      <vt:variant>
        <vt:lpwstr/>
      </vt:variant>
      <vt:variant>
        <vt:i4>262153</vt:i4>
      </vt:variant>
      <vt:variant>
        <vt:i4>42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5570663</vt:i4>
      </vt:variant>
      <vt:variant>
        <vt:i4>27</vt:i4>
      </vt:variant>
      <vt:variant>
        <vt:i4>0</vt:i4>
      </vt:variant>
      <vt:variant>
        <vt:i4>5</vt:i4>
      </vt:variant>
      <vt:variant>
        <vt:lpwstr>mailto:klement.stastny@ff.cuni.cz</vt:lpwstr>
      </vt:variant>
      <vt:variant>
        <vt:lpwstr/>
      </vt:variant>
      <vt:variant>
        <vt:i4>196660</vt:i4>
      </vt:variant>
      <vt:variant>
        <vt:i4>24</vt:i4>
      </vt:variant>
      <vt:variant>
        <vt:i4>0</vt:i4>
      </vt:variant>
      <vt:variant>
        <vt:i4>5</vt:i4>
      </vt:variant>
      <vt:variant>
        <vt:lpwstr>mailto:miroslav.vacura@ff.cuni.cz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titulní strana (alt+N)</dc:title>
  <dc:subject/>
  <dc:creator>Pavla Verflová</dc:creator>
  <cp:keywords/>
  <cp:lastModifiedBy>Konečná, Tereza</cp:lastModifiedBy>
  <cp:revision>8</cp:revision>
  <cp:lastPrinted>2014-01-03T06:49:00Z</cp:lastPrinted>
  <dcterms:created xsi:type="dcterms:W3CDTF">2015-11-28T17:27:00Z</dcterms:created>
  <dcterms:modified xsi:type="dcterms:W3CDTF">2017-01-16T12:43:00Z</dcterms:modified>
</cp:coreProperties>
</file>