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B" w:rsidRPr="003D4CF3" w:rsidRDefault="008C1BDB" w:rsidP="008C1BDB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3D4CF3">
        <w:rPr>
          <w:rFonts w:ascii="Times New Roman" w:hAnsi="Times New Roman" w:cs="Times New Roman"/>
          <w:b/>
          <w:szCs w:val="18"/>
        </w:rPr>
        <w:t>Příloha č. 3</w:t>
      </w:r>
    </w:p>
    <w:p w:rsidR="008C1BDB" w:rsidRPr="003D4CF3" w:rsidRDefault="008C1BDB" w:rsidP="008C1BDB">
      <w:pPr>
        <w:spacing w:after="0" w:line="240" w:lineRule="auto"/>
        <w:jc w:val="center"/>
        <w:rPr>
          <w:rFonts w:ascii="Times New Roman" w:hAnsi="Times New Roman" w:cs="Times New Roman"/>
          <w:b/>
          <w:szCs w:val="18"/>
        </w:rPr>
      </w:pPr>
      <w:r w:rsidRPr="003D4CF3">
        <w:rPr>
          <w:rFonts w:ascii="Times New Roman" w:hAnsi="Times New Roman" w:cs="Times New Roman"/>
          <w:b/>
          <w:szCs w:val="18"/>
        </w:rPr>
        <w:t>Všeobecné obchodní podmínky</w:t>
      </w:r>
    </w:p>
    <w:p w:rsidR="008C1BDB" w:rsidRPr="003D4CF3" w:rsidRDefault="008C1BDB" w:rsidP="008C1BDB">
      <w:pPr>
        <w:spacing w:after="60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Úvodní ustanovení</w:t>
      </w:r>
    </w:p>
    <w:p w:rsidR="008C1BDB" w:rsidRPr="003D4CF3" w:rsidRDefault="008C1BDB" w:rsidP="008C1BDB">
      <w:pPr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Tyto všeobecné obchodní podmínky (dále jen „VOP“) upravují práva a povinnosti smluvních stran smlouvy uzavřené mezi společností </w:t>
      </w:r>
      <w:proofErr w:type="spellStart"/>
      <w:r w:rsidRPr="003D4CF3">
        <w:rPr>
          <w:rFonts w:ascii="Times New Roman" w:hAnsi="Times New Roman" w:cs="Times New Roman"/>
        </w:rPr>
        <w:t>Edenred</w:t>
      </w:r>
      <w:proofErr w:type="spellEnd"/>
      <w:r w:rsidRPr="003D4CF3">
        <w:rPr>
          <w:rFonts w:ascii="Times New Roman" w:hAnsi="Times New Roman" w:cs="Times New Roman"/>
        </w:rPr>
        <w:t xml:space="preserve"> CZ s.r.o., IČO: 247 45 391, se sídlem Praha 8, Pernerova 691/42, PSČ 186 00, která je zapsaná v obchodním rejstříku vedeném Městským soudem v Praze, </w:t>
      </w:r>
      <w:proofErr w:type="spellStart"/>
      <w:r w:rsidRPr="003D4CF3">
        <w:rPr>
          <w:rFonts w:ascii="Times New Roman" w:hAnsi="Times New Roman" w:cs="Times New Roman"/>
        </w:rPr>
        <w:t>sp</w:t>
      </w:r>
      <w:proofErr w:type="spellEnd"/>
      <w:r w:rsidRPr="003D4CF3">
        <w:rPr>
          <w:rFonts w:ascii="Times New Roman" w:hAnsi="Times New Roman" w:cs="Times New Roman"/>
        </w:rPr>
        <w:t>. zn. C 170804 (dále jen „</w:t>
      </w:r>
      <w:r>
        <w:rPr>
          <w:rFonts w:ascii="Times New Roman" w:hAnsi="Times New Roman" w:cs="Times New Roman"/>
        </w:rPr>
        <w:t>poskytovatel“</w:t>
      </w:r>
      <w:r w:rsidRPr="003D4CF3">
        <w:rPr>
          <w:rFonts w:ascii="Times New Roman" w:hAnsi="Times New Roman" w:cs="Times New Roman"/>
        </w:rPr>
        <w:t xml:space="preserve">) a </w:t>
      </w:r>
      <w:r>
        <w:rPr>
          <w:rFonts w:ascii="Times New Roman" w:hAnsi="Times New Roman" w:cs="Times New Roman"/>
        </w:rPr>
        <w:t xml:space="preserve">objednatelem </w:t>
      </w:r>
      <w:r w:rsidRPr="003D4CF3">
        <w:rPr>
          <w:rFonts w:ascii="Times New Roman" w:hAnsi="Times New Roman" w:cs="Times New Roman"/>
        </w:rPr>
        <w:t xml:space="preserve">(dále společně jako „smluvní strany“). VOP upravují práva a povinnosti smluvních stran, pokud smlouva nebo jiné ujednání smluvních stran nestanoví jinak. </w:t>
      </w:r>
    </w:p>
    <w:p w:rsidR="008C1BDB" w:rsidRPr="003D4CF3" w:rsidRDefault="008C1BDB" w:rsidP="008C1BDB">
      <w:pPr>
        <w:spacing w:after="60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Práva a povinnosti smluvních stran</w:t>
      </w:r>
    </w:p>
    <w:p w:rsidR="008C1BDB" w:rsidRPr="003D4CF3" w:rsidRDefault="008C1BDB" w:rsidP="008C1BDB">
      <w:pPr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Povinností </w:t>
      </w:r>
      <w:r>
        <w:rPr>
          <w:rFonts w:ascii="Times New Roman" w:hAnsi="Times New Roman" w:cs="Times New Roman"/>
        </w:rPr>
        <w:t xml:space="preserve">poskytovatele </w:t>
      </w:r>
      <w:r w:rsidRPr="003D4CF3">
        <w:rPr>
          <w:rFonts w:ascii="Times New Roman" w:hAnsi="Times New Roman" w:cs="Times New Roman"/>
        </w:rPr>
        <w:t xml:space="preserve">je dodávat </w:t>
      </w:r>
      <w:r>
        <w:rPr>
          <w:rFonts w:ascii="Times New Roman" w:hAnsi="Times New Roman" w:cs="Times New Roman"/>
        </w:rPr>
        <w:t>objednateli</w:t>
      </w:r>
      <w:r w:rsidRPr="003D4CF3">
        <w:rPr>
          <w:rFonts w:ascii="Times New Roman" w:hAnsi="Times New Roman" w:cs="Times New Roman"/>
        </w:rPr>
        <w:t xml:space="preserve"> na základě objednávky poukázky zabezpečené proti zfalšování, kdy poukázkou se rozumí poukázky </w:t>
      </w:r>
      <w:r>
        <w:rPr>
          <w:rFonts w:ascii="Times New Roman" w:hAnsi="Times New Roman" w:cs="Times New Roman"/>
        </w:rPr>
        <w:t>uvedené v části III. této smlouvy.</w:t>
      </w:r>
      <w:r w:rsidRPr="003D4CF3">
        <w:rPr>
          <w:rFonts w:ascii="Times New Roman" w:hAnsi="Times New Roman" w:cs="Times New Roman"/>
        </w:rPr>
        <w:t xml:space="preserve"> </w:t>
      </w:r>
    </w:p>
    <w:p w:rsidR="008C1BDB" w:rsidRPr="003D4CF3" w:rsidRDefault="008C1BDB" w:rsidP="008C1BDB">
      <w:pPr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Po dobu, kdy jsou v oběhu edice poukázek a karet s názvy </w:t>
      </w:r>
      <w:proofErr w:type="spellStart"/>
      <w:r w:rsidRPr="003D4CF3">
        <w:rPr>
          <w:rFonts w:ascii="Times New Roman" w:hAnsi="Times New Roman" w:cs="Times New Roman"/>
        </w:rPr>
        <w:t>Ticket</w:t>
      </w:r>
      <w:proofErr w:type="spellEnd"/>
      <w:r w:rsidRPr="003D4CF3">
        <w:rPr>
          <w:rFonts w:ascii="Times New Roman" w:hAnsi="Times New Roman" w:cs="Times New Roman"/>
        </w:rPr>
        <w:t xml:space="preserve">, se tyto VOP vztahují i na tyto produkty. </w:t>
      </w:r>
    </w:p>
    <w:p w:rsidR="008C1BDB" w:rsidRPr="003D4CF3" w:rsidRDefault="008C1BDB" w:rsidP="008C1BDB">
      <w:pPr>
        <w:spacing w:after="60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Objednávání a doručování poukázek</w:t>
      </w:r>
    </w:p>
    <w:p w:rsidR="008C1BDB" w:rsidRPr="003D4CF3" w:rsidRDefault="008C1BDB" w:rsidP="008C1B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</w:t>
      </w:r>
      <w:r w:rsidRPr="003D4CF3">
        <w:rPr>
          <w:rFonts w:ascii="Times New Roman" w:hAnsi="Times New Roman" w:cs="Times New Roman"/>
        </w:rPr>
        <w:t xml:space="preserve">dodává poukázky na základě objednávky </w:t>
      </w:r>
      <w:r>
        <w:rPr>
          <w:rFonts w:ascii="Times New Roman" w:hAnsi="Times New Roman" w:cs="Times New Roman"/>
        </w:rPr>
        <w:t>objednatele,</w:t>
      </w:r>
      <w:r w:rsidRPr="003D4CF3">
        <w:rPr>
          <w:rFonts w:ascii="Times New Roman" w:hAnsi="Times New Roman" w:cs="Times New Roman"/>
        </w:rPr>
        <w:t xml:space="preserve"> která musí být provedena zejména jedním z následujících způsobů:</w:t>
      </w:r>
    </w:p>
    <w:p w:rsidR="008C1BDB" w:rsidRPr="003D4CF3" w:rsidRDefault="008C1BDB" w:rsidP="008C1BD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osobně na pobočce </w:t>
      </w:r>
      <w:r>
        <w:rPr>
          <w:rFonts w:ascii="Times New Roman" w:hAnsi="Times New Roman" w:cs="Times New Roman"/>
        </w:rPr>
        <w:t>poskytovatele,</w:t>
      </w:r>
    </w:p>
    <w:p w:rsidR="008C1BDB" w:rsidRPr="003D4CF3" w:rsidRDefault="008C1BDB" w:rsidP="008C1BD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>na webových stránkách www.edenred.cz formou on-line formuláře</w:t>
      </w:r>
      <w:r>
        <w:rPr>
          <w:rFonts w:ascii="Times New Roman" w:hAnsi="Times New Roman" w:cs="Times New Roman"/>
        </w:rPr>
        <w:t>,</w:t>
      </w:r>
    </w:p>
    <w:p w:rsidR="008C1BDB" w:rsidRPr="003D4CF3" w:rsidRDefault="008C1BDB" w:rsidP="008C1BDB">
      <w:pPr>
        <w:pStyle w:val="Odstavecseseznamem"/>
        <w:numPr>
          <w:ilvl w:val="0"/>
          <w:numId w:val="1"/>
        </w:numPr>
        <w:spacing w:line="240" w:lineRule="auto"/>
        <w:jc w:val="both"/>
        <w:rPr>
          <w:rStyle w:val="Hypertextovodkaz"/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personalizovaná objednávka elektronickou poštou na adrese </w:t>
      </w:r>
      <w:proofErr w:type="spellStart"/>
      <w:r w:rsidR="00EF2A57" w:rsidRPr="00EF2A57">
        <w:rPr>
          <w:rFonts w:ascii="Times New Roman" w:hAnsi="Times New Roman" w:cs="Times New Roman"/>
        </w:rPr>
        <w:t>xxxxx</w:t>
      </w:r>
      <w:proofErr w:type="spellEnd"/>
    </w:p>
    <w:p w:rsidR="008C1BDB" w:rsidRPr="003D4CF3" w:rsidRDefault="008C1BDB" w:rsidP="008C1BD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v případě, že klient objedná poukázky před zaplacením předchozí objednávky a to za podmínky, že není v prodlení, je srozuměn s tím, že proces objednávky bude nestandardní (prostřednictvím zákaznického centra </w:t>
      </w:r>
      <w:r>
        <w:rPr>
          <w:rFonts w:ascii="Times New Roman" w:hAnsi="Times New Roman" w:cs="Times New Roman"/>
        </w:rPr>
        <w:t>poskytovatele</w:t>
      </w:r>
      <w:r w:rsidRPr="003D4CF3">
        <w:rPr>
          <w:rFonts w:ascii="Times New Roman" w:hAnsi="Times New Roman" w:cs="Times New Roman"/>
        </w:rPr>
        <w:t xml:space="preserve"> na tel. čísle: </w:t>
      </w:r>
      <w:proofErr w:type="spellStart"/>
      <w:r w:rsidR="00EF2A57">
        <w:rPr>
          <w:rFonts w:ascii="Times New Roman" w:hAnsi="Times New Roman" w:cs="Times New Roman"/>
        </w:rPr>
        <w:t>xxxxx</w:t>
      </w:r>
      <w:proofErr w:type="spellEnd"/>
      <w:r w:rsidRPr="003D4CF3">
        <w:rPr>
          <w:rFonts w:ascii="Times New Roman" w:hAnsi="Times New Roman" w:cs="Times New Roman"/>
        </w:rPr>
        <w:t xml:space="preserve">) a umožnění objednávky je závislé na posouzení </w:t>
      </w:r>
      <w:r>
        <w:rPr>
          <w:rFonts w:ascii="Times New Roman" w:hAnsi="Times New Roman" w:cs="Times New Roman"/>
        </w:rPr>
        <w:t>poskytovatele</w:t>
      </w:r>
      <w:r w:rsidRPr="003D4CF3">
        <w:rPr>
          <w:rFonts w:ascii="Times New Roman" w:hAnsi="Times New Roman" w:cs="Times New Roman"/>
        </w:rPr>
        <w:t xml:space="preserve">. </w:t>
      </w:r>
    </w:p>
    <w:p w:rsidR="008C1BDB" w:rsidRPr="003D4CF3" w:rsidRDefault="008C1BDB" w:rsidP="008C1B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D4CF3">
        <w:rPr>
          <w:rFonts w:ascii="Times New Roman" w:hAnsi="Times New Roman" w:cs="Times New Roman"/>
        </w:rPr>
        <w:t>epersonalizovaná objed</w:t>
      </w:r>
      <w:bookmarkStart w:id="0" w:name="_GoBack"/>
      <w:bookmarkEnd w:id="0"/>
      <w:r w:rsidRPr="003D4CF3">
        <w:rPr>
          <w:rFonts w:ascii="Times New Roman" w:hAnsi="Times New Roman" w:cs="Times New Roman"/>
        </w:rPr>
        <w:t>návka elektronickou poštou, je zpoplatněna jednorázovým poplatkem 50,- Kč.</w:t>
      </w:r>
    </w:p>
    <w:p w:rsidR="008C1BDB" w:rsidRPr="003D4CF3" w:rsidRDefault="008C1BDB" w:rsidP="008C1BDB">
      <w:pPr>
        <w:spacing w:after="120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V případě zrušení již potvrzené objednávky, je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oprávněn účtovat </w:t>
      </w:r>
      <w:r>
        <w:rPr>
          <w:rFonts w:ascii="Times New Roman" w:hAnsi="Times New Roman" w:cs="Times New Roman"/>
        </w:rPr>
        <w:t>objednateli</w:t>
      </w:r>
      <w:r w:rsidRPr="003D4CF3">
        <w:rPr>
          <w:rFonts w:ascii="Times New Roman" w:hAnsi="Times New Roman" w:cs="Times New Roman"/>
        </w:rPr>
        <w:t xml:space="preserve"> storno poplatek ve výši </w:t>
      </w:r>
      <w:r w:rsidRPr="00937D9B">
        <w:rPr>
          <w:rFonts w:ascii="Times New Roman" w:hAnsi="Times New Roman" w:cs="Times New Roman"/>
        </w:rPr>
        <w:t xml:space="preserve">4% </w:t>
      </w:r>
      <w:r w:rsidRPr="003D4CF3">
        <w:rPr>
          <w:rFonts w:ascii="Times New Roman" w:hAnsi="Times New Roman" w:cs="Times New Roman"/>
        </w:rPr>
        <w:t xml:space="preserve">z objemu dané objednávky. </w:t>
      </w:r>
    </w:p>
    <w:p w:rsidR="008C1BDB" w:rsidRPr="003D4CF3" w:rsidRDefault="008C1BDB" w:rsidP="008C1BDB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>Poukázky jsou doručovány jedním z následujících způsobů:</w:t>
      </w:r>
    </w:p>
    <w:p w:rsidR="008C1BDB" w:rsidRPr="003D4CF3" w:rsidRDefault="008C1BDB" w:rsidP="008C1BD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8C1BDB" w:rsidRPr="003D4CF3" w:rsidRDefault="008C1BDB" w:rsidP="008C1BD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osobně </w:t>
      </w:r>
      <w:r>
        <w:rPr>
          <w:rFonts w:ascii="Times New Roman" w:hAnsi="Times New Roman" w:cs="Times New Roman"/>
        </w:rPr>
        <w:t>objednatel</w:t>
      </w:r>
      <w:r w:rsidRPr="003D4CF3">
        <w:rPr>
          <w:rFonts w:ascii="Times New Roman" w:hAnsi="Times New Roman" w:cs="Times New Roman"/>
        </w:rPr>
        <w:t xml:space="preserve"> si může poukázky osobně vyzvednout na pobočkách </w:t>
      </w:r>
      <w:r>
        <w:rPr>
          <w:rFonts w:ascii="Times New Roman" w:hAnsi="Times New Roman" w:cs="Times New Roman"/>
        </w:rPr>
        <w:t>poskytovatele</w:t>
      </w:r>
      <w:r w:rsidRPr="003D4CF3">
        <w:rPr>
          <w:rFonts w:ascii="Times New Roman" w:hAnsi="Times New Roman" w:cs="Times New Roman"/>
        </w:rPr>
        <w:t xml:space="preserve"> na základě platby v hotovosti nebo prokázání provedení úhrady a s dokladem totožnosti, kdy osoba jednající jménem </w:t>
      </w:r>
      <w:r>
        <w:rPr>
          <w:rFonts w:ascii="Times New Roman" w:hAnsi="Times New Roman" w:cs="Times New Roman"/>
        </w:rPr>
        <w:t>objednatele</w:t>
      </w:r>
      <w:r w:rsidRPr="003D4CF3">
        <w:rPr>
          <w:rFonts w:ascii="Times New Roman" w:hAnsi="Times New Roman" w:cs="Times New Roman"/>
        </w:rPr>
        <w:t>, musí být totožná s osobou, která je uvedena na objednávkovém formuláři</w:t>
      </w:r>
    </w:p>
    <w:p w:rsidR="008C1BDB" w:rsidRDefault="008C1BDB" w:rsidP="008C1BD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>poštou - prostřednictvím poskytovatele poštovních služeb (po celé České republice)</w:t>
      </w:r>
      <w:r>
        <w:rPr>
          <w:rFonts w:ascii="Times New Roman" w:hAnsi="Times New Roman" w:cs="Times New Roman"/>
        </w:rPr>
        <w:t>.</w:t>
      </w:r>
    </w:p>
    <w:p w:rsidR="008C1BDB" w:rsidRPr="003D4CF3" w:rsidRDefault="008C1BDB" w:rsidP="008C1BDB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8C1BDB" w:rsidRPr="003D4CF3" w:rsidRDefault="008C1BDB" w:rsidP="008C1BDB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8C1BDB" w:rsidRPr="003D4CF3" w:rsidRDefault="008C1BDB" w:rsidP="008C1BDB">
      <w:pPr>
        <w:pStyle w:val="Odstavecseseznamem"/>
        <w:ind w:left="0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 xml:space="preserve">Objednávaní a doručování elektronických poukázek (karet TRC a EBC) </w:t>
      </w:r>
    </w:p>
    <w:p w:rsidR="008C1BDB" w:rsidRPr="003D4CF3" w:rsidRDefault="008C1BDB" w:rsidP="008C1BDB">
      <w:pPr>
        <w:pStyle w:val="Odstavecseseznamem"/>
        <w:ind w:left="0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</w:rPr>
        <w:t>(dále jen „karta“ nebo „karty“)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</w:t>
      </w:r>
      <w:r w:rsidRPr="003D4CF3">
        <w:rPr>
          <w:rFonts w:ascii="Times New Roman" w:hAnsi="Times New Roman" w:cs="Times New Roman"/>
        </w:rPr>
        <w:t xml:space="preserve">se zavazuje dodat </w:t>
      </w:r>
      <w:r>
        <w:rPr>
          <w:rFonts w:ascii="Times New Roman" w:hAnsi="Times New Roman" w:cs="Times New Roman"/>
        </w:rPr>
        <w:t>objednateli</w:t>
      </w:r>
      <w:r w:rsidRPr="003D4CF3">
        <w:rPr>
          <w:rFonts w:ascii="Times New Roman" w:hAnsi="Times New Roman" w:cs="Times New Roman"/>
        </w:rPr>
        <w:t xml:space="preserve"> karty do 10 pracovních dní od zaplacení objednávky </w:t>
      </w:r>
      <w:r>
        <w:rPr>
          <w:rFonts w:ascii="Times New Roman" w:hAnsi="Times New Roman" w:cs="Times New Roman"/>
        </w:rPr>
        <w:t>poskytovateli</w:t>
      </w:r>
      <w:r w:rsidRPr="003D4CF3">
        <w:rPr>
          <w:rFonts w:ascii="Times New Roman" w:hAnsi="Times New Roman" w:cs="Times New Roman"/>
        </w:rPr>
        <w:t xml:space="preserve">. Zaplacením se rozumí připsání peněžních prostředků na účet </w:t>
      </w:r>
      <w:r>
        <w:rPr>
          <w:rFonts w:ascii="Times New Roman" w:hAnsi="Times New Roman" w:cs="Times New Roman"/>
        </w:rPr>
        <w:t>poskytovatele</w:t>
      </w:r>
      <w:r w:rsidRPr="003D4CF3">
        <w:rPr>
          <w:rFonts w:ascii="Times New Roman" w:hAnsi="Times New Roman" w:cs="Times New Roman"/>
        </w:rPr>
        <w:t xml:space="preserve">. Jiné podmínky mohou být stanoveny ve smlouvě mezi </w:t>
      </w:r>
      <w:r>
        <w:rPr>
          <w:rFonts w:ascii="Times New Roman" w:hAnsi="Times New Roman" w:cs="Times New Roman"/>
        </w:rPr>
        <w:t>objednatelem</w:t>
      </w:r>
      <w:r w:rsidRPr="003D4CF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Poskytovatelem.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lastRenderedPageBreak/>
        <w:t xml:space="preserve">Spolu s kartou zabezpečí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dodání aktivačního kódu. Na základě tohoto kódu je možné kartu aktivovat, a to způsobem, který stanoví pravidla používání karty (dále jen „Pravidla používání“)  a/nebo průvodní dopis dodaný spolu s kartou TRC a/nebo EBC. </w:t>
      </w:r>
      <w:r>
        <w:rPr>
          <w:rFonts w:ascii="Times New Roman" w:hAnsi="Times New Roman" w:cs="Times New Roman"/>
        </w:rPr>
        <w:t>Objednatel</w:t>
      </w:r>
      <w:r w:rsidRPr="003D4CF3">
        <w:rPr>
          <w:rFonts w:ascii="Times New Roman" w:hAnsi="Times New Roman" w:cs="Times New Roman"/>
        </w:rPr>
        <w:t xml:space="preserve"> je povinen zajistit, aby se každý uživatel před převzetím karty seznámil s pravidly používání karty (dále jen „Pravidla používání“) a s podmínkami zpracování osobních údajů držitelů karet.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Platnost karty je 36 měsíců od jejího vydání a platnost karty anonymní (platí jen pro EBC) je 12 měsíců. 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zajistí vydání nové karty na základě objednávky </w:t>
      </w:r>
      <w:r>
        <w:rPr>
          <w:rFonts w:ascii="Times New Roman" w:hAnsi="Times New Roman" w:cs="Times New Roman"/>
        </w:rPr>
        <w:t>objednatele</w:t>
      </w:r>
      <w:r w:rsidRPr="003D4CF3">
        <w:rPr>
          <w:rFonts w:ascii="Times New Roman" w:hAnsi="Times New Roman" w:cs="Times New Roman"/>
        </w:rPr>
        <w:t xml:space="preserve"> provedené 30 dní před skončením platnosti původní karty. Aktivací nové karty (způsobem uvedeným výše) dojde k převedení hodnoty dosud nevyčerpaných peněžních prostředků na novou kartu.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Při ztrátě nebo odcizení karty je uživatel oprávněn provést dočasnou blokaci karty, a to prostřednictvím svého kartového on-line účtu nebo přes </w:t>
      </w:r>
      <w:proofErr w:type="spellStart"/>
      <w:r w:rsidRPr="003D4CF3">
        <w:rPr>
          <w:rFonts w:ascii="Times New Roman" w:hAnsi="Times New Roman" w:cs="Times New Roman"/>
        </w:rPr>
        <w:t>info</w:t>
      </w:r>
      <w:proofErr w:type="spellEnd"/>
      <w:r w:rsidRPr="003D4CF3">
        <w:rPr>
          <w:rFonts w:ascii="Times New Roman" w:hAnsi="Times New Roman" w:cs="Times New Roman"/>
        </w:rPr>
        <w:t xml:space="preserve"> linku. Obdobným způsobem je možné kartu odblokovat. V případě blokace trvalým způsobem, již není možné kartu odblokovat.  Nevyčerpané peněžní prostředky z blokované karty budou p</w:t>
      </w:r>
      <w:r>
        <w:rPr>
          <w:rFonts w:ascii="Times New Roman" w:hAnsi="Times New Roman" w:cs="Times New Roman"/>
        </w:rPr>
        <w:t>řevedeny na nově vydanou kartu. Poskytovatel</w:t>
      </w:r>
      <w:r w:rsidRPr="003D4CF3">
        <w:rPr>
          <w:rFonts w:ascii="Times New Roman" w:hAnsi="Times New Roman" w:cs="Times New Roman"/>
        </w:rPr>
        <w:t xml:space="preserve"> je oprávněn kdykoli rozhodnout o předčasném zrušení platnosti karty</w:t>
      </w:r>
      <w:r>
        <w:rPr>
          <w:rFonts w:ascii="Times New Roman" w:hAnsi="Times New Roman" w:cs="Times New Roman"/>
        </w:rPr>
        <w:t>, o kterémžto rozhodnutí informuje poskytovatel objednatele,</w:t>
      </w:r>
      <w:r w:rsidRPr="003D4CF3">
        <w:rPr>
          <w:rFonts w:ascii="Times New Roman" w:hAnsi="Times New Roman" w:cs="Times New Roman"/>
        </w:rPr>
        <w:t xml:space="preserve"> a to v případě pokusu použít kartu k jinému než určenému účelu nebo podezření z účasti karty nebo prostředků nahraných na příslušné kartě na trestné činnosti. V takovém případě zaniká dnem předčasného zrušení platnosti karty platnost prostředků na kartě a o</w:t>
      </w:r>
      <w:r>
        <w:rPr>
          <w:rFonts w:ascii="Times New Roman" w:hAnsi="Times New Roman" w:cs="Times New Roman"/>
        </w:rPr>
        <w:t xml:space="preserve">bjednateli </w:t>
      </w:r>
      <w:r w:rsidRPr="003D4CF3">
        <w:rPr>
          <w:rFonts w:ascii="Times New Roman" w:hAnsi="Times New Roman" w:cs="Times New Roman"/>
        </w:rPr>
        <w:t xml:space="preserve">ani uživatel nemají právo na jakékoliv plnění z titulu zaniklých poukázek. </w:t>
      </w:r>
    </w:p>
    <w:p w:rsidR="008C1BDB" w:rsidRPr="003D4CF3" w:rsidRDefault="008C1BDB" w:rsidP="008C1BDB">
      <w:pPr>
        <w:spacing w:after="60"/>
        <w:ind w:right="-284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Dobíjení TRC a EBC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Karta bude nabita na základě písemné objednávky </w:t>
      </w:r>
      <w:r>
        <w:rPr>
          <w:rFonts w:ascii="Times New Roman" w:hAnsi="Times New Roman" w:cs="Times New Roman"/>
        </w:rPr>
        <w:t xml:space="preserve">objednatele </w:t>
      </w:r>
      <w:r w:rsidRPr="003D4CF3">
        <w:rPr>
          <w:rFonts w:ascii="Times New Roman" w:hAnsi="Times New Roman" w:cs="Times New Roman"/>
        </w:rPr>
        <w:t xml:space="preserve">a to buď prostřednictvím e-mailu na </w:t>
      </w:r>
      <w:r w:rsidR="00EF2A57">
        <w:rPr>
          <w:rFonts w:ascii="Times New Roman" w:hAnsi="Times New Roman" w:cs="Times New Roman"/>
        </w:rPr>
        <w:t>xxxxx</w:t>
      </w:r>
      <w:r w:rsidRPr="003D4CF3">
        <w:rPr>
          <w:rFonts w:ascii="Times New Roman" w:hAnsi="Times New Roman" w:cs="Times New Roman"/>
        </w:rPr>
        <w:t xml:space="preserve"> nebo prostřednictvím webové aplikace nacházející se na </w:t>
      </w:r>
      <w:hyperlink r:id="rId8" w:history="1">
        <w:r w:rsidR="00EF2A57" w:rsidRPr="00F96CB2">
          <w:rPr>
            <w:rStyle w:val="Hypertextovodkaz"/>
            <w:rFonts w:ascii="Times New Roman" w:hAnsi="Times New Roman" w:cs="Times New Roman"/>
          </w:rPr>
          <w:t>www.edenred.cz</w:t>
        </w:r>
      </w:hyperlink>
      <w:r w:rsidRPr="003D4CF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je oprávněn odmítnout neúplnou nebo nesprávnou objednávku o</w:t>
      </w:r>
      <w:r>
        <w:rPr>
          <w:rFonts w:ascii="Times New Roman" w:hAnsi="Times New Roman" w:cs="Times New Roman"/>
        </w:rPr>
        <w:t>bjednatele.</w:t>
      </w:r>
      <w:r w:rsidRPr="003D4CF3">
        <w:rPr>
          <w:rFonts w:ascii="Times New Roman" w:hAnsi="Times New Roman" w:cs="Times New Roman"/>
        </w:rPr>
        <w:t xml:space="preserve"> O odmítnutí nesprávné nebo neúplné objednávky informuje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objednatele</w:t>
      </w:r>
      <w:r w:rsidRPr="003D4CF3">
        <w:rPr>
          <w:rFonts w:ascii="Times New Roman" w:hAnsi="Times New Roman" w:cs="Times New Roman"/>
        </w:rPr>
        <w:t xml:space="preserve"> bez zbytečného odkladu, nejpozději však do 2 pracovních dnů. </w:t>
      </w:r>
    </w:p>
    <w:p w:rsidR="008C1BDB" w:rsidRPr="003734EE" w:rsidRDefault="008C1BDB" w:rsidP="008C1BD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</w:t>
      </w:r>
      <w:r w:rsidRPr="003D4CF3">
        <w:rPr>
          <w:rFonts w:ascii="Times New Roman" w:hAnsi="Times New Roman" w:cs="Times New Roman"/>
        </w:rPr>
        <w:t>se zavazuje nabít TRC a EBC dle podmínek stanovených ve smlouvě, nejpozději však do pěti pracovních dnů ode dne uhrazení ceny objedná</w:t>
      </w:r>
      <w:r>
        <w:rPr>
          <w:rFonts w:ascii="Times New Roman" w:hAnsi="Times New Roman" w:cs="Times New Roman"/>
        </w:rPr>
        <w:t>vky objednatele.</w:t>
      </w:r>
      <w:r w:rsidRPr="003D4CF3">
        <w:rPr>
          <w:rFonts w:ascii="Times New Roman" w:hAnsi="Times New Roman" w:cs="Times New Roman"/>
        </w:rPr>
        <w:t xml:space="preserve"> Po potvrzení objednávky ze strany </w:t>
      </w:r>
      <w:r>
        <w:rPr>
          <w:rFonts w:ascii="Times New Roman" w:hAnsi="Times New Roman" w:cs="Times New Roman"/>
        </w:rPr>
        <w:t xml:space="preserve">poskytovatele </w:t>
      </w:r>
      <w:r w:rsidRPr="003D4CF3">
        <w:rPr>
          <w:rFonts w:ascii="Times New Roman" w:hAnsi="Times New Roman" w:cs="Times New Roman"/>
        </w:rPr>
        <w:t xml:space="preserve">již nelze objednávku zrušit. V případě zrušení objednávky je </w:t>
      </w:r>
      <w:r>
        <w:rPr>
          <w:rFonts w:ascii="Times New Roman" w:hAnsi="Times New Roman" w:cs="Times New Roman"/>
        </w:rPr>
        <w:t>poskytovate</w:t>
      </w:r>
      <w:r w:rsidRPr="003D4CF3">
        <w:rPr>
          <w:rFonts w:ascii="Times New Roman" w:hAnsi="Times New Roman" w:cs="Times New Roman"/>
        </w:rPr>
        <w:t xml:space="preserve">l oprávněn účtovat </w:t>
      </w:r>
      <w:r>
        <w:rPr>
          <w:rFonts w:ascii="Times New Roman" w:hAnsi="Times New Roman" w:cs="Times New Roman"/>
        </w:rPr>
        <w:t>objednateli</w:t>
      </w:r>
      <w:r w:rsidRPr="003D4CF3">
        <w:rPr>
          <w:rFonts w:ascii="Times New Roman" w:hAnsi="Times New Roman" w:cs="Times New Roman"/>
        </w:rPr>
        <w:t xml:space="preserve"> smluvní pokutu ve výši 4%</w:t>
      </w:r>
      <w:r>
        <w:rPr>
          <w:rFonts w:ascii="Times New Roman" w:hAnsi="Times New Roman" w:cs="Times New Roman"/>
        </w:rPr>
        <w:t xml:space="preserve"> z objemu nabíjených poukázek. </w:t>
      </w:r>
    </w:p>
    <w:p w:rsidR="008C1BDB" w:rsidRPr="003D4CF3" w:rsidRDefault="008C1BDB" w:rsidP="008C1BDB">
      <w:pPr>
        <w:spacing w:after="60"/>
        <w:ind w:right="-284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Práva a povinnosti smluvních stran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je oprávněn změnit fakturační podmínky </w:t>
      </w:r>
      <w:r>
        <w:rPr>
          <w:rFonts w:ascii="Times New Roman" w:hAnsi="Times New Roman" w:cs="Times New Roman"/>
        </w:rPr>
        <w:t>objednatele</w:t>
      </w:r>
      <w:r w:rsidRPr="003D4CF3">
        <w:rPr>
          <w:rFonts w:ascii="Times New Roman" w:hAnsi="Times New Roman" w:cs="Times New Roman"/>
        </w:rPr>
        <w:t xml:space="preserve"> v případě, že bude </w:t>
      </w:r>
      <w:r>
        <w:rPr>
          <w:rFonts w:ascii="Times New Roman" w:hAnsi="Times New Roman" w:cs="Times New Roman"/>
        </w:rPr>
        <w:t>objednatel</w:t>
      </w:r>
      <w:r w:rsidRPr="003D4CF3">
        <w:rPr>
          <w:rFonts w:ascii="Times New Roman" w:hAnsi="Times New Roman" w:cs="Times New Roman"/>
        </w:rPr>
        <w:t xml:space="preserve"> v prodlení se splatností více než 5 týdnů nebo bude v prodlení se splatností opakovaně, tj. nejméně třikrát (3x) v průběhu jednoho kalendářního roku. V případě prodlení se splatností, je </w:t>
      </w:r>
      <w:r>
        <w:rPr>
          <w:rFonts w:ascii="Times New Roman" w:hAnsi="Times New Roman" w:cs="Times New Roman"/>
        </w:rPr>
        <w:t xml:space="preserve">poskytovatel </w:t>
      </w:r>
      <w:r w:rsidRPr="003D4CF3">
        <w:rPr>
          <w:rFonts w:ascii="Times New Roman" w:hAnsi="Times New Roman" w:cs="Times New Roman"/>
        </w:rPr>
        <w:t xml:space="preserve">oprávněn účtovat smluvní pokutu ve výši 0,05% za každý den prodlení. 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Na základě objednávky je </w:t>
      </w:r>
      <w:r>
        <w:rPr>
          <w:rFonts w:ascii="Times New Roman" w:hAnsi="Times New Roman" w:cs="Times New Roman"/>
        </w:rPr>
        <w:t>objednateli</w:t>
      </w:r>
      <w:r w:rsidRPr="003D4CF3">
        <w:rPr>
          <w:rFonts w:ascii="Times New Roman" w:hAnsi="Times New Roman" w:cs="Times New Roman"/>
        </w:rPr>
        <w:t xml:space="preserve"> vystavena faktura, která je zaslána elektronicky zdarma. V případě požadavku </w:t>
      </w:r>
      <w:r>
        <w:rPr>
          <w:rFonts w:ascii="Times New Roman" w:hAnsi="Times New Roman" w:cs="Times New Roman"/>
        </w:rPr>
        <w:t>objednatele</w:t>
      </w:r>
      <w:r w:rsidRPr="003D4CF3">
        <w:rPr>
          <w:rFonts w:ascii="Times New Roman" w:hAnsi="Times New Roman" w:cs="Times New Roman"/>
        </w:rPr>
        <w:t xml:space="preserve"> na zaslání  faktury v papírové podobě, je toto zasl</w:t>
      </w:r>
      <w:r>
        <w:rPr>
          <w:rFonts w:ascii="Times New Roman" w:hAnsi="Times New Roman" w:cs="Times New Roman"/>
        </w:rPr>
        <w:t>ání zpoplatněno částkou 50 Kč. Poskytovatel j</w:t>
      </w:r>
      <w:r w:rsidRPr="003D4CF3">
        <w:rPr>
          <w:rFonts w:ascii="Times New Roman" w:hAnsi="Times New Roman" w:cs="Times New Roman"/>
        </w:rPr>
        <w:t xml:space="preserve">e oprávněn měnit ceny spojené s dodávkou poukázek v závislosti na tržních podmínkách cen </w:t>
      </w:r>
      <w:r w:rsidRPr="003D4CF3">
        <w:rPr>
          <w:rFonts w:ascii="Times New Roman" w:hAnsi="Times New Roman" w:cs="Times New Roman"/>
        </w:rPr>
        <w:lastRenderedPageBreak/>
        <w:t xml:space="preserve">dopravy a poštovného a v závislosti na míře inflace. Takováto změna bude oznámena </w:t>
      </w:r>
      <w:r>
        <w:rPr>
          <w:rFonts w:ascii="Times New Roman" w:hAnsi="Times New Roman" w:cs="Times New Roman"/>
        </w:rPr>
        <w:t xml:space="preserve">objednateli </w:t>
      </w:r>
      <w:r w:rsidRPr="003D4CF3">
        <w:rPr>
          <w:rFonts w:ascii="Times New Roman" w:hAnsi="Times New Roman" w:cs="Times New Roman"/>
        </w:rPr>
        <w:t xml:space="preserve">s dodatečným předstihem písemnou formou. </w:t>
      </w:r>
    </w:p>
    <w:p w:rsidR="008C1BDB" w:rsidRPr="003D4CF3" w:rsidRDefault="008C1BDB" w:rsidP="008C1BDB">
      <w:pPr>
        <w:spacing w:after="60"/>
        <w:ind w:right="-284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Osobní údaje a jejich ochrana</w:t>
      </w:r>
    </w:p>
    <w:p w:rsidR="008C1BDB" w:rsidRPr="00D0283B" w:rsidRDefault="008C1BDB" w:rsidP="008C1BDB">
      <w:pPr>
        <w:ind w:right="-284"/>
        <w:jc w:val="both"/>
        <w:rPr>
          <w:rFonts w:ascii="Times New Roman" w:hAnsi="Times New Roman" w:cs="Times New Roman"/>
          <w:color w:val="C00000"/>
        </w:rPr>
      </w:pPr>
      <w:r w:rsidRPr="003D4CF3">
        <w:rPr>
          <w:rFonts w:ascii="Times New Roman" w:hAnsi="Times New Roman" w:cs="Times New Roman"/>
        </w:rPr>
        <w:t xml:space="preserve">Pokud má </w:t>
      </w:r>
      <w:r>
        <w:rPr>
          <w:rFonts w:ascii="Times New Roman" w:hAnsi="Times New Roman" w:cs="Times New Roman"/>
        </w:rPr>
        <w:t xml:space="preserve">poskytovatel </w:t>
      </w:r>
      <w:r w:rsidRPr="003D4CF3">
        <w:rPr>
          <w:rFonts w:ascii="Times New Roman" w:hAnsi="Times New Roman" w:cs="Times New Roman"/>
        </w:rPr>
        <w:t>na základě spolupráce s</w:t>
      </w:r>
      <w:r>
        <w:rPr>
          <w:rFonts w:ascii="Times New Roman" w:hAnsi="Times New Roman" w:cs="Times New Roman"/>
        </w:rPr>
        <w:t> objednatelem</w:t>
      </w:r>
      <w:r w:rsidRPr="003D4CF3">
        <w:rPr>
          <w:rFonts w:ascii="Times New Roman" w:hAnsi="Times New Roman" w:cs="Times New Roman"/>
        </w:rPr>
        <w:t xml:space="preserve"> k dispozici jakékoli osobní údaje, bude je spravovat a/nebo zpracovávat v souladu s právními předpisy o ochraně osobních údajů, které jsou platné v České republice.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neposkytne osobní údaje třetím osobám, vyjma situací, ve kterých to ukládá zákon</w:t>
      </w:r>
      <w:r w:rsidRPr="002445AC">
        <w:rPr>
          <w:rFonts w:ascii="Times New Roman" w:hAnsi="Times New Roman" w:cs="Times New Roman"/>
        </w:rPr>
        <w:t>. Zpracování osobních údajů je upraveno v samostatné smlouvě mezi objednatelem a poskytovatelem.</w:t>
      </w:r>
      <w:r w:rsidRPr="003734EE">
        <w:rPr>
          <w:rFonts w:ascii="Times New Roman" w:hAnsi="Times New Roman" w:cs="Times New Roman"/>
        </w:rPr>
        <w:t xml:space="preserve"> </w:t>
      </w:r>
    </w:p>
    <w:p w:rsidR="008C1BDB" w:rsidRPr="003D4CF3" w:rsidRDefault="008C1BDB" w:rsidP="008C1BDB">
      <w:pPr>
        <w:spacing w:after="60"/>
        <w:ind w:right="-284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Odpovědnost</w:t>
      </w:r>
    </w:p>
    <w:p w:rsidR="008C1BDB" w:rsidRPr="003D4CF3" w:rsidRDefault="008C1BDB" w:rsidP="008C1BDB">
      <w:pPr>
        <w:ind w:right="-284"/>
        <w:jc w:val="both"/>
        <w:rPr>
          <w:rFonts w:ascii="Times New Roman" w:hAnsi="Times New Roman" w:cs="Times New Roman"/>
        </w:rPr>
      </w:pPr>
      <w:r w:rsidRPr="003D4CF3">
        <w:rPr>
          <w:rFonts w:ascii="Times New Roman" w:hAnsi="Times New Roman" w:cs="Times New Roman"/>
        </w:rPr>
        <w:t xml:space="preserve">V případě reklamace služeb poskytnutých dle těchto VOP, se vztahy </w:t>
      </w:r>
      <w:r>
        <w:rPr>
          <w:rFonts w:ascii="Times New Roman" w:hAnsi="Times New Roman" w:cs="Times New Roman"/>
        </w:rPr>
        <w:t>objednatele</w:t>
      </w:r>
      <w:r w:rsidRPr="003D4CF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poskytovatele</w:t>
      </w:r>
      <w:r w:rsidRPr="003D4CF3">
        <w:rPr>
          <w:rFonts w:ascii="Times New Roman" w:hAnsi="Times New Roman" w:cs="Times New Roman"/>
        </w:rPr>
        <w:t xml:space="preserve"> řídí platnými právními předpisy s tím, že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je povinen vyřídit reklamaci do 30 ti dnů a </w:t>
      </w:r>
      <w:r>
        <w:rPr>
          <w:rFonts w:ascii="Times New Roman" w:hAnsi="Times New Roman" w:cs="Times New Roman"/>
        </w:rPr>
        <w:t xml:space="preserve">objednatel </w:t>
      </w:r>
      <w:r w:rsidRPr="003D4CF3">
        <w:rPr>
          <w:rFonts w:ascii="Times New Roman" w:hAnsi="Times New Roman" w:cs="Times New Roman"/>
        </w:rPr>
        <w:t xml:space="preserve">je povinen reklamaci uplatnit co nejdříve po tom, co se o vadě dozvěděl nejpozději do jednoho měsíce po obdržení objednávky. </w:t>
      </w:r>
      <w:r>
        <w:rPr>
          <w:rFonts w:ascii="Times New Roman" w:hAnsi="Times New Roman" w:cs="Times New Roman"/>
        </w:rPr>
        <w:t>Poskytovatel</w:t>
      </w:r>
      <w:r w:rsidRPr="003D4CF3">
        <w:rPr>
          <w:rFonts w:ascii="Times New Roman" w:hAnsi="Times New Roman" w:cs="Times New Roman"/>
        </w:rPr>
        <w:t xml:space="preserve"> neručí za kvalitu služeb, zboží nebo jiných benefitů, které jsou na základě poukázek poskytovány třetími osobami. Případné reklamace na kvalitu služeb, zboží nebo jiných dohodnutých benefitů, řeší </w:t>
      </w:r>
      <w:r>
        <w:rPr>
          <w:rFonts w:ascii="Times New Roman" w:hAnsi="Times New Roman" w:cs="Times New Roman"/>
        </w:rPr>
        <w:t>objednatel</w:t>
      </w:r>
      <w:r w:rsidRPr="003D4CF3">
        <w:rPr>
          <w:rFonts w:ascii="Times New Roman" w:hAnsi="Times New Roman" w:cs="Times New Roman"/>
        </w:rPr>
        <w:t xml:space="preserve"> přímo s třetí osobou.</w:t>
      </w:r>
    </w:p>
    <w:p w:rsidR="008C1BDB" w:rsidRPr="003D4CF3" w:rsidRDefault="008C1BDB" w:rsidP="008C1BDB">
      <w:pPr>
        <w:spacing w:after="60"/>
        <w:jc w:val="both"/>
        <w:rPr>
          <w:rFonts w:ascii="Times New Roman" w:hAnsi="Times New Roman" w:cs="Times New Roman"/>
          <w:b/>
        </w:rPr>
      </w:pPr>
      <w:r w:rsidRPr="003D4CF3">
        <w:rPr>
          <w:rFonts w:ascii="Times New Roman" w:hAnsi="Times New Roman" w:cs="Times New Roman"/>
          <w:b/>
        </w:rPr>
        <w:t>Závěrečná ustanovení</w:t>
      </w:r>
    </w:p>
    <w:p w:rsidR="008C1BDB" w:rsidRPr="003D4CF3" w:rsidRDefault="008C1BDB" w:rsidP="008C1BDB">
      <w:pPr>
        <w:ind w:right="-197"/>
        <w:jc w:val="both"/>
        <w:rPr>
          <w:rFonts w:ascii="Times New Roman" w:hAnsi="Times New Roman" w:cs="Times New Roman"/>
        </w:rPr>
      </w:pPr>
      <w:r w:rsidRPr="00BE123E">
        <w:rPr>
          <w:rFonts w:ascii="Times New Roman" w:hAnsi="Times New Roman" w:cs="Times New Roman"/>
        </w:rPr>
        <w:t>VOP se řídí českým právním řádem, zejména zákonem č. 89/2012 Sb., občanským zákoníkem, v platném znění. Veškeré spory z  této smlouvy budou především řešeny formou dohody či smíru, a pokud nedojde k uzavření dohody či smíru, je možné spor řešit soudní cestou dle platného právního řádu České republiky.</w:t>
      </w:r>
      <w:r w:rsidRPr="003D4CF3">
        <w:rPr>
          <w:rFonts w:ascii="Times New Roman" w:hAnsi="Times New Roman" w:cs="Times New Roman"/>
        </w:rPr>
        <w:t xml:space="preserve"> </w:t>
      </w:r>
    </w:p>
    <w:p w:rsidR="008C1BDB" w:rsidRPr="00224E30" w:rsidRDefault="008C1BDB" w:rsidP="008C1BDB">
      <w:pPr>
        <w:ind w:right="-197"/>
        <w:jc w:val="both"/>
        <w:rPr>
          <w:rFonts w:ascii="Times New Roman" w:hAnsi="Times New Roman" w:cs="Times New Roman"/>
        </w:rPr>
      </w:pPr>
      <w:r w:rsidRPr="000D0864">
        <w:rPr>
          <w:rFonts w:ascii="Times New Roman" w:hAnsi="Times New Roman" w:cs="Times New Roman"/>
        </w:rPr>
        <w:t xml:space="preserve">Smluvní strany </w:t>
      </w:r>
      <w:r>
        <w:rPr>
          <w:rFonts w:ascii="Times New Roman" w:hAnsi="Times New Roman" w:cs="Times New Roman"/>
        </w:rPr>
        <w:t xml:space="preserve">se </w:t>
      </w:r>
      <w:r w:rsidRPr="000D0864">
        <w:rPr>
          <w:rFonts w:ascii="Times New Roman" w:hAnsi="Times New Roman" w:cs="Times New Roman"/>
        </w:rPr>
        <w:t xml:space="preserve">dohodly, že tyto VOP mohou být měněny následujícím postupem: </w:t>
      </w:r>
      <w:r>
        <w:rPr>
          <w:rFonts w:ascii="Times New Roman" w:hAnsi="Times New Roman" w:cs="Times New Roman"/>
        </w:rPr>
        <w:t>poskytovatel</w:t>
      </w:r>
      <w:r w:rsidRPr="000D0864">
        <w:rPr>
          <w:rFonts w:ascii="Times New Roman" w:hAnsi="Times New Roman" w:cs="Times New Roman"/>
        </w:rPr>
        <w:t xml:space="preserve"> je oprávněn navrhovat změny VOP zejména v návaznosti na změny právních předpisů nebo změn podmínek na relevantním trhu, v zájmu zlepšení kvality poskytovaných služeb objednate</w:t>
      </w:r>
      <w:r>
        <w:rPr>
          <w:rFonts w:ascii="Times New Roman" w:hAnsi="Times New Roman" w:cs="Times New Roman"/>
        </w:rPr>
        <w:t>li</w:t>
      </w:r>
      <w:r w:rsidRPr="000D0864">
        <w:rPr>
          <w:rFonts w:ascii="Times New Roman" w:hAnsi="Times New Roman" w:cs="Times New Roman"/>
        </w:rPr>
        <w:t xml:space="preserve"> a s ohledem na obchodní cíle </w:t>
      </w:r>
      <w:r>
        <w:rPr>
          <w:rFonts w:ascii="Times New Roman" w:hAnsi="Times New Roman" w:cs="Times New Roman"/>
        </w:rPr>
        <w:t>poskytovatele</w:t>
      </w:r>
      <w:r w:rsidRPr="000D08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Poskytovatel</w:t>
      </w:r>
      <w:r w:rsidRPr="000D0864">
        <w:rPr>
          <w:rFonts w:ascii="Times New Roman" w:hAnsi="Times New Roman" w:cs="Times New Roman"/>
        </w:rPr>
        <w:t xml:space="preserve"> objednateli poskytne písemně informace o navrhované změně VOP na adresu objednatele uvedenou ve smlouvě, a to nejméně 14 dní před navrhovaným dnem účinnosti navrhovaných změn, včetně informace o navrhovaném dni účinnosti</w:t>
      </w:r>
      <w:r>
        <w:rPr>
          <w:rFonts w:ascii="Times New Roman" w:hAnsi="Times New Roman" w:cs="Times New Roman"/>
        </w:rPr>
        <w:t xml:space="preserve"> změn</w:t>
      </w:r>
      <w:r w:rsidRPr="000D0864">
        <w:rPr>
          <w:rFonts w:ascii="Times New Roman" w:hAnsi="Times New Roman" w:cs="Times New Roman"/>
        </w:rPr>
        <w:t xml:space="preserve">. Pokud objednatel písemně neodmítne navrhovanou změnu či doplnění VOP nejpozději v poslední pracovní den před navrhovaným dnem účinnosti, platí, že s navrhovanou změnou VOP </w:t>
      </w:r>
      <w:r>
        <w:rPr>
          <w:rFonts w:ascii="Times New Roman" w:hAnsi="Times New Roman" w:cs="Times New Roman"/>
        </w:rPr>
        <w:t xml:space="preserve">souhlasí </w:t>
      </w:r>
      <w:r w:rsidRPr="000D0864">
        <w:rPr>
          <w:rFonts w:ascii="Times New Roman" w:hAnsi="Times New Roman" w:cs="Times New Roman"/>
        </w:rPr>
        <w:t>s účinností ode dne navržené</w:t>
      </w:r>
      <w:r>
        <w:rPr>
          <w:rFonts w:ascii="Times New Roman" w:hAnsi="Times New Roman" w:cs="Times New Roman"/>
        </w:rPr>
        <w:t>ho</w:t>
      </w:r>
      <w:r w:rsidRPr="000D0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poskytovatelem.</w:t>
      </w:r>
      <w:r w:rsidRPr="000D0864">
        <w:rPr>
          <w:rFonts w:ascii="Times New Roman" w:hAnsi="Times New Roman" w:cs="Times New Roman"/>
        </w:rPr>
        <w:t xml:space="preserve"> Smluvní strany mají právo vypovědět smlouvu v případě, že objednatel písemně odmítne návrh na změnu VOP. Veškeré závazky mezi stranami budou vyrovnány v přiměřené době po vypovězení smlouvy. V případě, že VOP budou pro objednatele nevýhodné a vypoví z těchto důvodů smlouvu – vypovězení bude pro objednatele </w:t>
      </w:r>
      <w:r w:rsidRPr="00B06389">
        <w:rPr>
          <w:rFonts w:ascii="Times New Roman" w:hAnsi="Times New Roman" w:cs="Times New Roman"/>
        </w:rPr>
        <w:t>bezplatné</w:t>
      </w:r>
      <w:r w:rsidRPr="000D0864">
        <w:rPr>
          <w:rFonts w:ascii="Times New Roman" w:hAnsi="Times New Roman" w:cs="Times New Roman"/>
          <w:b/>
        </w:rPr>
        <w:t xml:space="preserve">. </w:t>
      </w:r>
      <w:r w:rsidRPr="000D0864">
        <w:rPr>
          <w:rFonts w:ascii="Times New Roman" w:hAnsi="Times New Roman" w:cs="Times New Roman"/>
        </w:rPr>
        <w:t>Výpovědní doba činí 2 měsíce a počíná běžet první</w:t>
      </w:r>
      <w:r>
        <w:rPr>
          <w:rFonts w:ascii="Times New Roman" w:hAnsi="Times New Roman" w:cs="Times New Roman"/>
        </w:rPr>
        <w:t>m</w:t>
      </w:r>
      <w:r w:rsidRPr="000D0864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em</w:t>
      </w:r>
      <w:r w:rsidRPr="000D0864">
        <w:rPr>
          <w:rFonts w:ascii="Times New Roman" w:hAnsi="Times New Roman" w:cs="Times New Roman"/>
        </w:rPr>
        <w:t xml:space="preserve"> měsíce následujícího po měsíci, v němž byla výpověď doručena druhé </w:t>
      </w:r>
      <w:r>
        <w:rPr>
          <w:rFonts w:ascii="Times New Roman" w:hAnsi="Times New Roman" w:cs="Times New Roman"/>
        </w:rPr>
        <w:t xml:space="preserve">smluvní </w:t>
      </w:r>
      <w:r w:rsidRPr="000D0864">
        <w:rPr>
          <w:rFonts w:ascii="Times New Roman" w:hAnsi="Times New Roman" w:cs="Times New Roman"/>
        </w:rPr>
        <w:t xml:space="preserve">straně. Toto ustanovení se použije přiměřeně i pro změnu </w:t>
      </w:r>
      <w:r>
        <w:rPr>
          <w:rFonts w:ascii="Times New Roman" w:hAnsi="Times New Roman" w:cs="Times New Roman"/>
        </w:rPr>
        <w:t xml:space="preserve">v </w:t>
      </w:r>
      <w:r w:rsidRPr="000D0864">
        <w:rPr>
          <w:rFonts w:ascii="Times New Roman" w:hAnsi="Times New Roman" w:cs="Times New Roman"/>
        </w:rPr>
        <w:t xml:space="preserve">ceníku </w:t>
      </w:r>
      <w:r>
        <w:rPr>
          <w:rFonts w:ascii="Times New Roman" w:hAnsi="Times New Roman" w:cs="Times New Roman"/>
        </w:rPr>
        <w:t>poskytovatele.</w:t>
      </w:r>
    </w:p>
    <w:p w:rsidR="008C1BDB" w:rsidRDefault="008C1BDB" w:rsidP="008C1BDB"/>
    <w:p w:rsidR="008B3C97" w:rsidRDefault="005120E4"/>
    <w:sectPr w:rsidR="008B3C97" w:rsidSect="00FE1E4A">
      <w:headerReference w:type="default" r:id="rId9"/>
      <w:footerReference w:type="default" r:id="rId10"/>
      <w:pgSz w:w="11906" w:h="16838"/>
      <w:pgMar w:top="2667" w:right="1274" w:bottom="1417" w:left="1190" w:header="125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E4" w:rsidRDefault="005120E4">
      <w:pPr>
        <w:spacing w:after="0" w:line="240" w:lineRule="auto"/>
      </w:pPr>
      <w:r>
        <w:separator/>
      </w:r>
    </w:p>
  </w:endnote>
  <w:endnote w:type="continuationSeparator" w:id="0">
    <w:p w:rsidR="005120E4" w:rsidRDefault="005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31" w:rsidRDefault="008C1BDB" w:rsidP="00E54C2B">
    <w:pPr>
      <w:pStyle w:val="Zpat"/>
      <w:spacing w:line="360" w:lineRule="auto"/>
      <w:jc w:val="right"/>
      <w:rPr>
        <w:rFonts w:ascii="Century Gothic" w:hAnsi="Century Gothic"/>
        <w:b/>
        <w:bCs/>
        <w:color w:val="162056"/>
        <w:sz w:val="13"/>
        <w:szCs w:val="13"/>
      </w:rPr>
    </w:pPr>
    <w:r>
      <w:rPr>
        <w:rFonts w:ascii="Century Gothic" w:hAnsi="Century Gothic"/>
        <w:b/>
        <w:bCs/>
        <w:noProof/>
        <w:color w:val="162056"/>
        <w:sz w:val="13"/>
        <w:szCs w:val="13"/>
        <w:lang w:eastAsia="cs-CZ"/>
      </w:rPr>
      <w:drawing>
        <wp:inline distT="0" distB="0" distL="0" distR="0" wp14:anchorId="5C2378F1" wp14:editId="57E3AC89">
          <wp:extent cx="504825" cy="476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-názvu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A31" w:rsidRDefault="008C1BDB" w:rsidP="00FE1E4A">
    <w:pPr>
      <w:pStyle w:val="Zpat"/>
      <w:tabs>
        <w:tab w:val="clear" w:pos="9072"/>
      </w:tabs>
      <w:jc w:val="right"/>
      <w:rPr>
        <w:rFonts w:ascii="Century Gothic" w:hAnsi="Century Gothic"/>
        <w:color w:val="162056"/>
        <w:sz w:val="13"/>
        <w:szCs w:val="13"/>
      </w:rPr>
    </w:pPr>
    <w:proofErr w:type="spellStart"/>
    <w:r>
      <w:rPr>
        <w:rFonts w:ascii="Century Gothic" w:hAnsi="Century Gothic"/>
        <w:b/>
        <w:bCs/>
        <w:color w:val="162056"/>
        <w:sz w:val="13"/>
        <w:szCs w:val="13"/>
      </w:rPr>
      <w:t>Edenred</w:t>
    </w:r>
    <w:proofErr w:type="spellEnd"/>
    <w:r>
      <w:rPr>
        <w:rFonts w:ascii="Century Gothic" w:hAnsi="Century Gothic"/>
        <w:b/>
        <w:bCs/>
        <w:color w:val="162056"/>
        <w:sz w:val="13"/>
        <w:szCs w:val="13"/>
      </w:rPr>
      <w:t xml:space="preserve"> CZ s.r.o.</w:t>
    </w:r>
  </w:p>
  <w:p w:rsidR="004E7A31" w:rsidRDefault="008C1BDB" w:rsidP="001133E1">
    <w:pPr>
      <w:pStyle w:val="Zpat"/>
      <w:jc w:val="right"/>
      <w:rPr>
        <w:rFonts w:ascii="Century Gothic" w:hAnsi="Century Gothic"/>
        <w:color w:val="162056"/>
        <w:sz w:val="13"/>
        <w:szCs w:val="13"/>
      </w:rPr>
    </w:pPr>
    <w:r w:rsidRPr="001133E1">
      <w:rPr>
        <w:rFonts w:ascii="Century Gothic" w:hAnsi="Century Gothic"/>
        <w:color w:val="162056"/>
        <w:sz w:val="13"/>
        <w:szCs w:val="13"/>
      </w:rPr>
      <w:t>Pernerova 691/42</w:t>
    </w:r>
    <w:r>
      <w:rPr>
        <w:rFonts w:ascii="Century Gothic" w:hAnsi="Century Gothic"/>
        <w:color w:val="162056"/>
        <w:sz w:val="13"/>
        <w:szCs w:val="13"/>
      </w:rPr>
      <w:t xml:space="preserve">, </w:t>
    </w:r>
    <w:r w:rsidRPr="001133E1">
      <w:rPr>
        <w:rFonts w:ascii="Century Gothic" w:hAnsi="Century Gothic"/>
        <w:color w:val="162056"/>
        <w:sz w:val="13"/>
        <w:szCs w:val="13"/>
      </w:rPr>
      <w:t>186 00 Praha 8 – Karlín</w:t>
    </w:r>
    <w:r>
      <w:rPr>
        <w:rFonts w:ascii="Century Gothic" w:hAnsi="Century Gothic"/>
        <w:color w:val="162056"/>
        <w:sz w:val="13"/>
        <w:szCs w:val="13"/>
      </w:rPr>
      <w:br/>
      <w:t>DIČ: CZ 247 45 391</w:t>
    </w:r>
  </w:p>
  <w:p w:rsidR="004E7A31" w:rsidRPr="00FE1E4A" w:rsidRDefault="008C1BDB" w:rsidP="00FE1E4A">
    <w:pPr>
      <w:pStyle w:val="Zpat"/>
      <w:jc w:val="right"/>
      <w:rPr>
        <w:rFonts w:ascii="Century Gothic" w:hAnsi="Century Gothic"/>
        <w:b/>
        <w:color w:val="162056"/>
        <w:sz w:val="13"/>
        <w:szCs w:val="13"/>
      </w:rPr>
    </w:pPr>
    <w:r w:rsidRPr="00FE1E4A">
      <w:rPr>
        <w:rFonts w:ascii="Century Gothic" w:hAnsi="Century Gothic"/>
        <w:b/>
        <w:color w:val="162056"/>
        <w:sz w:val="13"/>
        <w:szCs w:val="13"/>
      </w:rPr>
      <w:t>edenred.cz</w:t>
    </w:r>
  </w:p>
  <w:p w:rsidR="004E7A31" w:rsidRDefault="005120E4" w:rsidP="00FE1E4A">
    <w:pPr>
      <w:pStyle w:val="Zpat"/>
      <w:jc w:val="right"/>
      <w:rPr>
        <w:rFonts w:ascii="Century Gothic" w:hAnsi="Century Gothic"/>
        <w:color w:val="162056"/>
        <w:sz w:val="13"/>
        <w:szCs w:val="13"/>
      </w:rPr>
    </w:pPr>
  </w:p>
  <w:p w:rsidR="004E7A31" w:rsidRPr="00C550B4" w:rsidRDefault="008C1BDB" w:rsidP="00FE1E4A">
    <w:pPr>
      <w:pStyle w:val="Zpat"/>
      <w:jc w:val="right"/>
      <w:rPr>
        <w:rFonts w:ascii="Century Gothic" w:hAnsi="Century Gothic"/>
        <w:color w:val="162056"/>
        <w:sz w:val="13"/>
        <w:szCs w:val="13"/>
      </w:rPr>
    </w:pPr>
    <w:r>
      <w:rPr>
        <w:rFonts w:ascii="Century Gothic" w:hAnsi="Century Gothic"/>
        <w:color w:val="162056"/>
        <w:sz w:val="13"/>
        <w:szCs w:val="13"/>
      </w:rPr>
      <w:t>S</w:t>
    </w:r>
    <w:r w:rsidRPr="00C550B4">
      <w:rPr>
        <w:rFonts w:ascii="Century Gothic" w:hAnsi="Century Gothic"/>
        <w:color w:val="162056"/>
        <w:sz w:val="13"/>
        <w:szCs w:val="13"/>
      </w:rPr>
      <w:t>polečnost je zapsaná u Městského soudu</w:t>
    </w:r>
    <w:r>
      <w:rPr>
        <w:rFonts w:ascii="Century Gothic" w:hAnsi="Century Gothic"/>
        <w:color w:val="162056"/>
        <w:sz w:val="13"/>
        <w:szCs w:val="13"/>
      </w:rPr>
      <w:t xml:space="preserve"> v</w:t>
    </w:r>
    <w:r w:rsidRPr="00C550B4">
      <w:rPr>
        <w:rFonts w:ascii="Century Gothic" w:hAnsi="Century Gothic"/>
        <w:color w:val="162056"/>
        <w:sz w:val="13"/>
        <w:szCs w:val="13"/>
      </w:rPr>
      <w:t xml:space="preserve"> Praze oddíle C, vložka 170804</w:t>
    </w:r>
  </w:p>
  <w:p w:rsidR="004E7A31" w:rsidRDefault="005120E4" w:rsidP="00C55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E4" w:rsidRDefault="005120E4">
      <w:pPr>
        <w:spacing w:after="0" w:line="240" w:lineRule="auto"/>
      </w:pPr>
      <w:r>
        <w:separator/>
      </w:r>
    </w:p>
  </w:footnote>
  <w:footnote w:type="continuationSeparator" w:id="0">
    <w:p w:rsidR="005120E4" w:rsidRDefault="0051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31" w:rsidRDefault="008C1BDB" w:rsidP="00B9650A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inline distT="0" distB="0" distL="0" distR="0" wp14:anchorId="01D13680" wp14:editId="5224782F">
          <wp:extent cx="1331595" cy="855980"/>
          <wp:effectExtent l="0" t="0" r="1905" b="1270"/>
          <wp:docPr id="2" name="Obrázek 2" descr="N:\Marketing\MATERIALY – LETAKY\LOGA\L O G A  2 0 1 7\EDENRED logo\Color\Edenred-Color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arketing\MATERIALY – LETAKY\LOGA\L O G A  2 0 1 7\EDENRED logo\Color\Edenred-Color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E7A31" w:rsidRDefault="005120E4" w:rsidP="00B9650A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33D7"/>
    <w:multiLevelType w:val="hybridMultilevel"/>
    <w:tmpl w:val="C4EC216E"/>
    <w:lvl w:ilvl="0" w:tplc="04B01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DB"/>
    <w:rsid w:val="00445F61"/>
    <w:rsid w:val="005120E4"/>
    <w:rsid w:val="0057455F"/>
    <w:rsid w:val="008C1BDB"/>
    <w:rsid w:val="00AC3EA3"/>
    <w:rsid w:val="00D65956"/>
    <w:rsid w:val="00E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C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C1BDB"/>
  </w:style>
  <w:style w:type="paragraph" w:styleId="Zpat">
    <w:name w:val="footer"/>
    <w:basedOn w:val="Normln"/>
    <w:link w:val="ZpatChar"/>
    <w:unhideWhenUsed/>
    <w:rsid w:val="008C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C1BDB"/>
  </w:style>
  <w:style w:type="paragraph" w:styleId="Odstavecseseznamem">
    <w:name w:val="List Paragraph"/>
    <w:basedOn w:val="Normln"/>
    <w:uiPriority w:val="99"/>
    <w:qFormat/>
    <w:rsid w:val="008C1B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1BD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C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C1BDB"/>
  </w:style>
  <w:style w:type="paragraph" w:styleId="Zpat">
    <w:name w:val="footer"/>
    <w:basedOn w:val="Normln"/>
    <w:link w:val="ZpatChar"/>
    <w:unhideWhenUsed/>
    <w:rsid w:val="008C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C1BDB"/>
  </w:style>
  <w:style w:type="paragraph" w:styleId="Odstavecseseznamem">
    <w:name w:val="List Paragraph"/>
    <w:basedOn w:val="Normln"/>
    <w:uiPriority w:val="99"/>
    <w:qFormat/>
    <w:rsid w:val="008C1B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1BD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re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Dvořáková</dc:creator>
  <cp:lastModifiedBy>Renata Lounová</cp:lastModifiedBy>
  <cp:revision>3</cp:revision>
  <dcterms:created xsi:type="dcterms:W3CDTF">2020-02-12T09:48:00Z</dcterms:created>
  <dcterms:modified xsi:type="dcterms:W3CDTF">2020-02-12T10:04:00Z</dcterms:modified>
</cp:coreProperties>
</file>