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8C5F8B">
        <w:rPr>
          <w:rFonts w:cs="Arial"/>
          <w:sz w:val="20"/>
          <w:szCs w:val="20"/>
          <w:lang w:eastAsia="ar-SA"/>
        </w:rPr>
        <w:t xml:space="preserve">Příloha č. </w:t>
      </w:r>
      <w:r w:rsidR="0096621B" w:rsidRPr="008C5F8B">
        <w:rPr>
          <w:rFonts w:cs="Arial"/>
          <w:sz w:val="20"/>
          <w:szCs w:val="20"/>
          <w:lang w:eastAsia="ar-SA"/>
        </w:rPr>
        <w:t>3</w:t>
      </w:r>
    </w:p>
    <w:p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rsidR="00AF3E4F" w:rsidRPr="0038265C" w:rsidRDefault="00AF3E4F" w:rsidP="00B171EF">
      <w:pPr>
        <w:spacing w:line="360" w:lineRule="auto"/>
        <w:rPr>
          <w:rFonts w:cs="Arial"/>
          <w:b/>
          <w:sz w:val="20"/>
        </w:rPr>
      </w:pPr>
    </w:p>
    <w:p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2D081C">
        <w:rPr>
          <w:rFonts w:cs="Arial"/>
          <w:b/>
          <w:sz w:val="22"/>
          <w:szCs w:val="22"/>
        </w:rPr>
        <w:tab/>
      </w:r>
      <w:r w:rsidR="002D081C">
        <w:rPr>
          <w:rFonts w:cs="Arial"/>
          <w:b/>
          <w:sz w:val="22"/>
          <w:szCs w:val="22"/>
        </w:rPr>
        <w:tab/>
      </w:r>
      <w:r w:rsidR="002D081C">
        <w:rPr>
          <w:rFonts w:cs="Arial"/>
          <w:b/>
          <w:sz w:val="22"/>
          <w:szCs w:val="22"/>
        </w:rPr>
        <w:tab/>
      </w:r>
      <w:r w:rsidR="002D081C">
        <w:rPr>
          <w:rFonts w:cs="Arial"/>
          <w:b/>
          <w:sz w:val="22"/>
          <w:szCs w:val="22"/>
        </w:rPr>
        <w:tab/>
      </w:r>
      <w:r w:rsidR="00B05661">
        <w:rPr>
          <w:rFonts w:cs="Arial"/>
          <w:b/>
          <w:sz w:val="22"/>
          <w:szCs w:val="22"/>
        </w:rPr>
        <w:t>Obnova kvalifikace svářeče</w:t>
      </w:r>
      <w:r w:rsidR="005202EB">
        <w:rPr>
          <w:rFonts w:cs="Arial"/>
          <w:b/>
          <w:sz w:val="22"/>
          <w:szCs w:val="22"/>
        </w:rPr>
        <w:t xml:space="preserve"> - EN</w:t>
      </w:r>
      <w:r w:rsidR="002D081C">
        <w:rPr>
          <w:rFonts w:cs="Arial"/>
          <w:b/>
          <w:sz w:val="22"/>
          <w:szCs w:val="22"/>
        </w:rPr>
        <w:t xml:space="preserve">, oblast </w:t>
      </w:r>
      <w:r w:rsidR="005202EB">
        <w:rPr>
          <w:rFonts w:cs="Arial"/>
          <w:b/>
          <w:sz w:val="22"/>
          <w:szCs w:val="22"/>
        </w:rPr>
        <w:t>Karviná</w:t>
      </w:r>
    </w:p>
    <w:p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C53C0B">
        <w:rPr>
          <w:rFonts w:cs="Arial"/>
          <w:b/>
          <w:sz w:val="22"/>
          <w:szCs w:val="22"/>
        </w:rPr>
        <w:tab/>
      </w:r>
      <w:r w:rsidR="00C53C0B">
        <w:rPr>
          <w:rFonts w:cs="Arial"/>
          <w:b/>
          <w:sz w:val="22"/>
          <w:szCs w:val="22"/>
        </w:rPr>
        <w:tab/>
      </w:r>
      <w:r w:rsidR="00C53C0B">
        <w:rPr>
          <w:rFonts w:cs="Arial"/>
          <w:b/>
          <w:sz w:val="22"/>
          <w:szCs w:val="22"/>
        </w:rPr>
        <w:tab/>
        <w:t>T-RD-VZ7-RK-2019- část</w:t>
      </w:r>
      <w:r w:rsidR="00B05661">
        <w:rPr>
          <w:rFonts w:cs="Arial"/>
          <w:b/>
          <w:sz w:val="22"/>
          <w:szCs w:val="22"/>
        </w:rPr>
        <w:t xml:space="preserve"> 7</w:t>
      </w:r>
    </w:p>
    <w:p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C04C3C">
        <w:rPr>
          <w:rFonts w:cs="Arial"/>
          <w:bCs/>
          <w:sz w:val="22"/>
          <w:szCs w:val="22"/>
        </w:rPr>
        <w:t>Ostravě</w:t>
      </w:r>
    </w:p>
    <w:p w:rsidR="00DD5FF2" w:rsidRPr="007F5C75"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C04C3C">
        <w:rPr>
          <w:rFonts w:cs="Arial"/>
          <w:bCs/>
          <w:sz w:val="22"/>
          <w:szCs w:val="22"/>
        </w:rPr>
        <w:t>Zahradní 368/12, 701 60 Ostrava – Moravská Ostrava</w:t>
      </w:r>
      <w:r w:rsidRPr="007F5C75">
        <w:rPr>
          <w:rFonts w:cs="Arial"/>
          <w:bCs/>
          <w:sz w:val="22"/>
          <w:szCs w:val="22"/>
        </w:rPr>
        <w:t xml:space="preserve"> </w:t>
      </w:r>
    </w:p>
    <w:p w:rsidR="00C77FB6" w:rsidRPr="007F5C75" w:rsidRDefault="00B95977" w:rsidP="00B171EF">
      <w:pPr>
        <w:spacing w:line="360" w:lineRule="auto"/>
        <w:ind w:right="-284"/>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C04C3C">
        <w:rPr>
          <w:rFonts w:cs="Arial"/>
          <w:bCs/>
          <w:sz w:val="22"/>
          <w:szCs w:val="22"/>
        </w:rPr>
        <w:t>Ing. Petr Prokop</w:t>
      </w:r>
      <w:r w:rsidR="00C77FB6" w:rsidRPr="007F5C75">
        <w:rPr>
          <w:rFonts w:cs="Arial"/>
          <w:sz w:val="22"/>
          <w:szCs w:val="22"/>
        </w:rPr>
        <w:t xml:space="preserve"> </w:t>
      </w:r>
    </w:p>
    <w:p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ČR - Krajská pobočka v </w:t>
      </w:r>
      <w:r w:rsidR="00C04C3C">
        <w:rPr>
          <w:rFonts w:cs="Arial"/>
          <w:bCs/>
          <w:sz w:val="22"/>
          <w:szCs w:val="22"/>
        </w:rPr>
        <w:t>Ostravě</w:t>
      </w:r>
    </w:p>
    <w:p w:rsidR="00C24902" w:rsidRPr="007F5C75"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bCs/>
          <w:sz w:val="22"/>
          <w:szCs w:val="22"/>
        </w:rPr>
        <w:t>Česká národní banka</w:t>
      </w:r>
    </w:p>
    <w:p w:rsidR="000F646B" w:rsidRPr="007F5C75" w:rsidRDefault="00B95977" w:rsidP="00996982">
      <w:pPr>
        <w:spacing w:line="360" w:lineRule="auto"/>
        <w:ind w:right="-284"/>
        <w:jc w:val="both"/>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sz w:val="22"/>
          <w:szCs w:val="22"/>
        </w:rPr>
        <w:t>37822761/0710</w:t>
      </w:r>
    </w:p>
    <w:p w:rsidR="00D80047" w:rsidRPr="007F5C75" w:rsidRDefault="00996982" w:rsidP="00996982">
      <w:pPr>
        <w:spacing w:line="360" w:lineRule="auto"/>
        <w:ind w:right="-284"/>
        <w:jc w:val="both"/>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C04C3C" w:rsidRPr="00C04C3C">
        <w:rPr>
          <w:rFonts w:cs="Arial"/>
          <w:sz w:val="22"/>
          <w:szCs w:val="22"/>
        </w:rPr>
        <w:t>twrzpnd</w:t>
      </w:r>
    </w:p>
    <w:p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4B7008" w:rsidRPr="007856D1" w:rsidRDefault="004B7008" w:rsidP="00996982">
      <w:pPr>
        <w:spacing w:line="360" w:lineRule="auto"/>
        <w:ind w:right="-284"/>
        <w:jc w:val="both"/>
        <w:rPr>
          <w:rFonts w:cs="Arial"/>
          <w:sz w:val="22"/>
          <w:szCs w:val="22"/>
        </w:rPr>
      </w:pPr>
      <w:r w:rsidRPr="007856D1">
        <w:rPr>
          <w:rFonts w:cs="Arial"/>
          <w:sz w:val="22"/>
          <w:szCs w:val="22"/>
        </w:rPr>
        <w:t>a</w:t>
      </w:r>
    </w:p>
    <w:p w:rsidR="000F646B" w:rsidRPr="007856D1" w:rsidRDefault="000F646B" w:rsidP="00996982">
      <w:pPr>
        <w:spacing w:line="360" w:lineRule="auto"/>
        <w:ind w:right="-284"/>
        <w:jc w:val="both"/>
        <w:rPr>
          <w:rFonts w:cs="Arial"/>
          <w:sz w:val="18"/>
          <w:szCs w:val="22"/>
        </w:rPr>
      </w:pPr>
    </w:p>
    <w:p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96079C">
        <w:rPr>
          <w:rFonts w:cs="Arial"/>
          <w:sz w:val="22"/>
          <w:szCs w:val="22"/>
        </w:rPr>
        <w:t>VUP s.r.o.</w:t>
      </w:r>
    </w:p>
    <w:p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079C">
        <w:rPr>
          <w:rFonts w:cs="Arial"/>
          <w:sz w:val="22"/>
          <w:szCs w:val="22"/>
        </w:rPr>
        <w:t>Bártkova 988, 739 44 Brušperk</w:t>
      </w:r>
    </w:p>
    <w:p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F9793B">
        <w:rPr>
          <w:rFonts w:cs="Arial"/>
          <w:sz w:val="22"/>
          <w:szCs w:val="22"/>
        </w:rPr>
        <w:t>xxx</w:t>
      </w:r>
    </w:p>
    <w:p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079C">
        <w:rPr>
          <w:rFonts w:cs="Arial"/>
          <w:sz w:val="22"/>
          <w:szCs w:val="22"/>
        </w:rPr>
        <w:t>25247204</w:t>
      </w:r>
    </w:p>
    <w:p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296D6C" w:rsidRPr="00296D6C">
        <w:rPr>
          <w:rFonts w:cs="Arial"/>
          <w:sz w:val="22"/>
          <w:szCs w:val="22"/>
        </w:rPr>
        <w:t>Bártkova 988, 739 44 Brušperk</w:t>
      </w:r>
    </w:p>
    <w:p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296D6C" w:rsidRPr="00296D6C">
        <w:rPr>
          <w:rFonts w:cs="Arial"/>
          <w:sz w:val="22"/>
          <w:szCs w:val="22"/>
        </w:rPr>
        <w:t>UniCredit Bank Czech republic, a.s.</w:t>
      </w:r>
    </w:p>
    <w:p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9724B4">
        <w:rPr>
          <w:rFonts w:cs="Arial"/>
          <w:sz w:val="22"/>
          <w:szCs w:val="22"/>
        </w:rPr>
        <w:t>xxx</w:t>
      </w:r>
      <w:bookmarkStart w:id="15" w:name="_GoBack"/>
      <w:bookmarkEnd w:id="15"/>
    </w:p>
    <w:p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96079C">
        <w:rPr>
          <w:rFonts w:cs="Arial"/>
          <w:sz w:val="22"/>
          <w:szCs w:val="22"/>
        </w:rPr>
        <w:t>66nbeyn</w:t>
      </w:r>
    </w:p>
    <w:p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rsidR="00171255" w:rsidRDefault="00171255" w:rsidP="007F5C75">
      <w:pPr>
        <w:spacing w:line="360" w:lineRule="auto"/>
        <w:ind w:right="-284"/>
        <w:jc w:val="both"/>
        <w:rPr>
          <w:rFonts w:cs="Arial"/>
          <w:sz w:val="18"/>
          <w:szCs w:val="22"/>
        </w:rPr>
      </w:pPr>
    </w:p>
    <w:p w:rsidR="006C7535" w:rsidRPr="007F5C75" w:rsidRDefault="006C7535" w:rsidP="007F5C75">
      <w:pPr>
        <w:spacing w:line="360" w:lineRule="auto"/>
        <w:ind w:right="-284"/>
        <w:jc w:val="both"/>
        <w:rPr>
          <w:rFonts w:cs="Arial"/>
          <w:sz w:val="18"/>
          <w:szCs w:val="22"/>
        </w:rPr>
      </w:pPr>
    </w:p>
    <w:p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rsidR="00171255" w:rsidRPr="00171255" w:rsidRDefault="00171255" w:rsidP="00171255">
      <w:pPr>
        <w:pStyle w:val="Odstavecseseznamem"/>
        <w:spacing w:line="360" w:lineRule="auto"/>
        <w:ind w:left="567"/>
        <w:jc w:val="both"/>
        <w:rPr>
          <w:rFonts w:cs="Arial"/>
          <w:bCs/>
          <w:sz w:val="14"/>
          <w:szCs w:val="22"/>
        </w:rPr>
      </w:pPr>
    </w:p>
    <w:p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rsidR="00F94DF3" w:rsidRPr="007856D1" w:rsidRDefault="00B05661" w:rsidP="007F5C75">
      <w:pPr>
        <w:pStyle w:val="Odstavecseseznamem"/>
        <w:spacing w:line="360" w:lineRule="auto"/>
        <w:ind w:left="567"/>
        <w:jc w:val="both"/>
        <w:rPr>
          <w:rFonts w:cs="Arial"/>
          <w:bCs/>
          <w:sz w:val="22"/>
          <w:szCs w:val="22"/>
          <w:lang w:eastAsia="cs-CZ"/>
        </w:rPr>
      </w:pPr>
      <w:r>
        <w:rPr>
          <w:rFonts w:cs="Arial"/>
          <w:bCs/>
          <w:sz w:val="22"/>
          <w:szCs w:val="22"/>
          <w:lang w:eastAsia="cs-CZ"/>
        </w:rPr>
        <w:t>Obnova kvalifikace svářeče</w:t>
      </w:r>
      <w:r w:rsidR="005202EB">
        <w:rPr>
          <w:rFonts w:cs="Arial"/>
          <w:bCs/>
          <w:sz w:val="22"/>
          <w:szCs w:val="22"/>
          <w:lang w:eastAsia="cs-CZ"/>
        </w:rPr>
        <w:t xml:space="preserve"> ČSN EN ISO 9606-1 </w:t>
      </w:r>
      <w:r w:rsidR="002D081C">
        <w:rPr>
          <w:rFonts w:cs="Arial"/>
          <w:bCs/>
          <w:sz w:val="22"/>
          <w:szCs w:val="22"/>
          <w:lang w:eastAsia="cs-CZ"/>
        </w:rPr>
        <w:t xml:space="preserve">111, </w:t>
      </w:r>
      <w:r w:rsidR="005202EB">
        <w:rPr>
          <w:rFonts w:cs="Arial"/>
          <w:bCs/>
          <w:sz w:val="22"/>
          <w:szCs w:val="22"/>
          <w:lang w:eastAsia="cs-CZ"/>
        </w:rPr>
        <w:t xml:space="preserve">ČSN EN ISO 9606-1 </w:t>
      </w:r>
      <w:r w:rsidR="002D081C">
        <w:rPr>
          <w:rFonts w:cs="Arial"/>
          <w:bCs/>
          <w:sz w:val="22"/>
          <w:szCs w:val="22"/>
          <w:lang w:eastAsia="cs-CZ"/>
        </w:rPr>
        <w:t xml:space="preserve">311, </w:t>
      </w:r>
      <w:r w:rsidR="005202EB">
        <w:rPr>
          <w:rFonts w:cs="Arial"/>
          <w:bCs/>
          <w:sz w:val="22"/>
          <w:szCs w:val="22"/>
          <w:lang w:eastAsia="cs-CZ"/>
        </w:rPr>
        <w:t xml:space="preserve">ČSN EN ISO 9606-1 </w:t>
      </w:r>
      <w:r w:rsidR="002D081C">
        <w:rPr>
          <w:rFonts w:cs="Arial"/>
          <w:bCs/>
          <w:sz w:val="22"/>
          <w:szCs w:val="22"/>
          <w:lang w:eastAsia="cs-CZ"/>
        </w:rPr>
        <w:t>135</w:t>
      </w:r>
    </w:p>
    <w:p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 platnými právními normami, a to subjektem oprávněným ve smyslu § 108 odst. 2 zákona č. 435/2004 Sb., o zaměstnanosti, ve znění pozdějších předpisů (dále jen „</w:t>
      </w:r>
      <w:r w:rsidRPr="007856D1">
        <w:rPr>
          <w:rFonts w:cs="Arial"/>
          <w:i/>
          <w:sz w:val="22"/>
          <w:szCs w:val="22"/>
        </w:rPr>
        <w:t>ZoZ</w:t>
      </w:r>
      <w:r w:rsidRPr="007856D1">
        <w:rPr>
          <w:rFonts w:cs="Arial"/>
          <w:i/>
          <w:sz w:val="22"/>
          <w:szCs w:val="22"/>
          <w:lang w:val="en-US"/>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F94DF3" w:rsidRPr="007856D1">
        <w:rPr>
          <w:rFonts w:cs="Arial"/>
          <w:bCs/>
          <w:sz w:val="22"/>
          <w:szCs w:val="22"/>
          <w:lang w:eastAsia="cs-CZ"/>
        </w:rPr>
        <w:t xml:space="preserve">ZoZ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670143" w:rsidRPr="007856D1">
        <w:rPr>
          <w:rFonts w:cs="Arial"/>
          <w:bCs/>
          <w:sz w:val="22"/>
          <w:szCs w:val="22"/>
          <w:lang w:eastAsia="cs-CZ"/>
        </w:rPr>
        <w:t xml:space="preserve">Rekvalifikace </w:t>
      </w:r>
      <w:r w:rsidR="00471894">
        <w:rPr>
          <w:rFonts w:cs="Arial"/>
          <w:bCs/>
          <w:sz w:val="22"/>
          <w:szCs w:val="22"/>
          <w:lang w:eastAsia="cs-CZ"/>
        </w:rPr>
        <w:t>pro Moravskoslezský kraj VII</w:t>
      </w:r>
      <w:r w:rsidRPr="007856D1">
        <w:rPr>
          <w:rFonts w:cs="Arial"/>
          <w:bCs/>
          <w:sz w:val="22"/>
          <w:szCs w:val="22"/>
          <w:lang w:eastAsia="cs-CZ"/>
        </w:rPr>
        <w:t>“</w:t>
      </w:r>
      <w:r w:rsidR="00996982" w:rsidRPr="007856D1">
        <w:rPr>
          <w:rFonts w:cs="Arial"/>
          <w:bCs/>
          <w:sz w:val="22"/>
          <w:szCs w:val="22"/>
          <w:lang w:eastAsia="cs-CZ"/>
        </w:rPr>
        <w:t xml:space="preserve">, část </w:t>
      </w:r>
      <w:r w:rsidR="00B05661">
        <w:rPr>
          <w:rFonts w:cs="Arial"/>
          <w:bCs/>
          <w:sz w:val="22"/>
          <w:szCs w:val="22"/>
          <w:lang w:eastAsia="cs-CZ"/>
        </w:rPr>
        <w:t>7</w:t>
      </w:r>
      <w:r w:rsidR="002D081C">
        <w:rPr>
          <w:rFonts w:cs="Arial"/>
          <w:bCs/>
          <w:sz w:val="22"/>
          <w:szCs w:val="22"/>
          <w:lang w:eastAsia="cs-CZ"/>
        </w:rPr>
        <w:t xml:space="preserve"> – </w:t>
      </w:r>
      <w:r w:rsidR="00B05661">
        <w:rPr>
          <w:rFonts w:cs="Arial"/>
          <w:bCs/>
          <w:sz w:val="22"/>
          <w:szCs w:val="22"/>
          <w:lang w:eastAsia="cs-CZ"/>
        </w:rPr>
        <w:t>Obnova kvalifikace svářeče</w:t>
      </w:r>
      <w:r w:rsidR="005202EB">
        <w:rPr>
          <w:rFonts w:cs="Arial"/>
          <w:bCs/>
          <w:sz w:val="22"/>
          <w:szCs w:val="22"/>
          <w:lang w:eastAsia="cs-CZ"/>
        </w:rPr>
        <w:t xml:space="preserve"> - EN</w:t>
      </w:r>
      <w:r w:rsidR="002D081C">
        <w:rPr>
          <w:rFonts w:cs="Arial"/>
          <w:bCs/>
          <w:sz w:val="22"/>
          <w:szCs w:val="22"/>
          <w:lang w:eastAsia="cs-CZ"/>
        </w:rPr>
        <w:t xml:space="preserve">, oblast </w:t>
      </w:r>
      <w:r w:rsidR="005202EB">
        <w:rPr>
          <w:rFonts w:cs="Arial"/>
          <w:bCs/>
          <w:sz w:val="22"/>
          <w:szCs w:val="22"/>
          <w:lang w:eastAsia="cs-CZ"/>
        </w:rPr>
        <w:t>Karviná</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296D6C">
        <w:rPr>
          <w:color w:val="FFFFFF"/>
          <w:sz w:val="22"/>
          <w:szCs w:val="20"/>
        </w:rPr>
        <w:t>dohody</w:t>
      </w:r>
    </w:p>
    <w:p w:rsidR="00DD5FF2" w:rsidRPr="006A3B00" w:rsidRDefault="00DD5FF2" w:rsidP="00171255">
      <w:pPr>
        <w:keepNext/>
        <w:spacing w:line="360" w:lineRule="auto"/>
        <w:jc w:val="center"/>
        <w:rPr>
          <w:rFonts w:cs="Arial"/>
          <w:b/>
          <w:sz w:val="14"/>
          <w:szCs w:val="22"/>
        </w:rPr>
      </w:pPr>
    </w:p>
    <w:p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Pr="007856D1" w:rsidRDefault="00171255" w:rsidP="00171255">
      <w:pPr>
        <w:pStyle w:val="Odstavecseseznamem"/>
        <w:spacing w:line="360" w:lineRule="auto"/>
        <w:ind w:left="567"/>
        <w:jc w:val="both"/>
        <w:rPr>
          <w:rFonts w:cs="Arial"/>
          <w:bCs/>
          <w:sz w:val="22"/>
          <w:szCs w:val="22"/>
        </w:rPr>
      </w:pPr>
    </w:p>
    <w:p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53"/>
        <w:gridCol w:w="4747"/>
      </w:tblGrid>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5</w:t>
            </w:r>
            <w:r w:rsidR="00B05661">
              <w:rPr>
                <w:rFonts w:cs="Arial"/>
                <w:sz w:val="22"/>
                <w:szCs w:val="22"/>
              </w:rPr>
              <w:t xml:space="preserve"> 9</w:t>
            </w:r>
            <w:r>
              <w:rPr>
                <w:rFonts w:cs="Arial"/>
                <w:sz w:val="22"/>
                <w:szCs w:val="22"/>
              </w:rPr>
              <w:t>00,-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Kvalifikační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Bez vzdělání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Zdravotní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Lékařské potvrzení o zdravotní způsobilosti</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Další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nepožadováno</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Výstupní doklad</w:t>
            </w:r>
          </w:p>
        </w:tc>
        <w:tc>
          <w:tcPr>
            <w:tcW w:w="4819" w:type="dxa"/>
            <w:shd w:val="clear" w:color="auto" w:fill="FFFFFF" w:themeFill="background1"/>
            <w:vAlign w:val="center"/>
          </w:tcPr>
          <w:p w:rsidR="00D54167" w:rsidRPr="007856D1" w:rsidRDefault="00B05661" w:rsidP="00B05661">
            <w:pPr>
              <w:tabs>
                <w:tab w:val="left" w:pos="1418"/>
              </w:tabs>
              <w:rPr>
                <w:rFonts w:cs="Arial"/>
                <w:sz w:val="22"/>
                <w:szCs w:val="22"/>
              </w:rPr>
            </w:pPr>
            <w:r>
              <w:rPr>
                <w:rFonts w:cs="Arial"/>
                <w:sz w:val="22"/>
                <w:szCs w:val="22"/>
              </w:rPr>
              <w:t>certifikát</w:t>
            </w:r>
            <w:r w:rsidR="002D081C">
              <w:rPr>
                <w:rFonts w:cs="Arial"/>
                <w:sz w:val="22"/>
                <w:szCs w:val="22"/>
              </w:rPr>
              <w:t>, osvědčení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Rozsah rekvalifikace celkem (v hodinách)</w:t>
            </w:r>
          </w:p>
        </w:tc>
        <w:tc>
          <w:tcPr>
            <w:tcW w:w="4819" w:type="dxa"/>
            <w:shd w:val="clear" w:color="auto" w:fill="FFFFFF" w:themeFill="background1"/>
            <w:vAlign w:val="center"/>
          </w:tcPr>
          <w:p w:rsidR="00D54167" w:rsidRPr="007856D1" w:rsidRDefault="00B05661" w:rsidP="00D54167">
            <w:pPr>
              <w:tabs>
                <w:tab w:val="left" w:pos="1418"/>
              </w:tabs>
              <w:rPr>
                <w:rFonts w:cs="Arial"/>
                <w:sz w:val="22"/>
                <w:szCs w:val="22"/>
              </w:rPr>
            </w:pPr>
            <w:r>
              <w:rPr>
                <w:rFonts w:cs="Arial"/>
                <w:sz w:val="22"/>
                <w:szCs w:val="22"/>
              </w:rPr>
              <w:t>24</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819" w:type="dxa"/>
            <w:shd w:val="clear" w:color="auto" w:fill="auto"/>
            <w:vAlign w:val="center"/>
          </w:tcPr>
          <w:p w:rsidR="00D54167" w:rsidRPr="007856D1" w:rsidRDefault="00B05661" w:rsidP="002D081C">
            <w:pPr>
              <w:tabs>
                <w:tab w:val="left" w:pos="1418"/>
              </w:tabs>
              <w:rPr>
                <w:rFonts w:cs="Arial"/>
                <w:sz w:val="22"/>
                <w:szCs w:val="22"/>
              </w:rPr>
            </w:pPr>
            <w:r>
              <w:rPr>
                <w:rFonts w:cs="Arial"/>
                <w:sz w:val="22"/>
                <w:szCs w:val="22"/>
              </w:rPr>
              <w:t>8</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819" w:type="dxa"/>
            <w:shd w:val="clear" w:color="auto" w:fill="auto"/>
            <w:vAlign w:val="center"/>
          </w:tcPr>
          <w:p w:rsidR="00D54167" w:rsidRPr="007856D1" w:rsidRDefault="00B05661" w:rsidP="002D081C">
            <w:pPr>
              <w:tabs>
                <w:tab w:val="left" w:pos="1418"/>
              </w:tabs>
              <w:rPr>
                <w:rFonts w:cs="Arial"/>
                <w:sz w:val="22"/>
                <w:szCs w:val="22"/>
              </w:rPr>
            </w:pPr>
            <w:r>
              <w:rPr>
                <w:rFonts w:cs="Arial"/>
                <w:sz w:val="22"/>
                <w:szCs w:val="22"/>
              </w:rPr>
              <w:t>8</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FA1898" w:rsidP="00CB29FD">
            <w:pPr>
              <w:numPr>
                <w:ilvl w:val="0"/>
                <w:numId w:val="12"/>
              </w:numPr>
              <w:tabs>
                <w:tab w:val="left" w:pos="1418"/>
              </w:tabs>
              <w:ind w:left="176" w:hanging="142"/>
              <w:contextualSpacing/>
              <w:rPr>
                <w:rFonts w:cs="Arial"/>
                <w:b/>
                <w:sz w:val="22"/>
                <w:szCs w:val="22"/>
              </w:rPr>
            </w:pPr>
            <w:r w:rsidRPr="007856D1">
              <w:rPr>
                <w:rFonts w:cs="Arial"/>
                <w:b/>
                <w:sz w:val="22"/>
                <w:szCs w:val="22"/>
              </w:rPr>
              <w:t>Způsob o</w:t>
            </w:r>
            <w:r w:rsidR="00D54167" w:rsidRPr="007856D1">
              <w:rPr>
                <w:rFonts w:cs="Arial"/>
                <w:b/>
                <w:sz w:val="22"/>
                <w:szCs w:val="22"/>
              </w:rPr>
              <w:t>věření získaných znalostí a dovedností</w:t>
            </w:r>
          </w:p>
        </w:tc>
        <w:tc>
          <w:tcPr>
            <w:tcW w:w="4819" w:type="dxa"/>
            <w:shd w:val="clear" w:color="auto" w:fill="auto"/>
            <w:vAlign w:val="center"/>
          </w:tcPr>
          <w:p w:rsidR="00D54167" w:rsidRPr="007856D1" w:rsidRDefault="002D081C" w:rsidP="00FA1898">
            <w:pPr>
              <w:tabs>
                <w:tab w:val="left" w:pos="1418"/>
              </w:tabs>
              <w:contextualSpacing/>
              <w:rPr>
                <w:rFonts w:cs="Arial"/>
                <w:sz w:val="22"/>
                <w:szCs w:val="22"/>
              </w:rPr>
            </w:pPr>
            <w:r>
              <w:rPr>
                <w:rFonts w:cs="Arial"/>
                <w:sz w:val="22"/>
                <w:szCs w:val="22"/>
              </w:rPr>
              <w:t>8</w:t>
            </w:r>
          </w:p>
        </w:tc>
      </w:tr>
    </w:tbl>
    <w:p w:rsidR="000C47FC" w:rsidRPr="007856D1" w:rsidRDefault="000C47FC" w:rsidP="00996982">
      <w:pPr>
        <w:pStyle w:val="Odstavecseseznamem"/>
        <w:spacing w:line="360" w:lineRule="auto"/>
        <w:ind w:left="0"/>
        <w:jc w:val="both"/>
        <w:rPr>
          <w:rFonts w:cs="Arial"/>
          <w:bCs/>
          <w:sz w:val="14"/>
          <w:szCs w:val="22"/>
          <w:lang w:eastAsia="cs-CZ"/>
        </w:rPr>
      </w:pPr>
    </w:p>
    <w:p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rsidR="00F94DF3" w:rsidRPr="00171255" w:rsidRDefault="00F94DF3" w:rsidP="00171255">
      <w:pPr>
        <w:keepNext/>
        <w:spacing w:line="360" w:lineRule="auto"/>
        <w:jc w:val="center"/>
        <w:rPr>
          <w:rFonts w:cs="Arial"/>
          <w:b/>
          <w:sz w:val="18"/>
          <w:szCs w:val="22"/>
        </w:rPr>
      </w:pPr>
    </w:p>
    <w:p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rsidR="00DD5FF2" w:rsidRPr="006A3B00" w:rsidRDefault="00DD5FF2" w:rsidP="00171255">
      <w:pPr>
        <w:keepNext/>
        <w:spacing w:line="360" w:lineRule="auto"/>
        <w:jc w:val="center"/>
        <w:rPr>
          <w:rFonts w:cs="Arial"/>
          <w:b/>
          <w:sz w:val="14"/>
          <w:szCs w:val="22"/>
        </w:rPr>
      </w:pPr>
    </w:p>
    <w:p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FA1898" w:rsidRPr="007856D1">
        <w:rPr>
          <w:rFonts w:cs="Arial"/>
          <w:sz w:val="22"/>
          <w:szCs w:val="22"/>
        </w:rPr>
        <w:t>7</w:t>
      </w:r>
      <w:r w:rsidR="00CB0669" w:rsidRPr="007856D1">
        <w:rPr>
          <w:rFonts w:cs="Arial"/>
          <w:sz w:val="22"/>
          <w:szCs w:val="22"/>
        </w:rPr>
        <w:t xml:space="preserve"> Z</w:t>
      </w:r>
      <w:r w:rsidR="00646479" w:rsidRPr="007856D1">
        <w:rPr>
          <w:rFonts w:cs="Arial"/>
          <w:sz w:val="22"/>
          <w:szCs w:val="22"/>
        </w:rPr>
        <w:t xml:space="preserve">adávací dokumentace - Specifikace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lastRenderedPageBreak/>
        <w:t>stanovit účastníkům rekvalifikačního kurzu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lastRenderedPageBreak/>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r w:rsidRPr="007856D1">
        <w:rPr>
          <w:rFonts w:cs="Arial"/>
          <w:sz w:val="22"/>
          <w:szCs w:val="22"/>
          <w:lang w:val="en-US"/>
        </w:rPr>
        <w:t>Rámcové dohody</w:t>
      </w:r>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rsidR="00171255" w:rsidRPr="00171255" w:rsidRDefault="00171255" w:rsidP="00171255">
      <w:pPr>
        <w:pStyle w:val="Odstavecseseznamem"/>
        <w:spacing w:line="360" w:lineRule="auto"/>
        <w:ind w:left="567" w:right="-1"/>
        <w:jc w:val="both"/>
        <w:rPr>
          <w:rFonts w:cs="Arial"/>
          <w:bCs/>
          <w:sz w:val="18"/>
          <w:szCs w:val="22"/>
          <w:lang w:eastAsia="cs-CZ"/>
        </w:rPr>
      </w:pPr>
    </w:p>
    <w:p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rsidR="007D5B18" w:rsidRPr="006A3B00" w:rsidRDefault="007D5B18" w:rsidP="00171255">
      <w:pPr>
        <w:keepNext/>
        <w:spacing w:line="360" w:lineRule="auto"/>
        <w:jc w:val="center"/>
        <w:rPr>
          <w:rFonts w:cs="Arial"/>
          <w:b/>
          <w:sz w:val="14"/>
          <w:szCs w:val="22"/>
        </w:rPr>
      </w:pP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rsidR="007D5B18" w:rsidRPr="006A3B00" w:rsidRDefault="007D5B18" w:rsidP="00171255">
      <w:pPr>
        <w:keepNext/>
        <w:spacing w:line="360" w:lineRule="auto"/>
        <w:jc w:val="center"/>
        <w:rPr>
          <w:rFonts w:cs="Arial"/>
          <w:b/>
          <w:sz w:val="14"/>
          <w:szCs w:val="22"/>
        </w:rPr>
      </w:pPr>
    </w:p>
    <w:p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B05661" w:rsidRPr="00296D6C">
        <w:rPr>
          <w:rFonts w:cs="Arial"/>
          <w:sz w:val="22"/>
          <w:szCs w:val="22"/>
        </w:rPr>
        <w:t>1</w:t>
      </w:r>
      <w:r w:rsidR="005202EB" w:rsidRPr="00296D6C">
        <w:rPr>
          <w:rFonts w:cs="Arial"/>
          <w:sz w:val="22"/>
          <w:szCs w:val="22"/>
        </w:rPr>
        <w:t> 0</w:t>
      </w:r>
      <w:r w:rsidR="00B05661" w:rsidRPr="00296D6C">
        <w:rPr>
          <w:rFonts w:cs="Arial"/>
          <w:sz w:val="22"/>
          <w:szCs w:val="22"/>
        </w:rPr>
        <w:t>4</w:t>
      </w:r>
      <w:r w:rsidR="005166F0" w:rsidRPr="00296D6C">
        <w:rPr>
          <w:rFonts w:cs="Arial"/>
          <w:sz w:val="22"/>
          <w:szCs w:val="22"/>
        </w:rPr>
        <w:t>0 000</w:t>
      </w:r>
      <w:r w:rsidR="00865095" w:rsidRPr="002D081C">
        <w:rPr>
          <w:rFonts w:cs="Arial"/>
          <w:sz w:val="22"/>
          <w:szCs w:val="22"/>
        </w:rPr>
        <w:t>,-</w:t>
      </w:r>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odepsání příslušné částky z účtu objednatele na účet dodavatele. </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lastRenderedPageBreak/>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prokazatelně absolvují minimálně 80% docházky z celkového rozsahu hodin rekvalifikačního 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171255">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rsidR="003D2F85" w:rsidRDefault="008A7376"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 xml:space="preserve">ámcové dohody musí být dodavatelem zajištěno dostatečným počtem kvalifikovaných a specializovaných osob, přičemž je dodavatel povinen vždy zajistit, aby </w:t>
      </w:r>
      <w:r w:rsidRPr="007856D1">
        <w:rPr>
          <w:rFonts w:cs="Arial"/>
          <w:sz w:val="22"/>
          <w:szCs w:val="22"/>
        </w:rPr>
        <w:lastRenderedPageBreak/>
        <w:t>činnost vyžadující určitou kvalifikaci či specializaci, byla vykonávána vždy takovými fyzickými osobami, které kvalifikaci či specializaci mají</w:t>
      </w:r>
      <w:r w:rsidR="0096621B" w:rsidRPr="007856D1">
        <w:rPr>
          <w:rFonts w:cs="Arial"/>
          <w:sz w:val="22"/>
          <w:szCs w:val="22"/>
        </w:rPr>
        <w:t>.</w:t>
      </w:r>
    </w:p>
    <w:p w:rsidR="00171255" w:rsidRPr="00171255" w:rsidRDefault="00171255" w:rsidP="00171255">
      <w:pPr>
        <w:spacing w:line="360" w:lineRule="auto"/>
        <w:jc w:val="both"/>
        <w:rPr>
          <w:rFonts w:cs="Arial"/>
          <w:sz w:val="22"/>
          <w:szCs w:val="22"/>
        </w:rPr>
      </w:pPr>
    </w:p>
    <w:p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rsidR="00AB29A3" w:rsidRPr="006A3B00" w:rsidRDefault="00AB29A3" w:rsidP="00171255">
      <w:pPr>
        <w:tabs>
          <w:tab w:val="left" w:pos="0"/>
        </w:tabs>
        <w:spacing w:line="360" w:lineRule="auto"/>
        <w:contextualSpacing/>
        <w:jc w:val="center"/>
        <w:outlineLvl w:val="0"/>
        <w:rPr>
          <w:rFonts w:cs="Arial"/>
          <w:b/>
          <w:sz w:val="14"/>
          <w:szCs w:val="22"/>
          <w:lang w:eastAsia="x-none"/>
        </w:rPr>
      </w:pP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r w:rsidRPr="007856D1">
        <w:rPr>
          <w:rFonts w:cs="Arial"/>
          <w:bCs/>
          <w:iCs/>
          <w:sz w:val="22"/>
          <w:szCs w:val="22"/>
          <w:lang w:val="x-none" w:eastAsia="x-none"/>
        </w:rPr>
        <w:t xml:space="preserve">bjednatele.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r w:rsidRPr="007856D1">
        <w:rPr>
          <w:rFonts w:cs="Arial"/>
          <w:bCs/>
          <w:iCs/>
          <w:sz w:val="22"/>
          <w:szCs w:val="22"/>
          <w:lang w:val="x-none" w:eastAsia="x-none"/>
        </w:rPr>
        <w:t>odavatele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r w:rsidRPr="007856D1">
        <w:rPr>
          <w:rFonts w:cs="Arial"/>
          <w:bCs/>
          <w:iCs/>
          <w:sz w:val="22"/>
          <w:szCs w:val="22"/>
          <w:lang w:val="x-none" w:eastAsia="x-none"/>
        </w:rPr>
        <w:t xml:space="preserve">bjednateli odpovídá </w:t>
      </w:r>
      <w:r w:rsidR="00F7450C" w:rsidRPr="007856D1">
        <w:rPr>
          <w:rFonts w:cs="Arial"/>
          <w:bCs/>
          <w:iCs/>
          <w:sz w:val="22"/>
          <w:szCs w:val="22"/>
          <w:lang w:eastAsia="x-none"/>
        </w:rPr>
        <w:t>d</w:t>
      </w:r>
      <w:r w:rsidRPr="007856D1">
        <w:rPr>
          <w:rFonts w:cs="Arial"/>
          <w:bCs/>
          <w:iCs/>
          <w:sz w:val="22"/>
          <w:szCs w:val="22"/>
          <w:lang w:val="x-none" w:eastAsia="x-none"/>
        </w:rPr>
        <w:t xml:space="preserve">odavatel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rsidR="00996982" w:rsidRPr="007856D1" w:rsidRDefault="00996982" w:rsidP="00171255">
      <w:pPr>
        <w:pStyle w:val="Odstavecseseznamem"/>
        <w:spacing w:line="360" w:lineRule="auto"/>
        <w:ind w:left="425"/>
        <w:jc w:val="both"/>
        <w:rPr>
          <w:rFonts w:cs="Arial"/>
          <w:sz w:val="18"/>
          <w:szCs w:val="22"/>
        </w:rPr>
      </w:pPr>
    </w:p>
    <w:p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520714"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w:t>
      </w:r>
      <w:r w:rsidRPr="007856D1">
        <w:rPr>
          <w:rFonts w:cs="Arial"/>
          <w:bCs/>
          <w:sz w:val="22"/>
          <w:szCs w:val="22"/>
        </w:rPr>
        <w:t>ve znění pozdějších předpisů</w:t>
      </w:r>
      <w:r w:rsidRPr="007856D1">
        <w:rPr>
          <w:rFonts w:cs="Arial"/>
          <w:sz w:val="22"/>
          <w:szCs w:val="22"/>
        </w:rPr>
        <w:t xml:space="preserve">, a je sjednána na dobu určitou, a to na </w:t>
      </w:r>
      <w:r w:rsidR="00471894">
        <w:rPr>
          <w:rFonts w:cs="Arial"/>
          <w:sz w:val="22"/>
          <w:szCs w:val="22"/>
        </w:rPr>
        <w:t>48</w:t>
      </w:r>
      <w:r w:rsidR="006A3B00">
        <w:rPr>
          <w:rFonts w:cs="Arial"/>
          <w:sz w:val="22"/>
          <w:szCs w:val="22"/>
        </w:rPr>
        <w:t xml:space="preserve"> </w:t>
      </w:r>
      <w:r w:rsidR="00471894">
        <w:rPr>
          <w:rFonts w:cs="Arial"/>
          <w:sz w:val="22"/>
          <w:szCs w:val="22"/>
        </w:rPr>
        <w:t>měsíců</w:t>
      </w:r>
      <w:r w:rsidRPr="007856D1">
        <w:rPr>
          <w:rFonts w:cs="Arial"/>
          <w:sz w:val="22"/>
          <w:szCs w:val="22"/>
        </w:rPr>
        <w:t xml:space="preserve"> ode dne jejího nabytí účinnosti. </w:t>
      </w:r>
    </w:p>
    <w:p w:rsidR="004B7008" w:rsidRPr="007856D1" w:rsidRDefault="004B7008"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rsidR="00B149EA" w:rsidRPr="007856D1" w:rsidRDefault="00996EE0" w:rsidP="00CB29FD">
      <w:pPr>
        <w:pStyle w:val="Odstavecseseznamem"/>
        <w:numPr>
          <w:ilvl w:val="1"/>
          <w:numId w:val="20"/>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r w:rsidRPr="007856D1">
        <w:rPr>
          <w:rFonts w:cs="Arial"/>
          <w:iCs/>
          <w:sz w:val="22"/>
          <w:szCs w:val="22"/>
          <w:lang w:val="x-none" w:eastAsia="x-none"/>
        </w:rPr>
        <w:t xml:space="preserve">bjednatel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r w:rsidRPr="007856D1">
        <w:rPr>
          <w:rFonts w:cs="Arial"/>
          <w:iCs/>
          <w:sz w:val="22"/>
          <w:szCs w:val="22"/>
          <w:lang w:val="x-none" w:eastAsia="x-none"/>
        </w:rPr>
        <w:t xml:space="preserve">bjednatelem dohodne jinak.   </w:t>
      </w:r>
    </w:p>
    <w:p w:rsidR="00B149EA" w:rsidRPr="007856D1" w:rsidRDefault="0031523A"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rsidR="00B149EA" w:rsidRPr="007856D1" w:rsidRDefault="00170130"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lastRenderedPageBreak/>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rsidR="00996EE0" w:rsidRDefault="009A542E"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rsidR="00171255" w:rsidRPr="00171255" w:rsidRDefault="00171255" w:rsidP="00171255">
      <w:pPr>
        <w:pStyle w:val="Odstavecseseznamem"/>
        <w:spacing w:line="360" w:lineRule="auto"/>
        <w:ind w:left="567"/>
        <w:jc w:val="both"/>
        <w:rPr>
          <w:rFonts w:cs="Arial"/>
          <w:sz w:val="18"/>
          <w:szCs w:val="22"/>
        </w:rPr>
      </w:pPr>
    </w:p>
    <w:p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rsidR="00CE3DED" w:rsidRPr="007856D1" w:rsidRDefault="00CE3DED" w:rsidP="00171255">
      <w:pPr>
        <w:spacing w:line="360" w:lineRule="auto"/>
        <w:jc w:val="both"/>
        <w:rPr>
          <w:rFonts w:cs="Arial"/>
          <w:sz w:val="18"/>
          <w:szCs w:val="22"/>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rsidR="00171255" w:rsidRPr="006A3B00" w:rsidRDefault="00171255" w:rsidP="00171255">
      <w:pPr>
        <w:pStyle w:val="Odstavecseseznamem"/>
        <w:spacing w:line="360" w:lineRule="auto"/>
        <w:ind w:left="567"/>
        <w:jc w:val="both"/>
        <w:rPr>
          <w:rFonts w:cs="Arial"/>
          <w:sz w:val="14"/>
          <w:szCs w:val="22"/>
        </w:rPr>
      </w:pPr>
    </w:p>
    <w:p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Dodavatel je povinen uchovávat doklady související s plněním VZ a umožnit oprávněným osobám výkon kontroly projektu (zejména se jedná o zadavatele,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soudní dvůr,…). Lhůta činí 10 let od skončení plnění VZ , kdy musí být současně splněna podmínka 10 let od následujícího roku po finančním vypořádání posledního realizovaného projektu, který z VZ čerpal. Desetiletá lhůta začíná běžet od 1. ledna kalendářního roku následujícího po roce finančního vypořádání.</w:t>
      </w:r>
    </w:p>
    <w:p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rsidR="000F2B25" w:rsidRPr="007856D1" w:rsidRDefault="000F2B25" w:rsidP="00AF3E4F">
      <w:pPr>
        <w:pStyle w:val="Odstavecseseznamem"/>
        <w:spacing w:line="360" w:lineRule="auto"/>
        <w:ind w:left="426"/>
        <w:jc w:val="both"/>
        <w:rPr>
          <w:rFonts w:cs="Arial"/>
          <w:sz w:val="18"/>
          <w:szCs w:val="22"/>
        </w:rPr>
      </w:pPr>
    </w:p>
    <w:p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rsidR="00C03490" w:rsidRPr="00296D6C"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tbl>
      <w:tblPr>
        <w:tblW w:w="9639" w:type="dxa"/>
        <w:tblInd w:w="108" w:type="dxa"/>
        <w:tblLayout w:type="fixed"/>
        <w:tblLook w:val="01E0" w:firstRow="1" w:lastRow="1" w:firstColumn="1" w:lastColumn="1" w:noHBand="0" w:noVBand="0"/>
      </w:tblPr>
      <w:tblGrid>
        <w:gridCol w:w="4428"/>
        <w:gridCol w:w="236"/>
        <w:gridCol w:w="4975"/>
      </w:tblGrid>
      <w:tr w:rsidR="009503E6" w:rsidRPr="007856D1" w:rsidTr="002D4168">
        <w:tc>
          <w:tcPr>
            <w:tcW w:w="4428" w:type="dxa"/>
          </w:tcPr>
          <w:p w:rsidR="00200934" w:rsidRPr="007856D1" w:rsidRDefault="00200934" w:rsidP="00200934">
            <w:pPr>
              <w:rPr>
                <w:rFonts w:cs="Arial"/>
                <w:i/>
                <w:sz w:val="22"/>
                <w:szCs w:val="22"/>
              </w:rPr>
            </w:pPr>
          </w:p>
        </w:tc>
        <w:tc>
          <w:tcPr>
            <w:tcW w:w="236" w:type="dxa"/>
          </w:tcPr>
          <w:p w:rsidR="001851A3" w:rsidRPr="007856D1" w:rsidRDefault="001851A3" w:rsidP="00996982">
            <w:pPr>
              <w:keepNext/>
              <w:tabs>
                <w:tab w:val="left" w:pos="4680"/>
              </w:tabs>
              <w:spacing w:line="360" w:lineRule="auto"/>
              <w:jc w:val="both"/>
              <w:rPr>
                <w:rFonts w:cs="Arial"/>
                <w:sz w:val="22"/>
                <w:szCs w:val="22"/>
              </w:rPr>
            </w:pPr>
          </w:p>
        </w:tc>
        <w:tc>
          <w:tcPr>
            <w:tcW w:w="4975" w:type="dxa"/>
          </w:tcPr>
          <w:p w:rsidR="001851A3" w:rsidRPr="007856D1" w:rsidRDefault="001851A3" w:rsidP="00996982">
            <w:pPr>
              <w:keepNext/>
              <w:tabs>
                <w:tab w:val="left" w:pos="4680"/>
              </w:tabs>
              <w:spacing w:line="360" w:lineRule="auto"/>
              <w:jc w:val="center"/>
              <w:rPr>
                <w:rFonts w:cs="Arial"/>
                <w:sz w:val="22"/>
                <w:szCs w:val="22"/>
              </w:rPr>
            </w:pPr>
          </w:p>
        </w:tc>
      </w:tr>
    </w:tbl>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 xml:space="preserve">V </w:t>
      </w:r>
      <w:r w:rsidR="0096079C">
        <w:rPr>
          <w:rFonts w:cs="Arial"/>
          <w:sz w:val="22"/>
          <w:szCs w:val="22"/>
        </w:rPr>
        <w:t>Ostravě</w:t>
      </w:r>
      <w:r w:rsidRPr="007856D1">
        <w:rPr>
          <w:rFonts w:cs="Arial"/>
          <w:sz w:val="22"/>
          <w:szCs w:val="22"/>
        </w:rPr>
        <w:t xml:space="preserve"> dne </w:t>
      </w:r>
      <w:r w:rsidR="0096079C">
        <w:rPr>
          <w:rFonts w:cs="Arial"/>
          <w:sz w:val="22"/>
          <w:szCs w:val="22"/>
        </w:rPr>
        <w:t>…………..</w:t>
      </w:r>
      <w:r w:rsidRPr="007856D1">
        <w:rPr>
          <w:rFonts w:cs="Arial"/>
          <w:sz w:val="22"/>
          <w:szCs w:val="22"/>
        </w:rPr>
        <w:tab/>
        <w:t>V</w:t>
      </w:r>
      <w:r w:rsidR="007856D1" w:rsidRPr="007856D1">
        <w:rPr>
          <w:rFonts w:cs="Arial"/>
          <w:sz w:val="22"/>
          <w:szCs w:val="22"/>
        </w:rPr>
        <w:t> </w:t>
      </w:r>
      <w:r w:rsidR="0096079C">
        <w:rPr>
          <w:rFonts w:cs="Arial"/>
          <w:sz w:val="22"/>
          <w:szCs w:val="22"/>
        </w:rPr>
        <w:t>Ostravě</w:t>
      </w:r>
      <w:r w:rsidR="007856D1" w:rsidRPr="007856D1">
        <w:rPr>
          <w:rFonts w:cs="Arial"/>
          <w:sz w:val="22"/>
          <w:szCs w:val="22"/>
        </w:rPr>
        <w:t xml:space="preserve"> </w:t>
      </w:r>
      <w:r w:rsidRPr="007856D1">
        <w:rPr>
          <w:rFonts w:cs="Arial"/>
          <w:sz w:val="22"/>
          <w:szCs w:val="22"/>
        </w:rPr>
        <w:t xml:space="preserve">dne </w:t>
      </w:r>
      <w:r w:rsidR="0096079C">
        <w:rPr>
          <w:rFonts w:cs="Arial"/>
          <w:sz w:val="22"/>
          <w:szCs w:val="22"/>
        </w:rPr>
        <w:t>…………..</w:t>
      </w:r>
    </w:p>
    <w:p w:rsidR="007856D1" w:rsidRPr="007856D1" w:rsidRDefault="007856D1" w:rsidP="00200934">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rsidR="00200934" w:rsidRPr="007856D1" w:rsidRDefault="007856D1" w:rsidP="00200934">
      <w:pPr>
        <w:tabs>
          <w:tab w:val="left" w:pos="4680"/>
        </w:tabs>
        <w:spacing w:line="360" w:lineRule="auto"/>
        <w:jc w:val="both"/>
        <w:rPr>
          <w:rFonts w:cs="Arial"/>
          <w:bCs/>
          <w:sz w:val="22"/>
          <w:szCs w:val="22"/>
        </w:rPr>
      </w:pPr>
      <w:r w:rsidRPr="007856D1">
        <w:rPr>
          <w:rFonts w:cs="Arial"/>
          <w:sz w:val="22"/>
          <w:szCs w:val="22"/>
        </w:rPr>
        <w:t>Dodavatel</w:t>
      </w:r>
      <w:r w:rsidRPr="007856D1">
        <w:rPr>
          <w:rFonts w:cs="Arial"/>
          <w:sz w:val="22"/>
          <w:szCs w:val="22"/>
        </w:rPr>
        <w:tab/>
        <w:t>Objednatel</w:t>
      </w:r>
      <w:r w:rsidR="00200934" w:rsidRPr="007856D1">
        <w:rPr>
          <w:rFonts w:cs="Arial"/>
          <w:bCs/>
          <w:sz w:val="22"/>
          <w:szCs w:val="22"/>
        </w:rPr>
        <w:tab/>
      </w:r>
      <w:r w:rsidR="00200934" w:rsidRPr="007856D1">
        <w:rPr>
          <w:rFonts w:cs="Arial"/>
          <w:sz w:val="22"/>
          <w:szCs w:val="22"/>
        </w:rPr>
        <w:tab/>
      </w:r>
    </w:p>
    <w:sectPr w:rsidR="00200934" w:rsidRPr="007856D1"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1C" w:rsidRDefault="002D081C">
      <w:r>
        <w:separator/>
      </w:r>
    </w:p>
  </w:endnote>
  <w:endnote w:type="continuationSeparator" w:id="0">
    <w:p w:rsidR="002D081C" w:rsidRDefault="002D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1C" w:rsidRPr="007856D1" w:rsidRDefault="002D081C"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9724B4">
      <w:rPr>
        <w:rFonts w:cs="Arial"/>
        <w:noProof/>
        <w:sz w:val="18"/>
        <w:szCs w:val="20"/>
      </w:rPr>
      <w:t>2</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9724B4">
      <w:rPr>
        <w:rFonts w:cs="Arial"/>
        <w:noProof/>
        <w:sz w:val="18"/>
        <w:szCs w:val="20"/>
      </w:rPr>
      <w:t>10</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1C" w:rsidRDefault="002D081C">
      <w:r>
        <w:separator/>
      </w:r>
    </w:p>
  </w:footnote>
  <w:footnote w:type="continuationSeparator" w:id="0">
    <w:p w:rsidR="002D081C" w:rsidRDefault="002D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1C" w:rsidRDefault="002D081C" w:rsidP="00DF00AD">
    <w:pPr>
      <w:pStyle w:val="Zhlav"/>
    </w:pPr>
    <w:r>
      <w:rPr>
        <w:noProof/>
      </w:rPr>
      <w:drawing>
        <wp:inline distT="0" distB="0" distL="0" distR="0" wp14:anchorId="77730583" wp14:editId="12A759C5">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3"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4"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1"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4"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6"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17"/>
  </w:num>
  <w:num w:numId="4">
    <w:abstractNumId w:val="5"/>
  </w:num>
  <w:num w:numId="5">
    <w:abstractNumId w:val="24"/>
  </w:num>
  <w:num w:numId="6">
    <w:abstractNumId w:val="15"/>
  </w:num>
  <w:num w:numId="7">
    <w:abstractNumId w:val="9"/>
  </w:num>
  <w:num w:numId="8">
    <w:abstractNumId w:val="7"/>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10"/>
  </w:num>
  <w:num w:numId="14">
    <w:abstractNumId w:val="16"/>
  </w:num>
  <w:num w:numId="15">
    <w:abstractNumId w:val="26"/>
  </w:num>
  <w:num w:numId="16">
    <w:abstractNumId w:val="27"/>
  </w:num>
  <w:num w:numId="17">
    <w:abstractNumId w:val="25"/>
  </w:num>
  <w:num w:numId="18">
    <w:abstractNumId w:val="4"/>
  </w:num>
  <w:num w:numId="19">
    <w:abstractNumId w:val="13"/>
  </w:num>
  <w:num w:numId="20">
    <w:abstractNumId w:val="14"/>
  </w:num>
  <w:num w:numId="21">
    <w:abstractNumId w:val="1"/>
  </w:num>
  <w:num w:numId="22">
    <w:abstractNumId w:val="23"/>
  </w:num>
  <w:num w:numId="23">
    <w:abstractNumId w:val="0"/>
  </w:num>
  <w:num w:numId="24">
    <w:abstractNumId w:val="21"/>
  </w:num>
  <w:num w:numId="25">
    <w:abstractNumId w:val="2"/>
  </w:num>
  <w:num w:numId="26">
    <w:abstractNumId w:val="6"/>
  </w:num>
  <w:num w:numId="27">
    <w:abstractNumId w:val="8"/>
  </w:num>
  <w:num w:numId="28">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A"/>
    <w:rsid w:val="00001CEF"/>
    <w:rsid w:val="000118A5"/>
    <w:rsid w:val="00014CB3"/>
    <w:rsid w:val="00016D52"/>
    <w:rsid w:val="00020504"/>
    <w:rsid w:val="00031638"/>
    <w:rsid w:val="0003316E"/>
    <w:rsid w:val="00034325"/>
    <w:rsid w:val="000408F8"/>
    <w:rsid w:val="00041D2B"/>
    <w:rsid w:val="00042124"/>
    <w:rsid w:val="00045EBB"/>
    <w:rsid w:val="00047F5B"/>
    <w:rsid w:val="000501EF"/>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4753"/>
    <w:rsid w:val="00105A25"/>
    <w:rsid w:val="0010704D"/>
    <w:rsid w:val="00112661"/>
    <w:rsid w:val="001158EF"/>
    <w:rsid w:val="00120167"/>
    <w:rsid w:val="001203B8"/>
    <w:rsid w:val="00121506"/>
    <w:rsid w:val="00126241"/>
    <w:rsid w:val="00132410"/>
    <w:rsid w:val="00132C82"/>
    <w:rsid w:val="00134865"/>
    <w:rsid w:val="001349C3"/>
    <w:rsid w:val="00135A56"/>
    <w:rsid w:val="00137198"/>
    <w:rsid w:val="001409D3"/>
    <w:rsid w:val="00141080"/>
    <w:rsid w:val="001429A5"/>
    <w:rsid w:val="00144949"/>
    <w:rsid w:val="00147194"/>
    <w:rsid w:val="00152D8C"/>
    <w:rsid w:val="001538FA"/>
    <w:rsid w:val="001550E3"/>
    <w:rsid w:val="0016145C"/>
    <w:rsid w:val="001650D0"/>
    <w:rsid w:val="001650D6"/>
    <w:rsid w:val="00165804"/>
    <w:rsid w:val="00166D01"/>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B58"/>
    <w:rsid w:val="001E6AF8"/>
    <w:rsid w:val="001F29B3"/>
    <w:rsid w:val="001F2B2A"/>
    <w:rsid w:val="001F2C49"/>
    <w:rsid w:val="001F3473"/>
    <w:rsid w:val="001F77F4"/>
    <w:rsid w:val="00200934"/>
    <w:rsid w:val="00206D18"/>
    <w:rsid w:val="002074DB"/>
    <w:rsid w:val="00210F26"/>
    <w:rsid w:val="002150E8"/>
    <w:rsid w:val="00222084"/>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6D6C"/>
    <w:rsid w:val="00297DE0"/>
    <w:rsid w:val="002A08F5"/>
    <w:rsid w:val="002A5570"/>
    <w:rsid w:val="002A7DD9"/>
    <w:rsid w:val="002A7FE7"/>
    <w:rsid w:val="002B21C4"/>
    <w:rsid w:val="002B2C8C"/>
    <w:rsid w:val="002B57A6"/>
    <w:rsid w:val="002B7BE0"/>
    <w:rsid w:val="002C0F88"/>
    <w:rsid w:val="002C2A25"/>
    <w:rsid w:val="002D081C"/>
    <w:rsid w:val="002D4168"/>
    <w:rsid w:val="002D7D58"/>
    <w:rsid w:val="002E1E0D"/>
    <w:rsid w:val="002E6144"/>
    <w:rsid w:val="002F3B45"/>
    <w:rsid w:val="002F5AFA"/>
    <w:rsid w:val="002F6617"/>
    <w:rsid w:val="002F77BC"/>
    <w:rsid w:val="00301A9A"/>
    <w:rsid w:val="00304012"/>
    <w:rsid w:val="003106DF"/>
    <w:rsid w:val="003112AD"/>
    <w:rsid w:val="00311D96"/>
    <w:rsid w:val="00312B94"/>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093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402927"/>
    <w:rsid w:val="004058E6"/>
    <w:rsid w:val="00410A56"/>
    <w:rsid w:val="00414B2F"/>
    <w:rsid w:val="00415815"/>
    <w:rsid w:val="00417263"/>
    <w:rsid w:val="00417331"/>
    <w:rsid w:val="00417AA9"/>
    <w:rsid w:val="004207BD"/>
    <w:rsid w:val="00421986"/>
    <w:rsid w:val="004242B6"/>
    <w:rsid w:val="00424E4F"/>
    <w:rsid w:val="00441211"/>
    <w:rsid w:val="00450E92"/>
    <w:rsid w:val="00451176"/>
    <w:rsid w:val="00461E94"/>
    <w:rsid w:val="00462B09"/>
    <w:rsid w:val="00463CF2"/>
    <w:rsid w:val="00471894"/>
    <w:rsid w:val="00471FBE"/>
    <w:rsid w:val="00472F2B"/>
    <w:rsid w:val="004756F0"/>
    <w:rsid w:val="0047677B"/>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C3F"/>
    <w:rsid w:val="004E5485"/>
    <w:rsid w:val="004F301D"/>
    <w:rsid w:val="004F5346"/>
    <w:rsid w:val="004F54E4"/>
    <w:rsid w:val="004F6184"/>
    <w:rsid w:val="00501E4B"/>
    <w:rsid w:val="00511711"/>
    <w:rsid w:val="00515930"/>
    <w:rsid w:val="00515B4B"/>
    <w:rsid w:val="005166F0"/>
    <w:rsid w:val="00516BDB"/>
    <w:rsid w:val="0051765D"/>
    <w:rsid w:val="005202EB"/>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E66"/>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47E"/>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6AC"/>
    <w:rsid w:val="00606CF1"/>
    <w:rsid w:val="00612033"/>
    <w:rsid w:val="00612D2E"/>
    <w:rsid w:val="006136BD"/>
    <w:rsid w:val="00614C96"/>
    <w:rsid w:val="00616C62"/>
    <w:rsid w:val="0062380F"/>
    <w:rsid w:val="006259A1"/>
    <w:rsid w:val="006278D7"/>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C01AE"/>
    <w:rsid w:val="006C3241"/>
    <w:rsid w:val="006C60C2"/>
    <w:rsid w:val="006C7535"/>
    <w:rsid w:val="006D242E"/>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1722"/>
    <w:rsid w:val="007A2DDC"/>
    <w:rsid w:val="007A7AE9"/>
    <w:rsid w:val="007B1054"/>
    <w:rsid w:val="007B3CA1"/>
    <w:rsid w:val="007B4580"/>
    <w:rsid w:val="007B4E4D"/>
    <w:rsid w:val="007B6272"/>
    <w:rsid w:val="007B633D"/>
    <w:rsid w:val="007C13D0"/>
    <w:rsid w:val="007C189E"/>
    <w:rsid w:val="007C30DB"/>
    <w:rsid w:val="007D2FF2"/>
    <w:rsid w:val="007D5B18"/>
    <w:rsid w:val="007E0C71"/>
    <w:rsid w:val="007F00E7"/>
    <w:rsid w:val="007F0825"/>
    <w:rsid w:val="007F4485"/>
    <w:rsid w:val="007F5C75"/>
    <w:rsid w:val="0080467D"/>
    <w:rsid w:val="00805540"/>
    <w:rsid w:val="00806195"/>
    <w:rsid w:val="00806543"/>
    <w:rsid w:val="00811D59"/>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1202"/>
    <w:rsid w:val="009461FA"/>
    <w:rsid w:val="00946494"/>
    <w:rsid w:val="00946E10"/>
    <w:rsid w:val="009503E6"/>
    <w:rsid w:val="00952C86"/>
    <w:rsid w:val="00956352"/>
    <w:rsid w:val="0096079C"/>
    <w:rsid w:val="009639E6"/>
    <w:rsid w:val="0096621B"/>
    <w:rsid w:val="00966DD9"/>
    <w:rsid w:val="00966FCB"/>
    <w:rsid w:val="00971561"/>
    <w:rsid w:val="009724B4"/>
    <w:rsid w:val="00973E07"/>
    <w:rsid w:val="00980015"/>
    <w:rsid w:val="00980225"/>
    <w:rsid w:val="00981C52"/>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F0824"/>
    <w:rsid w:val="009F289E"/>
    <w:rsid w:val="009F6169"/>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19AA"/>
    <w:rsid w:val="00AB29A3"/>
    <w:rsid w:val="00AC3639"/>
    <w:rsid w:val="00AC4E2F"/>
    <w:rsid w:val="00AD2FA7"/>
    <w:rsid w:val="00AE58F2"/>
    <w:rsid w:val="00AE7A72"/>
    <w:rsid w:val="00AF1099"/>
    <w:rsid w:val="00AF3E4F"/>
    <w:rsid w:val="00AF5004"/>
    <w:rsid w:val="00AF6229"/>
    <w:rsid w:val="00AF6D99"/>
    <w:rsid w:val="00AF792B"/>
    <w:rsid w:val="00B008B8"/>
    <w:rsid w:val="00B01F7B"/>
    <w:rsid w:val="00B05661"/>
    <w:rsid w:val="00B1388E"/>
    <w:rsid w:val="00B149EA"/>
    <w:rsid w:val="00B14EFA"/>
    <w:rsid w:val="00B15ECA"/>
    <w:rsid w:val="00B171EF"/>
    <w:rsid w:val="00B2077F"/>
    <w:rsid w:val="00B228D0"/>
    <w:rsid w:val="00B46D6B"/>
    <w:rsid w:val="00B50B58"/>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4C3C"/>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77C0"/>
    <w:rsid w:val="00C47C15"/>
    <w:rsid w:val="00C53C0B"/>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1772"/>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5551"/>
    <w:rsid w:val="00DA6966"/>
    <w:rsid w:val="00DC0B84"/>
    <w:rsid w:val="00DC0F31"/>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6C8C"/>
    <w:rsid w:val="00E313A7"/>
    <w:rsid w:val="00E331EE"/>
    <w:rsid w:val="00E34877"/>
    <w:rsid w:val="00E40AFB"/>
    <w:rsid w:val="00E4568D"/>
    <w:rsid w:val="00E46C07"/>
    <w:rsid w:val="00E5315A"/>
    <w:rsid w:val="00E55B14"/>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52A1"/>
    <w:rsid w:val="00F17323"/>
    <w:rsid w:val="00F17731"/>
    <w:rsid w:val="00F2086C"/>
    <w:rsid w:val="00F23E40"/>
    <w:rsid w:val="00F25492"/>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9793B"/>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36A"/>
    <w:rsid w:val="00FD273A"/>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51FDEF8-E5ED-4186-B6B9-2286C158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okbasic31">
    <w:name w:val="okbasic31"/>
    <w:basedOn w:val="Standardnpsmoodstavce"/>
    <w:rsid w:val="00C04C3C"/>
    <w:rPr>
      <w:rFonts w:ascii="Arial CE" w:hAnsi="Arial CE" w:cs="Arial CE"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3278</Words>
  <Characters>19344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Karban Karel Bc. (UPT-KRP)</cp:lastModifiedBy>
  <cp:revision>3</cp:revision>
  <cp:lastPrinted>2020-02-03T14:18:00Z</cp:lastPrinted>
  <dcterms:created xsi:type="dcterms:W3CDTF">2020-02-05T08:29:00Z</dcterms:created>
  <dcterms:modified xsi:type="dcterms:W3CDTF">2020-02-05T08:47:00Z</dcterms:modified>
</cp:coreProperties>
</file>