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E89CE" w14:textId="77777777" w:rsidR="00DA55F2" w:rsidRPr="00FA3C17" w:rsidRDefault="00DA55F2" w:rsidP="00DA55F2">
      <w:pPr>
        <w:ind w:left="2833" w:firstLine="707"/>
        <w:rPr>
          <w:rFonts w:cs="Arial"/>
          <w:b/>
          <w:sz w:val="28"/>
          <w:szCs w:val="28"/>
        </w:rPr>
      </w:pPr>
      <w:r w:rsidRPr="00FA3C17">
        <w:rPr>
          <w:rFonts w:cs="Arial"/>
          <w:b/>
          <w:sz w:val="28"/>
          <w:szCs w:val="28"/>
        </w:rPr>
        <w:t xml:space="preserve">RÁMCOVÁ </w:t>
      </w:r>
      <w:r>
        <w:rPr>
          <w:rFonts w:cs="Arial"/>
          <w:b/>
          <w:sz w:val="28"/>
          <w:szCs w:val="28"/>
        </w:rPr>
        <w:t>DOHODA</w:t>
      </w:r>
    </w:p>
    <w:p w14:paraId="35296806" w14:textId="77777777" w:rsidR="00DA55F2" w:rsidRPr="002237BC" w:rsidRDefault="00DA55F2" w:rsidP="00DA55F2">
      <w:pPr>
        <w:ind w:firstLine="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 dodávkách technických </w:t>
      </w:r>
      <w:r w:rsidRPr="002237BC">
        <w:rPr>
          <w:rFonts w:cs="Arial"/>
          <w:b/>
          <w:sz w:val="28"/>
          <w:szCs w:val="28"/>
        </w:rPr>
        <w:t>plynů pro VŠCHT Praha</w:t>
      </w:r>
    </w:p>
    <w:p w14:paraId="10886CE6" w14:textId="77777777" w:rsidR="00DA55F2" w:rsidRPr="002237BC" w:rsidRDefault="00DA55F2" w:rsidP="00DA55F2">
      <w:pPr>
        <w:ind w:firstLine="1"/>
        <w:jc w:val="center"/>
        <w:rPr>
          <w:rFonts w:cs="Arial"/>
          <w:i/>
          <w:sz w:val="28"/>
          <w:szCs w:val="28"/>
          <w:u w:val="single"/>
        </w:rPr>
      </w:pPr>
    </w:p>
    <w:p w14:paraId="5CC6684E" w14:textId="77777777" w:rsidR="00DA55F2" w:rsidRPr="00B34352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rFonts w:cs="Arial"/>
          <w:i/>
          <w:lang w:val="cs-CZ" w:eastAsia="cs-CZ"/>
        </w:rPr>
      </w:pPr>
      <w:r w:rsidRPr="00B34352">
        <w:rPr>
          <w:rFonts w:cs="Arial"/>
          <w:i/>
          <w:lang w:val="cs-CZ" w:eastAsia="cs-CZ"/>
        </w:rPr>
        <w:t>SMLUVNÍ STRANY</w:t>
      </w:r>
    </w:p>
    <w:p w14:paraId="429C4D61" w14:textId="77777777" w:rsidR="00DA55F2" w:rsidRPr="002249E7" w:rsidRDefault="00DA55F2" w:rsidP="00DA55F2">
      <w:pPr>
        <w:rPr>
          <w:rFonts w:cs="Arial"/>
          <w:b/>
          <w:i/>
        </w:rPr>
      </w:pPr>
      <w:r w:rsidRPr="002249E7">
        <w:rPr>
          <w:rFonts w:cs="Arial"/>
          <w:b/>
          <w:i/>
        </w:rPr>
        <w:t>Vysoká škola chemicko-technologická v Praze</w:t>
      </w:r>
      <w:r w:rsidRPr="002249E7">
        <w:rPr>
          <w:rFonts w:cs="Arial"/>
          <w:b/>
          <w:i/>
        </w:rPr>
        <w:tab/>
      </w:r>
    </w:p>
    <w:p w14:paraId="0151624D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se sídlem:  Technická 5, Praha 6 – Dejvice,  PSČ 160 00</w:t>
      </w:r>
    </w:p>
    <w:p w14:paraId="2A34D234" w14:textId="75FFBFB0" w:rsidR="00DA55F2" w:rsidRPr="007F2284" w:rsidRDefault="00DA55F2" w:rsidP="00DA55F2">
      <w:pPr>
        <w:rPr>
          <w:rFonts w:asciiTheme="minorHAnsi" w:hAnsiTheme="minorHAnsi" w:cstheme="minorHAnsi"/>
          <w:i/>
          <w:szCs w:val="22"/>
        </w:rPr>
      </w:pPr>
      <w:r w:rsidRPr="007F2284">
        <w:rPr>
          <w:rFonts w:asciiTheme="minorHAnsi" w:hAnsiTheme="minorHAnsi" w:cstheme="minorHAnsi"/>
          <w:i/>
          <w:szCs w:val="22"/>
        </w:rPr>
        <w:t xml:space="preserve">zastoupená: </w:t>
      </w:r>
      <w:r w:rsidR="00A725F9">
        <w:rPr>
          <w:rFonts w:asciiTheme="minorHAnsi" w:eastAsiaTheme="minorHAnsi" w:hAnsiTheme="minorHAnsi" w:cstheme="minorHAnsi"/>
          <w:i/>
          <w:szCs w:val="22"/>
          <w:lang w:eastAsia="en-US"/>
        </w:rPr>
        <w:t>xxxxxxxxxxxxxxxx</w:t>
      </w:r>
      <w:r w:rsidRPr="007F2284">
        <w:rPr>
          <w:rFonts w:asciiTheme="minorHAnsi" w:hAnsiTheme="minorHAnsi" w:cstheme="minorHAnsi"/>
          <w:i/>
          <w:szCs w:val="22"/>
        </w:rPr>
        <w:t>, rektor</w:t>
      </w:r>
    </w:p>
    <w:p w14:paraId="4770F181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IČO: 60461373</w:t>
      </w:r>
    </w:p>
    <w:p w14:paraId="52EDB452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DIČ: CZ60461373</w:t>
      </w:r>
    </w:p>
    <w:p w14:paraId="042B96D8" w14:textId="3EFA5085" w:rsidR="00DA55F2" w:rsidRPr="00C749AE" w:rsidRDefault="00A725F9" w:rsidP="00DA55F2">
      <w:pPr>
        <w:rPr>
          <w:rFonts w:cs="Arial"/>
          <w:i/>
        </w:rPr>
      </w:pPr>
      <w:r>
        <w:rPr>
          <w:rFonts w:cs="Arial"/>
          <w:i/>
        </w:rPr>
        <w:t>Bankovní spojení: xxxxxxxxxxxxxxxx</w:t>
      </w:r>
    </w:p>
    <w:p w14:paraId="174682E9" w14:textId="070C1E0C" w:rsidR="00DA55F2" w:rsidRPr="00C749AE" w:rsidRDefault="00A725F9" w:rsidP="00DA55F2">
      <w:pPr>
        <w:rPr>
          <w:rFonts w:cs="Arial"/>
          <w:i/>
        </w:rPr>
      </w:pPr>
      <w:r>
        <w:rPr>
          <w:rFonts w:cs="Arial"/>
          <w:i/>
        </w:rPr>
        <w:t>Číslo účtu: xxxxxxxxxxxxxxxxxxxxxxxx</w:t>
      </w:r>
    </w:p>
    <w:p w14:paraId="0718DF18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(dále jen "</w:t>
      </w:r>
      <w:r w:rsidRPr="0062074D">
        <w:rPr>
          <w:rFonts w:cs="Arial"/>
          <w:b/>
          <w:i/>
        </w:rPr>
        <w:t>Odběratel</w:t>
      </w:r>
      <w:r w:rsidRPr="00C749AE">
        <w:rPr>
          <w:rFonts w:cs="Arial"/>
          <w:i/>
        </w:rPr>
        <w:t>")</w:t>
      </w:r>
    </w:p>
    <w:p w14:paraId="603342E8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a</w:t>
      </w:r>
    </w:p>
    <w:p w14:paraId="299A980C" w14:textId="77777777" w:rsidR="00DA55F2" w:rsidRPr="00F2206F" w:rsidRDefault="00DA55F2" w:rsidP="00DA55F2">
      <w:pPr>
        <w:rPr>
          <w:rFonts w:cs="Arial"/>
          <w:b/>
          <w:bCs/>
          <w:i/>
        </w:rPr>
      </w:pPr>
      <w:r w:rsidRPr="00F2206F">
        <w:rPr>
          <w:rFonts w:cs="Arial"/>
          <w:b/>
          <w:bCs/>
          <w:i/>
        </w:rPr>
        <w:t>SIAD Czech spol. s r.o.</w:t>
      </w:r>
    </w:p>
    <w:p w14:paraId="2AC7CF11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se sídlem </w:t>
      </w:r>
      <w:r>
        <w:rPr>
          <w:rFonts w:cs="Arial"/>
          <w:i/>
        </w:rPr>
        <w:t>K Hájům 2606/2b, Stodůlky, 155 00  Praha 5</w:t>
      </w:r>
    </w:p>
    <w:p w14:paraId="4E5F7653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zapsaná v obchodním rejstříku vedeném </w:t>
      </w:r>
      <w:r>
        <w:rPr>
          <w:rFonts w:cs="Arial"/>
          <w:i/>
        </w:rPr>
        <w:t xml:space="preserve">Městským </w:t>
      </w:r>
      <w:r w:rsidRPr="00C749AE">
        <w:rPr>
          <w:rFonts w:cs="Arial"/>
          <w:i/>
        </w:rPr>
        <w:t xml:space="preserve">soudem v </w:t>
      </w:r>
      <w:r>
        <w:rPr>
          <w:rFonts w:cs="Arial"/>
          <w:i/>
        </w:rPr>
        <w:t>Praze</w:t>
      </w:r>
      <w:r w:rsidRPr="00C749AE">
        <w:rPr>
          <w:rFonts w:cs="Arial"/>
          <w:i/>
        </w:rPr>
        <w:t xml:space="preserve"> </w:t>
      </w:r>
    </w:p>
    <w:p w14:paraId="3F4B1C01" w14:textId="249C3A80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              zastoupená </w:t>
      </w:r>
      <w:r w:rsidR="00A725F9">
        <w:rPr>
          <w:rFonts w:cs="Arial"/>
          <w:i/>
        </w:rPr>
        <w:t>xxxxxxxxxx</w:t>
      </w:r>
      <w:r>
        <w:rPr>
          <w:rFonts w:cs="Arial"/>
          <w:i/>
        </w:rPr>
        <w:t>, jednatel</w:t>
      </w:r>
    </w:p>
    <w:p w14:paraId="3F7E21A3" w14:textId="04F215BB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Bankovní spojení: </w:t>
      </w:r>
      <w:r w:rsidR="00A725F9">
        <w:rPr>
          <w:rFonts w:cs="Arial"/>
          <w:i/>
        </w:rPr>
        <w:t>xxxxxxxxxx</w:t>
      </w:r>
    </w:p>
    <w:p w14:paraId="64DD4ACC" w14:textId="28555A38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Číslo účtu vedeného u správce daně: </w:t>
      </w:r>
      <w:r w:rsidR="00A725F9">
        <w:rPr>
          <w:rFonts w:cs="Arial"/>
          <w:i/>
        </w:rPr>
        <w:t>xxxxxxxxxxxxxxxx</w:t>
      </w:r>
    </w:p>
    <w:p w14:paraId="188B531F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IČO: </w:t>
      </w:r>
      <w:r>
        <w:rPr>
          <w:rFonts w:cs="Arial"/>
          <w:i/>
        </w:rPr>
        <w:t>48117153</w:t>
      </w:r>
    </w:p>
    <w:p w14:paraId="34008C07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DIČ:</w:t>
      </w:r>
      <w:r>
        <w:rPr>
          <w:rFonts w:cs="Arial"/>
          <w:i/>
        </w:rPr>
        <w:t xml:space="preserve"> CZ48117153</w:t>
      </w:r>
    </w:p>
    <w:p w14:paraId="1408B220" w14:textId="77777777" w:rsidR="00DA55F2" w:rsidRPr="00C749AE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>(dále jen "</w:t>
      </w:r>
      <w:r w:rsidRPr="0062074D">
        <w:rPr>
          <w:rFonts w:cs="Arial"/>
          <w:b/>
          <w:i/>
        </w:rPr>
        <w:t>Dodavatel</w:t>
      </w:r>
      <w:r w:rsidRPr="00C749AE">
        <w:rPr>
          <w:rFonts w:cs="Arial"/>
          <w:i/>
        </w:rPr>
        <w:t>")</w:t>
      </w:r>
    </w:p>
    <w:p w14:paraId="2CA63757" w14:textId="77777777" w:rsidR="00DA55F2" w:rsidRDefault="00DA55F2" w:rsidP="00DA55F2">
      <w:pPr>
        <w:rPr>
          <w:rFonts w:cs="Arial"/>
          <w:i/>
        </w:rPr>
      </w:pPr>
    </w:p>
    <w:p w14:paraId="7FA5C38B" w14:textId="77777777" w:rsidR="00DA55F2" w:rsidRDefault="00DA55F2" w:rsidP="00DA55F2">
      <w:pPr>
        <w:rPr>
          <w:rFonts w:cs="Arial"/>
          <w:i/>
        </w:rPr>
      </w:pPr>
      <w:r>
        <w:rPr>
          <w:rFonts w:cs="Arial"/>
          <w:i/>
        </w:rPr>
        <w:t>(</w:t>
      </w:r>
      <w:r w:rsidRPr="00C749AE">
        <w:rPr>
          <w:rFonts w:cs="Arial"/>
          <w:i/>
        </w:rPr>
        <w:t>Odběratel a Dodavatel dále společně jen "</w:t>
      </w:r>
      <w:r w:rsidRPr="0062074D">
        <w:rPr>
          <w:rFonts w:cs="Arial"/>
          <w:b/>
          <w:i/>
        </w:rPr>
        <w:t>Smluvní strany</w:t>
      </w:r>
      <w:r w:rsidRPr="00C749AE">
        <w:rPr>
          <w:rFonts w:cs="Arial"/>
          <w:i/>
        </w:rPr>
        <w:t>" nebo každý z nich samostatně jen "</w:t>
      </w:r>
      <w:r w:rsidRPr="0062074D">
        <w:rPr>
          <w:rFonts w:cs="Arial"/>
          <w:b/>
          <w:i/>
        </w:rPr>
        <w:t>Smluvní strana</w:t>
      </w:r>
      <w:r w:rsidRPr="00C749AE">
        <w:rPr>
          <w:rFonts w:cs="Arial"/>
          <w:i/>
        </w:rPr>
        <w:t>").</w:t>
      </w:r>
    </w:p>
    <w:p w14:paraId="154B9B84" w14:textId="77777777" w:rsidR="00DA55F2" w:rsidRDefault="00DA55F2" w:rsidP="00DA55F2">
      <w:pPr>
        <w:rPr>
          <w:rFonts w:cs="Arial"/>
          <w:i/>
        </w:rPr>
      </w:pPr>
      <w:r w:rsidRPr="00C749AE">
        <w:rPr>
          <w:rFonts w:cs="Arial"/>
          <w:i/>
        </w:rPr>
        <w:t xml:space="preserve">uzavírají níže uvedeného dne, měsíce a roku tuto rámcovou </w:t>
      </w:r>
      <w:r>
        <w:rPr>
          <w:rFonts w:cs="Arial"/>
          <w:i/>
        </w:rPr>
        <w:t>dohodu</w:t>
      </w:r>
      <w:r w:rsidRPr="00C749AE">
        <w:rPr>
          <w:rFonts w:cs="Arial"/>
          <w:i/>
        </w:rPr>
        <w:t xml:space="preserve"> </w:t>
      </w:r>
      <w:r>
        <w:rPr>
          <w:rFonts w:cs="Arial"/>
          <w:i/>
        </w:rPr>
        <w:t xml:space="preserve">o </w:t>
      </w:r>
      <w:r w:rsidRPr="00C749AE">
        <w:rPr>
          <w:rFonts w:cs="Arial"/>
          <w:i/>
        </w:rPr>
        <w:t>dodávkách technických plynů a plnění s nimi souvisejících (dále jen „</w:t>
      </w:r>
      <w:r w:rsidRPr="0062074D">
        <w:rPr>
          <w:rFonts w:cs="Arial"/>
          <w:b/>
          <w:i/>
        </w:rPr>
        <w:t>Smlouva</w:t>
      </w:r>
      <w:r w:rsidRPr="00C749AE">
        <w:rPr>
          <w:rFonts w:cs="Arial"/>
          <w:i/>
        </w:rPr>
        <w:t>“) v souladu s příslušnými ustanoveními zák. č. 89/2012 Sb., občanský zákoník, ve znění pozdějších předpisů (dále jen „</w:t>
      </w:r>
      <w:r w:rsidRPr="0062074D">
        <w:rPr>
          <w:rFonts w:cs="Arial"/>
          <w:b/>
          <w:i/>
        </w:rPr>
        <w:t>OZ</w:t>
      </w:r>
      <w:r w:rsidRPr="00C749AE">
        <w:rPr>
          <w:rFonts w:cs="Arial"/>
          <w:i/>
        </w:rPr>
        <w:t>“), zejména týkajících se kupní smlouvy.</w:t>
      </w:r>
      <w:r w:rsidRPr="00C749AE">
        <w:rPr>
          <w:rFonts w:cs="Arial"/>
          <w:i/>
        </w:rPr>
        <w:cr/>
      </w:r>
    </w:p>
    <w:p w14:paraId="1099DFB6" w14:textId="77777777" w:rsidR="00DA55F2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rFonts w:cs="Arial"/>
          <w:i/>
          <w:lang w:val="cs-CZ" w:eastAsia="cs-CZ"/>
        </w:rPr>
      </w:pPr>
      <w:r w:rsidRPr="00B6413F">
        <w:rPr>
          <w:rFonts w:cs="Arial"/>
          <w:i/>
          <w:lang w:val="cs-CZ" w:eastAsia="cs-CZ"/>
        </w:rPr>
        <w:t>ZÁKLADNÍ USTANOVENÍ</w:t>
      </w:r>
    </w:p>
    <w:p w14:paraId="7A280AE7" w14:textId="77777777" w:rsidR="00DA55F2" w:rsidRPr="00B6413F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>
        <w:rPr>
          <w:rFonts w:cs="Arial"/>
          <w:i/>
          <w:lang w:val="cs-CZ" w:eastAsia="cs-CZ"/>
        </w:rPr>
        <w:t xml:space="preserve">Dodavatel </w:t>
      </w:r>
      <w:r w:rsidRPr="00B6413F">
        <w:rPr>
          <w:rFonts w:cs="Arial"/>
          <w:i/>
          <w:lang w:val="cs-CZ" w:eastAsia="cs-CZ"/>
        </w:rPr>
        <w:t xml:space="preserve">bere na vědomí, že </w:t>
      </w:r>
      <w:r>
        <w:rPr>
          <w:rFonts w:cs="Arial"/>
          <w:i/>
          <w:lang w:val="cs-CZ" w:eastAsia="cs-CZ"/>
        </w:rPr>
        <w:t>Odběratel</w:t>
      </w:r>
      <w:r w:rsidRPr="00B6413F">
        <w:rPr>
          <w:rFonts w:cs="Arial"/>
          <w:i/>
          <w:lang w:val="cs-CZ" w:eastAsia="cs-CZ"/>
        </w:rPr>
        <w:t xml:space="preserve"> považuje </w:t>
      </w:r>
      <w:r>
        <w:rPr>
          <w:rFonts w:cs="Arial"/>
          <w:i/>
          <w:lang w:val="cs-CZ" w:eastAsia="cs-CZ"/>
        </w:rPr>
        <w:t xml:space="preserve">jeho </w:t>
      </w:r>
      <w:r w:rsidRPr="00B6413F">
        <w:rPr>
          <w:rFonts w:cs="Arial"/>
          <w:i/>
          <w:lang w:val="cs-CZ" w:eastAsia="cs-CZ"/>
        </w:rPr>
        <w:t xml:space="preserve">účast ve veřejné zakázce při splnění kvalifikačních předpokladů za potvrzení skutečnosti, že </w:t>
      </w:r>
      <w:r>
        <w:rPr>
          <w:rFonts w:cs="Arial"/>
          <w:i/>
          <w:lang w:val="cs-CZ" w:eastAsia="cs-CZ"/>
        </w:rPr>
        <w:t>Dodavatel</w:t>
      </w:r>
      <w:r w:rsidRPr="00B6413F">
        <w:rPr>
          <w:rFonts w:cs="Arial"/>
          <w:i/>
          <w:lang w:val="cs-CZ" w:eastAsia="cs-CZ"/>
        </w:rPr>
        <w:t xml:space="preserve"> je ve smyslu ustanovení </w:t>
      </w:r>
      <w:r w:rsidRPr="00B6413F">
        <w:rPr>
          <w:rFonts w:cs="Arial"/>
          <w:i/>
          <w:lang w:val="cs-CZ" w:eastAsia="cs-CZ"/>
        </w:rPr>
        <w:lastRenderedPageBreak/>
        <w:t>§</w:t>
      </w:r>
      <w:r>
        <w:rPr>
          <w:rFonts w:cs="Arial"/>
          <w:i/>
          <w:lang w:val="cs-CZ" w:eastAsia="cs-CZ"/>
        </w:rPr>
        <w:t> </w:t>
      </w:r>
      <w:r w:rsidRPr="00B6413F">
        <w:rPr>
          <w:rFonts w:cs="Arial"/>
          <w:i/>
          <w:lang w:val="cs-CZ" w:eastAsia="cs-CZ"/>
        </w:rPr>
        <w:t>5</w:t>
      </w:r>
      <w:r>
        <w:rPr>
          <w:rFonts w:cs="Arial"/>
          <w:i/>
          <w:lang w:val="cs-CZ" w:eastAsia="cs-CZ"/>
        </w:rPr>
        <w:t> </w:t>
      </w:r>
      <w:r w:rsidRPr="00B6413F">
        <w:rPr>
          <w:rFonts w:cs="Arial"/>
          <w:i/>
          <w:lang w:val="cs-CZ" w:eastAsia="cs-CZ"/>
        </w:rPr>
        <w:t xml:space="preserve">odst. 1 OZ schopen při plnění této Smlouvy jednat se znalostí a pečlivostí, která je s jeho povoláním nebo stavem spojena, s tím, že případné jeho jednání bez této odborné péče půjde k jeho tíži. </w:t>
      </w:r>
      <w:r>
        <w:rPr>
          <w:rFonts w:cs="Arial"/>
          <w:i/>
          <w:lang w:val="cs-CZ" w:eastAsia="cs-CZ"/>
        </w:rPr>
        <w:t>Dodavatel</w:t>
      </w:r>
      <w:r w:rsidRPr="00B6413F">
        <w:rPr>
          <w:rFonts w:cs="Arial"/>
          <w:i/>
          <w:lang w:val="cs-CZ" w:eastAsia="cs-CZ"/>
        </w:rPr>
        <w:t xml:space="preserve"> nesmí svou kvalitu odborníka ani své hospodářské postavení zneužít k</w:t>
      </w:r>
      <w:r>
        <w:rPr>
          <w:rFonts w:cs="Arial"/>
          <w:i/>
          <w:lang w:val="cs-CZ" w:eastAsia="cs-CZ"/>
        </w:rPr>
        <w:t> </w:t>
      </w:r>
      <w:r w:rsidRPr="00B6413F">
        <w:rPr>
          <w:rFonts w:cs="Arial"/>
          <w:i/>
          <w:lang w:val="cs-CZ" w:eastAsia="cs-CZ"/>
        </w:rPr>
        <w:t>vytváření nebo k využití závislosti slabší strany a k dosažení zřejmé a nedůvodné nerovnováhy ve vzájemných právech a povinnostech Smluvních stran.</w:t>
      </w:r>
    </w:p>
    <w:p w14:paraId="6D372C30" w14:textId="77777777" w:rsidR="00DA55F2" w:rsidRPr="00B6413F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>
        <w:rPr>
          <w:rFonts w:cs="Arial"/>
          <w:i/>
          <w:lang w:val="cs-CZ" w:eastAsia="cs-CZ"/>
        </w:rPr>
        <w:t xml:space="preserve">Dodavatel </w:t>
      </w:r>
      <w:r w:rsidRPr="00B6413F">
        <w:rPr>
          <w:rFonts w:cs="Arial"/>
          <w:i/>
          <w:lang w:val="cs-CZ" w:eastAsia="cs-CZ"/>
        </w:rPr>
        <w:t xml:space="preserve">bere na vědomí, že </w:t>
      </w:r>
      <w:r>
        <w:rPr>
          <w:rFonts w:cs="Arial"/>
          <w:i/>
          <w:lang w:val="cs-CZ" w:eastAsia="cs-CZ"/>
        </w:rPr>
        <w:t xml:space="preserve">Odběratel </w:t>
      </w:r>
      <w:r w:rsidRPr="00B6413F">
        <w:rPr>
          <w:rFonts w:cs="Arial"/>
          <w:i/>
          <w:lang w:val="cs-CZ" w:eastAsia="cs-CZ"/>
        </w:rPr>
        <w:t>není ve vztahu k předmětu této Smlouvy podnikatelem, a</w:t>
      </w:r>
      <w:r>
        <w:rPr>
          <w:rFonts w:cs="Arial"/>
          <w:i/>
          <w:lang w:val="cs-CZ" w:eastAsia="cs-CZ"/>
        </w:rPr>
        <w:t> </w:t>
      </w:r>
      <w:r w:rsidRPr="00B6413F">
        <w:rPr>
          <w:rFonts w:cs="Arial"/>
          <w:i/>
          <w:lang w:val="cs-CZ" w:eastAsia="cs-CZ"/>
        </w:rPr>
        <w:t xml:space="preserve">ani se předmět této Smlouvy netýká podnikatelské činnosti </w:t>
      </w:r>
      <w:r>
        <w:rPr>
          <w:rFonts w:cs="Arial"/>
          <w:i/>
          <w:lang w:val="cs-CZ" w:eastAsia="cs-CZ"/>
        </w:rPr>
        <w:t>Odběratele</w:t>
      </w:r>
      <w:r w:rsidRPr="00B6413F">
        <w:rPr>
          <w:rFonts w:cs="Arial"/>
          <w:i/>
          <w:lang w:val="cs-CZ" w:eastAsia="cs-CZ"/>
        </w:rPr>
        <w:t>.</w:t>
      </w:r>
    </w:p>
    <w:p w14:paraId="78A71968" w14:textId="77777777" w:rsidR="00DA55F2" w:rsidRPr="0062074D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 w:rsidRPr="0062074D">
        <w:rPr>
          <w:rFonts w:cs="Arial"/>
          <w:i/>
          <w:lang w:val="cs-CZ" w:eastAsia="cs-CZ"/>
        </w:rPr>
        <w:t>Dodavatel se stal vítězem zadávacího řízení vyhlášeného Odběratelem dle zákona č. 134/2016 Sb., o zadávání veřejných zakázek, v platném znění (dále jen “</w:t>
      </w:r>
      <w:r w:rsidRPr="0062074D">
        <w:rPr>
          <w:rFonts w:cs="Arial"/>
          <w:b/>
          <w:i/>
          <w:lang w:val="cs-CZ" w:eastAsia="cs-CZ"/>
        </w:rPr>
        <w:t>ZZVZ</w:t>
      </w:r>
      <w:r w:rsidRPr="0062074D">
        <w:rPr>
          <w:rFonts w:cs="Arial"/>
          <w:i/>
          <w:lang w:val="cs-CZ" w:eastAsia="cs-CZ"/>
        </w:rPr>
        <w:t>“), na veřejnou zakázku s názvem „</w:t>
      </w:r>
      <w:r w:rsidRPr="0062074D">
        <w:rPr>
          <w:rFonts w:cs="Arial"/>
          <w:b/>
          <w:i/>
          <w:lang w:val="cs-CZ" w:eastAsia="cs-CZ"/>
        </w:rPr>
        <w:t>Dodávky technických plynů pro VŠCHT Praha“</w:t>
      </w:r>
      <w:r w:rsidRPr="0062074D">
        <w:rPr>
          <w:rFonts w:cs="Arial"/>
          <w:i/>
          <w:lang w:val="cs-CZ" w:eastAsia="cs-CZ"/>
        </w:rPr>
        <w:t xml:space="preserve"> (dále jen „</w:t>
      </w:r>
      <w:r w:rsidRPr="0062074D">
        <w:rPr>
          <w:rFonts w:cs="Arial"/>
          <w:b/>
          <w:i/>
          <w:lang w:val="cs-CZ" w:eastAsia="cs-CZ"/>
        </w:rPr>
        <w:t>Zadávací řízení</w:t>
      </w:r>
      <w:r w:rsidRPr="0062074D">
        <w:rPr>
          <w:rFonts w:cs="Arial"/>
          <w:i/>
          <w:lang w:val="cs-CZ" w:eastAsia="cs-CZ"/>
        </w:rPr>
        <w:t>“).</w:t>
      </w:r>
    </w:p>
    <w:p w14:paraId="3D86A13E" w14:textId="77777777" w:rsidR="00DA55F2" w:rsidRPr="0062074D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 w:rsidRPr="0062074D">
        <w:rPr>
          <w:rFonts w:cs="Arial"/>
          <w:i/>
          <w:lang w:val="cs-CZ" w:eastAsia="cs-CZ"/>
        </w:rPr>
        <w:t xml:space="preserve">Výchozími podklady pro dodání předmětu plnění dle této Smlouvy jsou rovněž </w:t>
      </w:r>
    </w:p>
    <w:p w14:paraId="70E4A81A" w14:textId="77777777" w:rsidR="00DA55F2" w:rsidRPr="0062074D" w:rsidRDefault="00DA55F2" w:rsidP="00DA55F2">
      <w:pPr>
        <w:pStyle w:val="Odrazka2"/>
        <w:numPr>
          <w:ilvl w:val="0"/>
          <w:numId w:val="29"/>
        </w:numPr>
        <w:ind w:left="1134" w:hanging="567"/>
        <w:rPr>
          <w:i/>
        </w:rPr>
      </w:pPr>
      <w:r w:rsidRPr="0062074D">
        <w:rPr>
          <w:i/>
        </w:rPr>
        <w:t>Zadávací podmínky Zadávacího řízení;</w:t>
      </w:r>
    </w:p>
    <w:p w14:paraId="0F11F2D2" w14:textId="77777777" w:rsidR="00DA55F2" w:rsidRPr="0062074D" w:rsidRDefault="00DA55F2" w:rsidP="00DA55F2">
      <w:pPr>
        <w:pStyle w:val="Odrazka2"/>
        <w:numPr>
          <w:ilvl w:val="0"/>
          <w:numId w:val="29"/>
        </w:numPr>
        <w:ind w:left="1134" w:hanging="567"/>
        <w:rPr>
          <w:i/>
        </w:rPr>
      </w:pPr>
      <w:r w:rsidRPr="0062074D">
        <w:rPr>
          <w:i/>
        </w:rPr>
        <w:t>Nabídka Dodavatele podaná v rámci Zadávacího řízení, která předmět plněn</w:t>
      </w:r>
      <w:r w:rsidRPr="0062074D">
        <w:rPr>
          <w:i/>
          <w:lang w:val="cs-CZ"/>
        </w:rPr>
        <w:t>í</w:t>
      </w:r>
      <w:r w:rsidRPr="0062074D">
        <w:rPr>
          <w:i/>
        </w:rPr>
        <w:t xml:space="preserve"> technicky popisuje (dále jen </w:t>
      </w:r>
      <w:r w:rsidRPr="0062074D">
        <w:rPr>
          <w:b/>
          <w:i/>
        </w:rPr>
        <w:t>„Nabídka“</w:t>
      </w:r>
      <w:r w:rsidRPr="0062074D">
        <w:rPr>
          <w:i/>
        </w:rPr>
        <w:t>)</w:t>
      </w:r>
      <w:r w:rsidRPr="0062074D">
        <w:rPr>
          <w:i/>
          <w:lang w:val="cs-CZ"/>
        </w:rPr>
        <w:t xml:space="preserve">; </w:t>
      </w:r>
    </w:p>
    <w:p w14:paraId="3E9D220E" w14:textId="77777777" w:rsidR="00DA55F2" w:rsidRPr="0062074D" w:rsidRDefault="00DA55F2" w:rsidP="00DA55F2">
      <w:pPr>
        <w:pStyle w:val="Odrazka2"/>
        <w:numPr>
          <w:ilvl w:val="0"/>
          <w:numId w:val="29"/>
        </w:numPr>
        <w:ind w:left="1134" w:hanging="567"/>
        <w:rPr>
          <w:i/>
        </w:rPr>
      </w:pPr>
      <w:r w:rsidRPr="0062074D">
        <w:rPr>
          <w:i/>
        </w:rPr>
        <w:t>Technická specifikace a cenová nabídka</w:t>
      </w:r>
      <w:r w:rsidRPr="0062074D">
        <w:rPr>
          <w:i/>
          <w:lang w:val="cs-CZ"/>
        </w:rPr>
        <w:t xml:space="preserve">, která tvoří </w:t>
      </w:r>
      <w:r w:rsidRPr="0062074D">
        <w:rPr>
          <w:b/>
          <w:i/>
          <w:lang w:val="cs-CZ"/>
        </w:rPr>
        <w:t xml:space="preserve">Přílohu č. 1 této Smlouvy </w:t>
      </w:r>
      <w:r w:rsidRPr="0062074D">
        <w:rPr>
          <w:i/>
          <w:lang w:val="cs-CZ"/>
        </w:rPr>
        <w:t>a</w:t>
      </w:r>
    </w:p>
    <w:p w14:paraId="2D303CAB" w14:textId="77777777" w:rsidR="00DA55F2" w:rsidRPr="0062074D" w:rsidRDefault="00DA55F2" w:rsidP="00DA55F2">
      <w:pPr>
        <w:pStyle w:val="Odrazka2"/>
        <w:numPr>
          <w:ilvl w:val="0"/>
          <w:numId w:val="29"/>
        </w:numPr>
        <w:ind w:left="1134" w:hanging="567"/>
        <w:rPr>
          <w:i/>
          <w:color w:val="FF0000"/>
        </w:rPr>
      </w:pPr>
      <w:r w:rsidRPr="0062074D">
        <w:rPr>
          <w:i/>
          <w:lang w:val="cs-CZ"/>
        </w:rPr>
        <w:t xml:space="preserve">Požadavky na systém evidence tlakových lahví, které tvoří </w:t>
      </w:r>
      <w:r w:rsidRPr="0062074D">
        <w:rPr>
          <w:b/>
          <w:i/>
          <w:lang w:val="cs-CZ"/>
        </w:rPr>
        <w:t>Přílohu č. 2 této Smlouvy.</w:t>
      </w:r>
      <w:r w:rsidRPr="0062074D">
        <w:rPr>
          <w:i/>
          <w:lang w:val="cs-CZ"/>
        </w:rPr>
        <w:t xml:space="preserve">  </w:t>
      </w:r>
      <w:r w:rsidRPr="0062074D">
        <w:rPr>
          <w:i/>
          <w:color w:val="FF0000"/>
          <w:lang w:val="cs-CZ"/>
        </w:rPr>
        <w:t xml:space="preserve"> </w:t>
      </w:r>
    </w:p>
    <w:p w14:paraId="2E942DD6" w14:textId="77777777" w:rsidR="00DA55F2" w:rsidRPr="00B6413F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 w:rsidRPr="0062074D">
        <w:rPr>
          <w:rFonts w:cs="Arial"/>
          <w:i/>
          <w:lang w:val="cs-CZ" w:eastAsia="cs-CZ"/>
        </w:rPr>
        <w:t>Dodavatel prohlašuje, že disponuje veškerými odbornými předpoklady potřebnými pro dodání</w:t>
      </w:r>
      <w:r w:rsidRPr="00B6413F">
        <w:rPr>
          <w:rFonts w:cs="Arial"/>
          <w:i/>
          <w:lang w:val="cs-CZ" w:eastAsia="cs-CZ"/>
        </w:rPr>
        <w:t xml:space="preserve"> předmětu plnění dle Smlouvy, je k jeho plnění / dodání oprávněn a na jeho straně neexistují žádné překážky, které by mu bránily </w:t>
      </w:r>
      <w:r>
        <w:rPr>
          <w:rFonts w:cs="Arial"/>
          <w:i/>
          <w:lang w:val="cs-CZ" w:eastAsia="cs-CZ"/>
        </w:rPr>
        <w:t>předmět této Smlouvy Odběrateli</w:t>
      </w:r>
      <w:r w:rsidRPr="00B6413F">
        <w:rPr>
          <w:rFonts w:cs="Arial"/>
          <w:i/>
          <w:lang w:val="cs-CZ" w:eastAsia="cs-CZ"/>
        </w:rPr>
        <w:t xml:space="preserve"> dodat. </w:t>
      </w:r>
      <w:r>
        <w:rPr>
          <w:rFonts w:cs="Arial"/>
          <w:i/>
          <w:lang w:val="cs-CZ" w:eastAsia="cs-CZ"/>
        </w:rPr>
        <w:t xml:space="preserve">Dodavatel současně potvrzuje, že je držitelem příslušných ISO certifikátů, jak tyto byly prokázány v rámci Zadávacího řízení. </w:t>
      </w:r>
    </w:p>
    <w:p w14:paraId="05AF29B0" w14:textId="77777777" w:rsidR="00DA55F2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>
        <w:rPr>
          <w:rFonts w:cs="Arial"/>
          <w:i/>
          <w:lang w:val="cs-CZ" w:eastAsia="cs-CZ"/>
        </w:rPr>
        <w:t xml:space="preserve">Dodavatel </w:t>
      </w:r>
      <w:r w:rsidRPr="00B6413F">
        <w:rPr>
          <w:rFonts w:cs="Arial"/>
          <w:i/>
          <w:lang w:val="cs-CZ" w:eastAsia="cs-CZ"/>
        </w:rPr>
        <w:t>prohlašuje, že přejímá na sebe nebezpečí změny okolností ve smyslu ustanovení § 1765 odst. 2 OZ.</w:t>
      </w:r>
    </w:p>
    <w:p w14:paraId="2BDEE83B" w14:textId="77777777" w:rsidR="00DA55F2" w:rsidRPr="0062074D" w:rsidRDefault="00DA55F2" w:rsidP="00DA55F2">
      <w:pPr>
        <w:pStyle w:val="Nadpis2"/>
        <w:tabs>
          <w:tab w:val="clear" w:pos="1276"/>
          <w:tab w:val="num" w:pos="709"/>
        </w:tabs>
        <w:ind w:left="709" w:hanging="709"/>
        <w:rPr>
          <w:rFonts w:cs="Arial"/>
          <w:i/>
          <w:lang w:val="cs-CZ" w:eastAsia="cs-CZ"/>
        </w:rPr>
      </w:pPr>
      <w:r w:rsidRPr="0062074D">
        <w:rPr>
          <w:rFonts w:cs="Arial"/>
          <w:i/>
        </w:rPr>
        <w:t>Smluvní strany prohlašují, že zachovají mlčenlivost o skutečnostech, které se dozvědí v souvislosti s touto Smlouvou a při jejím plnění a jejichž vyzrazení by jim mohlo způsobit újmu. Tímto nejsou dotčeny povinnosti Odběratele vyplývající z právních předpisů.</w:t>
      </w:r>
    </w:p>
    <w:p w14:paraId="217FE81E" w14:textId="77777777" w:rsidR="00DA55F2" w:rsidRPr="002249E7" w:rsidRDefault="00DA55F2" w:rsidP="00DA55F2">
      <w:pPr>
        <w:rPr>
          <w:lang w:eastAsia="x-none"/>
        </w:rPr>
      </w:pPr>
    </w:p>
    <w:p w14:paraId="42F881B8" w14:textId="77777777" w:rsidR="00DA55F2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lang w:val="cs-CZ"/>
        </w:rPr>
      </w:pPr>
      <w:r w:rsidRPr="00FA3C17">
        <w:t>Předmět</w:t>
      </w:r>
      <w:r w:rsidRPr="00FA3C17">
        <w:rPr>
          <w:lang w:val="cs-CZ"/>
        </w:rPr>
        <w:t xml:space="preserve"> a účel</w:t>
      </w:r>
      <w:r w:rsidRPr="00FA3C17">
        <w:t xml:space="preserve"> Smlouvy</w:t>
      </w:r>
    </w:p>
    <w:p w14:paraId="529539DF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62074D">
        <w:rPr>
          <w:lang w:val="cs-CZ"/>
        </w:rPr>
        <w:t>Předmětem Smlouvy je závazek Dodavatele zajistit řádně, včas a ve sjednané kvalitě dodávky technických plynů, redukčních ventilů a bezpečnostního materiálu, pronájem příslušných tlakových lahví, poskytnutí systému evidence tlakových láhví a školení pracovníků Odběratele v oblasti BOZP (dále souhrnně „</w:t>
      </w:r>
      <w:r w:rsidRPr="0062074D">
        <w:rPr>
          <w:b/>
          <w:i/>
          <w:lang w:val="cs-CZ"/>
        </w:rPr>
        <w:t>Předmět plnění</w:t>
      </w:r>
      <w:r w:rsidRPr="0062074D">
        <w:rPr>
          <w:lang w:val="cs-CZ"/>
        </w:rPr>
        <w:t xml:space="preserve">“) pro Odběratele po dobu 3 let. Odběratel se zavazuje při provádění </w:t>
      </w:r>
      <w:r>
        <w:rPr>
          <w:lang w:val="cs-CZ"/>
        </w:rPr>
        <w:t>Předmětu plnění</w:t>
      </w:r>
      <w:r w:rsidRPr="0062074D">
        <w:rPr>
          <w:lang w:val="cs-CZ"/>
        </w:rPr>
        <w:t xml:space="preserve"> spolupůsobit a Dodavateli řádně uhradit sjednanou cenu. </w:t>
      </w:r>
      <w:r w:rsidRPr="0062074D">
        <w:rPr>
          <w:u w:val="single"/>
          <w:lang w:val="cs-CZ"/>
        </w:rPr>
        <w:t>Předmět plnění bude Dodavatel realizovat prostřednict</w:t>
      </w:r>
      <w:r>
        <w:rPr>
          <w:u w:val="single"/>
          <w:lang w:val="cs-CZ"/>
        </w:rPr>
        <w:t>vím dílčích dodávek (dále </w:t>
      </w:r>
      <w:r w:rsidRPr="0062074D">
        <w:rPr>
          <w:u w:val="single"/>
          <w:lang w:val="cs-CZ"/>
        </w:rPr>
        <w:t xml:space="preserve">jen </w:t>
      </w:r>
      <w:r w:rsidRPr="0062074D">
        <w:rPr>
          <w:u w:val="single"/>
          <w:lang w:val="cs-CZ"/>
        </w:rPr>
        <w:lastRenderedPageBreak/>
        <w:t>„</w:t>
      </w:r>
      <w:r w:rsidRPr="0062074D">
        <w:rPr>
          <w:b/>
          <w:i/>
          <w:u w:val="single"/>
          <w:lang w:val="cs-CZ"/>
        </w:rPr>
        <w:t>Dodávka</w:t>
      </w:r>
      <w:r w:rsidRPr="0062074D">
        <w:rPr>
          <w:u w:val="single"/>
          <w:lang w:val="cs-CZ"/>
        </w:rPr>
        <w:t>“), a to na základě objednávek Odběratele</w:t>
      </w:r>
      <w:r w:rsidRPr="0062074D">
        <w:rPr>
          <w:lang w:val="cs-CZ"/>
        </w:rPr>
        <w:t>. Sjednaný rozsah Předmětu plnění, cena jednotlivých položek a specifikace jsou uvedeny v Příloze č. 1 této Smlouvy.</w:t>
      </w:r>
    </w:p>
    <w:p w14:paraId="41DA0B89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62074D">
        <w:rPr>
          <w:lang w:val="cs-CZ"/>
        </w:rPr>
        <w:t>Účelem této Smlouvy je upravit a vymezit práva a povinnosti Smluvních stran související s dodávkami technických plynů, redukčních ventilů a bezpečnostního materiálu, pronájmem příslušných tlakových lahví, poskytnutí systému evidence tlakových láhví a školení pracovníků Odběratele v oblasti BOZP.</w:t>
      </w:r>
    </w:p>
    <w:p w14:paraId="64F95358" w14:textId="77777777" w:rsidR="00DA55F2" w:rsidRPr="004E174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4E1741">
        <w:rPr>
          <w:lang w:val="cs-CZ"/>
        </w:rPr>
        <w:t>Dodavatel ručí za jakost plynů dodávaných dle této Smlouvy odpovídající ČSN. Plyny budou opatřeny bezpečnostním listem. Tlakové lahve naplněné na vyšší tlak než 200 bar jsou nepřípustné.</w:t>
      </w:r>
    </w:p>
    <w:p w14:paraId="4BFF493C" w14:textId="77777777" w:rsidR="00DA55F2" w:rsidRPr="004E174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4E1741">
        <w:rPr>
          <w:lang w:val="cs-CZ"/>
        </w:rPr>
        <w:t>Odběratel požaduje přípojný závit pouze dle DIN 477.</w:t>
      </w:r>
      <w:r w:rsidRPr="004E1741">
        <w:t xml:space="preserve"> </w:t>
      </w:r>
    </w:p>
    <w:p w14:paraId="1BA95CB7" w14:textId="77777777" w:rsidR="00DA55F2" w:rsidRPr="004E174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4E1741">
        <w:rPr>
          <w:lang w:val="cs-CZ"/>
        </w:rPr>
        <w:t>Systém evidence talkových láhví (dále jen „</w:t>
      </w:r>
      <w:r w:rsidRPr="004E1741">
        <w:rPr>
          <w:b/>
          <w:i/>
          <w:lang w:val="cs-CZ"/>
        </w:rPr>
        <w:t>systém evidence</w:t>
      </w:r>
      <w:r w:rsidRPr="004E1741">
        <w:rPr>
          <w:lang w:val="cs-CZ"/>
        </w:rPr>
        <w:t>“) bude naplňovat požadavky specifikované v Požadavcích na systém evidence tlakových lahví, které jsou podrobně popsány v Příloze č. 2 této Smlouvy. Systém evidence bude zpřístupněn až 10 zaměstnancům Odběratele pomocí aplikace, která bude dostupná na běžných mobilních zařízeních či tabletech (dále jen „</w:t>
      </w:r>
      <w:r w:rsidRPr="004E1741">
        <w:rPr>
          <w:b/>
          <w:i/>
          <w:lang w:val="cs-CZ"/>
        </w:rPr>
        <w:t>elektronická zařízení</w:t>
      </w:r>
      <w:r w:rsidRPr="004E1741">
        <w:rPr>
          <w:lang w:val="cs-CZ"/>
        </w:rPr>
        <w:t xml:space="preserve">“). Tato elektronická zařízení si obstará Odběratel sám na svůj náklad. Před ukončením této Smlouvy se Dodavatel zavazuje Odběrateli předat veškerá data, která v souvislosti s provozem aplikace vzniknou. Data budou předána ve formátu .csv. </w:t>
      </w:r>
    </w:p>
    <w:p w14:paraId="4B568AC2" w14:textId="77777777" w:rsidR="00DA55F2" w:rsidRPr="00C0567D" w:rsidRDefault="00DA55F2" w:rsidP="00DA55F2">
      <w:pPr>
        <w:rPr>
          <w:lang w:eastAsia="x-none"/>
        </w:rPr>
      </w:pPr>
    </w:p>
    <w:p w14:paraId="521609BF" w14:textId="77777777" w:rsidR="00DA55F2" w:rsidRPr="001E6918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</w:pPr>
      <w:r w:rsidRPr="001E6918">
        <w:t xml:space="preserve">Místo plnění </w:t>
      </w:r>
    </w:p>
    <w:p w14:paraId="3280B2FD" w14:textId="77777777" w:rsidR="00DA55F2" w:rsidRPr="00896AFE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>M</w:t>
      </w:r>
      <w:r w:rsidRPr="00896AFE">
        <w:rPr>
          <w:lang w:val="cs-CZ"/>
        </w:rPr>
        <w:t>ístem plnění pro dodávku technických plynů je sklad Odběratele na adrese:  Vysoká škola chemicko-technologická v Praze, Technická 1905/5, 166 28 Praha 6 - Dejvice, ústřední sklad (dále jen „</w:t>
      </w:r>
      <w:r w:rsidRPr="00896AFE">
        <w:rPr>
          <w:b/>
          <w:i/>
          <w:lang w:val="cs-CZ"/>
        </w:rPr>
        <w:t>místo plnění</w:t>
      </w:r>
      <w:r w:rsidRPr="00896AFE">
        <w:rPr>
          <w:lang w:val="cs-CZ"/>
        </w:rPr>
        <w:t>“).</w:t>
      </w:r>
    </w:p>
    <w:p w14:paraId="0E5F5C25" w14:textId="77777777" w:rsidR="00DA55F2" w:rsidRPr="004E174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4E1741">
        <w:rPr>
          <w:lang w:val="cs-CZ"/>
        </w:rPr>
        <w:t xml:space="preserve">Do areálu VŠCHT Praha-Dejvice není povolen vjezd pro vozidla vyšší než 2,4 m a širší než 1,8 m.  </w:t>
      </w:r>
    </w:p>
    <w:p w14:paraId="7B5EAECF" w14:textId="77777777" w:rsidR="00DA55F2" w:rsidRDefault="00DA55F2" w:rsidP="00DA55F2"/>
    <w:p w14:paraId="7A654451" w14:textId="77777777" w:rsidR="00DA55F2" w:rsidRDefault="00DA55F2" w:rsidP="00DA55F2">
      <w:pPr>
        <w:pStyle w:val="Nadpis1"/>
        <w:tabs>
          <w:tab w:val="clear" w:pos="1844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>Obecné podmínky provedení Dodávky</w:t>
      </w:r>
    </w:p>
    <w:p w14:paraId="19FAC0DA" w14:textId="77777777" w:rsidR="00DA55F2" w:rsidRPr="00766B20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 xml:space="preserve">Dodávku určí Odběratel </w:t>
      </w:r>
      <w:r w:rsidRPr="000A1DAB">
        <w:rPr>
          <w:b/>
          <w:lang w:val="cs-CZ"/>
        </w:rPr>
        <w:t>objednávkou</w:t>
      </w:r>
      <w:r>
        <w:rPr>
          <w:lang w:val="cs-CZ"/>
        </w:rPr>
        <w:t>, která bude obsahovat alespoň:</w:t>
      </w:r>
    </w:p>
    <w:p w14:paraId="43C5348D" w14:textId="77777777" w:rsidR="00DA55F2" w:rsidRDefault="00DA55F2" w:rsidP="00DA55F2">
      <w:pPr>
        <w:pStyle w:val="Odrazka2"/>
        <w:numPr>
          <w:ilvl w:val="1"/>
          <w:numId w:val="9"/>
        </w:numPr>
        <w:tabs>
          <w:tab w:val="clear" w:pos="794"/>
          <w:tab w:val="num" w:pos="1134"/>
        </w:tabs>
        <w:ind w:left="1134" w:hanging="567"/>
      </w:pPr>
      <w:r>
        <w:t xml:space="preserve">identifikační údaje </w:t>
      </w:r>
      <w:r>
        <w:rPr>
          <w:lang w:val="cs-CZ"/>
        </w:rPr>
        <w:t>O</w:t>
      </w:r>
      <w:r w:rsidRPr="009D26D3">
        <w:rPr>
          <w:lang w:val="cs-CZ"/>
        </w:rPr>
        <w:t>dběratele</w:t>
      </w:r>
      <w:r>
        <w:t>;</w:t>
      </w:r>
    </w:p>
    <w:p w14:paraId="7F7DD864" w14:textId="77777777" w:rsidR="00DA55F2" w:rsidRPr="00766B20" w:rsidRDefault="00DA55F2" w:rsidP="00DA55F2">
      <w:pPr>
        <w:pStyle w:val="Odrazka2"/>
        <w:numPr>
          <w:ilvl w:val="1"/>
          <w:numId w:val="9"/>
        </w:numPr>
        <w:tabs>
          <w:tab w:val="clear" w:pos="794"/>
          <w:tab w:val="num" w:pos="1134"/>
        </w:tabs>
        <w:ind w:left="1134" w:hanging="567"/>
      </w:pPr>
      <w:r w:rsidRPr="00766B20">
        <w:t xml:space="preserve">identifikační údaje </w:t>
      </w:r>
      <w:r>
        <w:rPr>
          <w:lang w:val="cs-CZ"/>
        </w:rPr>
        <w:t>D</w:t>
      </w:r>
      <w:r w:rsidRPr="00766B20">
        <w:t>odavatele;</w:t>
      </w:r>
    </w:p>
    <w:p w14:paraId="19E365FF" w14:textId="77777777" w:rsidR="00DA55F2" w:rsidRPr="0062074D" w:rsidRDefault="00DA55F2" w:rsidP="00DA55F2">
      <w:pPr>
        <w:pStyle w:val="Odrazka2"/>
        <w:numPr>
          <w:ilvl w:val="1"/>
          <w:numId w:val="9"/>
        </w:numPr>
        <w:tabs>
          <w:tab w:val="clear" w:pos="794"/>
          <w:tab w:val="num" w:pos="1134"/>
        </w:tabs>
        <w:ind w:left="1134" w:hanging="567"/>
      </w:pPr>
      <w:r w:rsidRPr="0062074D">
        <w:rPr>
          <w:lang w:val="cs-CZ"/>
        </w:rPr>
        <w:t>požadovaný Předmět plnění dle Přílohy č. 1 této Smlouvy specifikovaný počtem a uvedením pracoviště, pro které bude dodán;</w:t>
      </w:r>
      <w:r w:rsidRPr="0062074D">
        <w:t xml:space="preserve"> </w:t>
      </w:r>
    </w:p>
    <w:p w14:paraId="43CCB03E" w14:textId="77777777" w:rsidR="00DA55F2" w:rsidRPr="0062074D" w:rsidRDefault="00DA55F2" w:rsidP="00DA55F2">
      <w:pPr>
        <w:pStyle w:val="Odrazka2"/>
        <w:numPr>
          <w:ilvl w:val="1"/>
          <w:numId w:val="9"/>
        </w:numPr>
        <w:tabs>
          <w:tab w:val="clear" w:pos="794"/>
          <w:tab w:val="num" w:pos="1134"/>
        </w:tabs>
        <w:ind w:left="1134" w:hanging="567"/>
      </w:pPr>
      <w:r w:rsidRPr="0062074D">
        <w:t>cenu plnění,</w:t>
      </w:r>
    </w:p>
    <w:p w14:paraId="1E9214BD" w14:textId="77777777" w:rsidR="00DA55F2" w:rsidRPr="0062074D" w:rsidRDefault="00DA55F2" w:rsidP="00DA55F2">
      <w:pPr>
        <w:pStyle w:val="Odrazka2"/>
        <w:numPr>
          <w:ilvl w:val="1"/>
          <w:numId w:val="9"/>
        </w:numPr>
        <w:tabs>
          <w:tab w:val="clear" w:pos="794"/>
          <w:tab w:val="num" w:pos="1134"/>
        </w:tabs>
        <w:ind w:left="1134" w:hanging="567"/>
      </w:pPr>
      <w:r w:rsidRPr="0062074D">
        <w:lastRenderedPageBreak/>
        <w:t>požadovaný termín dodávky</w:t>
      </w:r>
      <w:r w:rsidRPr="0062074D">
        <w:rPr>
          <w:lang w:val="cs-CZ"/>
        </w:rPr>
        <w:t xml:space="preserve"> technických plynů, redukčních ventilů či bezpečnostního materiálu – </w:t>
      </w:r>
      <w:r w:rsidRPr="0062074D">
        <w:rPr>
          <w:b/>
          <w:u w:val="single"/>
          <w:lang w:val="cs-CZ"/>
        </w:rPr>
        <w:t>pondělí, středa či pátek</w:t>
      </w:r>
      <w:r w:rsidRPr="0062074D">
        <w:rPr>
          <w:u w:val="single"/>
          <w:lang w:val="cs-CZ"/>
        </w:rPr>
        <w:t xml:space="preserve">, </w:t>
      </w:r>
      <w:r w:rsidRPr="0062074D">
        <w:rPr>
          <w:lang w:val="cs-CZ"/>
        </w:rPr>
        <w:t>v případě požadavku na školení zaměstnanců Odběratele bude následně sjednán individuální termín pro jeho poskytnutí.</w:t>
      </w:r>
    </w:p>
    <w:p w14:paraId="653264CF" w14:textId="77777777" w:rsidR="00DA55F2" w:rsidRPr="00312818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rFonts w:cs="Arial"/>
          <w:lang w:val="cs-CZ" w:eastAsia="cs-CZ"/>
        </w:rPr>
      </w:pPr>
      <w:r w:rsidRPr="0062074D">
        <w:rPr>
          <w:rFonts w:cs="Arial"/>
          <w:lang w:val="cs-CZ" w:eastAsia="cs-CZ"/>
        </w:rPr>
        <w:t>Dodávka bude Dodavatelem realizována vždy v nebližším dodacím dni, a to za předpokladu, že bude Dodavateli odeslána objednávka do 10:00 předchozího pracovního dne.</w:t>
      </w:r>
      <w:r w:rsidRPr="0062074D">
        <w:rPr>
          <w:rFonts w:cs="Arial"/>
          <w:b/>
          <w:u w:val="single"/>
          <w:lang w:val="cs-CZ" w:eastAsia="cs-CZ"/>
        </w:rPr>
        <w:t xml:space="preserve"> </w:t>
      </w:r>
      <w:r>
        <w:rPr>
          <w:rFonts w:cs="Arial"/>
          <w:b/>
          <w:u w:val="single"/>
          <w:lang w:val="cs-CZ" w:eastAsia="cs-CZ"/>
        </w:rPr>
        <w:t>Připadne-li na některý z dodacích dní den pracovního klidu či státní či jiný svátek, bude Dodávka realizována v následující pracovní den.</w:t>
      </w:r>
    </w:p>
    <w:p w14:paraId="59524458" w14:textId="77777777" w:rsidR="00DA55F2" w:rsidRPr="00E81CD9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rFonts w:cs="Arial"/>
          <w:lang w:val="cs-CZ" w:eastAsia="cs-CZ"/>
        </w:rPr>
      </w:pPr>
      <w:r w:rsidRPr="00312818">
        <w:rPr>
          <w:rFonts w:cs="Arial"/>
          <w:lang w:val="cs-CZ" w:eastAsia="cs-CZ"/>
        </w:rPr>
        <w:t>Dodavatel zajistí pro zaměstnance Odběratele školení v termínu nejpozději do 14 dní ode dne přijetí objednávky s požadavkem na poskytnutí školení.</w:t>
      </w:r>
      <w:r w:rsidRPr="00312818">
        <w:rPr>
          <w:rFonts w:cs="Arial"/>
          <w:b/>
          <w:lang w:val="cs-CZ" w:eastAsia="cs-CZ"/>
        </w:rPr>
        <w:t xml:space="preserve"> </w:t>
      </w:r>
      <w:r w:rsidRPr="00312818">
        <w:rPr>
          <w:rFonts w:cs="Arial"/>
          <w:lang w:val="cs-CZ" w:eastAsia="cs-CZ"/>
        </w:rPr>
        <w:t>Konkrétní termín školení bude dohodnut mezi zástupci Smluvních stran po potvrzení objednávky Dodavatelem.</w:t>
      </w:r>
      <w:r w:rsidRPr="00312818">
        <w:rPr>
          <w:rFonts w:cs="Arial"/>
          <w:b/>
          <w:lang w:val="cs-CZ" w:eastAsia="cs-CZ"/>
        </w:rPr>
        <w:t xml:space="preserve"> </w:t>
      </w:r>
      <w:r w:rsidRPr="00E81CD9">
        <w:rPr>
          <w:rFonts w:cs="Arial"/>
          <w:lang w:val="cs-CZ" w:eastAsia="cs-CZ"/>
        </w:rPr>
        <w:t xml:space="preserve">  </w:t>
      </w:r>
    </w:p>
    <w:p w14:paraId="4414DA6E" w14:textId="77777777" w:rsidR="00DA55F2" w:rsidRPr="000A1DAB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rFonts w:cs="Arial"/>
          <w:lang w:val="cs-CZ" w:eastAsia="cs-CZ"/>
        </w:rPr>
      </w:pPr>
      <w:r w:rsidRPr="0062074D">
        <w:rPr>
          <w:rFonts w:cs="Arial"/>
          <w:lang w:val="cs-CZ" w:eastAsia="cs-CZ"/>
        </w:rPr>
        <w:t>Objednávka musí být Odběratelem uplatněna písemnou, listinnou</w:t>
      </w:r>
      <w:r w:rsidRPr="002335BB">
        <w:rPr>
          <w:rFonts w:cs="Arial"/>
          <w:lang w:val="cs-CZ" w:eastAsia="cs-CZ"/>
        </w:rPr>
        <w:t xml:space="preserve"> či elektronickou formou. Dodavatel je povinen</w:t>
      </w:r>
      <w:r w:rsidRPr="000A1DAB">
        <w:rPr>
          <w:rFonts w:cs="Arial"/>
          <w:lang w:val="cs-CZ" w:eastAsia="cs-CZ"/>
        </w:rPr>
        <w:t xml:space="preserve"> přijetí objednávky </w:t>
      </w:r>
      <w:r>
        <w:rPr>
          <w:rFonts w:cs="Arial"/>
          <w:lang w:val="cs-CZ" w:eastAsia="cs-CZ"/>
        </w:rPr>
        <w:t>O</w:t>
      </w:r>
      <w:r w:rsidRPr="000A1DAB">
        <w:rPr>
          <w:rFonts w:cs="Arial"/>
          <w:lang w:val="cs-CZ" w:eastAsia="cs-CZ"/>
        </w:rPr>
        <w:t>dběrateli bezodkladně potvrdit.</w:t>
      </w:r>
    </w:p>
    <w:p w14:paraId="6F0C8E77" w14:textId="77777777" w:rsidR="00DA55F2" w:rsidRPr="002237BC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rFonts w:cs="Arial"/>
          <w:b/>
          <w:i/>
          <w:lang w:val="cs-CZ" w:eastAsia="cs-CZ"/>
        </w:rPr>
      </w:pPr>
      <w:r w:rsidRPr="00574A10">
        <w:rPr>
          <w:rFonts w:cs="Arial"/>
          <w:lang w:val="cs-CZ" w:eastAsia="cs-CZ"/>
        </w:rPr>
        <w:t xml:space="preserve">Dodavatel není oprávněn provádět jakékoliv plnění, aniž by k němu od </w:t>
      </w:r>
      <w:r>
        <w:rPr>
          <w:rFonts w:cs="Arial"/>
          <w:lang w:val="cs-CZ" w:eastAsia="cs-CZ"/>
        </w:rPr>
        <w:t>Odběratele</w:t>
      </w:r>
      <w:r w:rsidRPr="00574A10">
        <w:rPr>
          <w:rFonts w:cs="Arial"/>
          <w:lang w:val="cs-CZ" w:eastAsia="cs-CZ"/>
        </w:rPr>
        <w:t xml:space="preserve"> obdržel příslušnou objednávku. </w:t>
      </w:r>
      <w:r w:rsidRPr="00312818">
        <w:rPr>
          <w:rFonts w:cs="Arial"/>
          <w:b/>
          <w:lang w:val="cs-CZ" w:eastAsia="cs-CZ"/>
        </w:rPr>
        <w:t>Odběratel není povinen uskutečnit objednávky v předpokládaném objemu.</w:t>
      </w:r>
    </w:p>
    <w:p w14:paraId="4FC269A2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574A10">
        <w:rPr>
          <w:rFonts w:cs="Arial"/>
          <w:lang w:val="cs-CZ" w:eastAsia="cs-CZ"/>
        </w:rPr>
        <w:t xml:space="preserve">Dodavatel není oprávněn objednávku doručenou </w:t>
      </w:r>
      <w:r>
        <w:rPr>
          <w:rFonts w:cs="Arial"/>
          <w:lang w:val="cs-CZ" w:eastAsia="cs-CZ"/>
        </w:rPr>
        <w:t>mu Odběratelem</w:t>
      </w:r>
      <w:r w:rsidRPr="00574A10">
        <w:rPr>
          <w:rFonts w:cs="Arial"/>
          <w:lang w:val="cs-CZ" w:eastAsia="cs-CZ"/>
        </w:rPr>
        <w:t xml:space="preserve"> v souladu s touto Smlouvou odmítnout. </w:t>
      </w:r>
    </w:p>
    <w:p w14:paraId="705B562C" w14:textId="77777777" w:rsidR="00DA55F2" w:rsidRPr="00574A10" w:rsidRDefault="00DA55F2" w:rsidP="00DA55F2"/>
    <w:p w14:paraId="7B05CC85" w14:textId="77777777" w:rsidR="00DA55F2" w:rsidRPr="00671E34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</w:pPr>
      <w:r>
        <w:rPr>
          <w:lang w:val="cs-CZ"/>
        </w:rPr>
        <w:t xml:space="preserve">Předání a převzetí Dodávky a přechod vlastnického práva </w:t>
      </w:r>
    </w:p>
    <w:p w14:paraId="2883F1F2" w14:textId="77777777" w:rsidR="00DA55F2" w:rsidRPr="00ED0CC8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B34352">
        <w:rPr>
          <w:lang w:val="cs-CZ"/>
        </w:rPr>
        <w:t>Dodávka technických plynů</w:t>
      </w:r>
      <w:r w:rsidRPr="00ED0CC8">
        <w:rPr>
          <w:lang w:val="cs-CZ"/>
        </w:rPr>
        <w:t>, redukčních ventilů či bezpečnostního materiálu</w:t>
      </w:r>
      <w:r w:rsidRPr="00B34352">
        <w:rPr>
          <w:lang w:val="cs-CZ"/>
        </w:rPr>
        <w:t xml:space="preserve"> bude probíhat </w:t>
      </w:r>
      <w:r>
        <w:rPr>
          <w:lang w:val="cs-CZ"/>
        </w:rPr>
        <w:t>v termínech uvedených v odst. 5.1, resp. 5.2 výše</w:t>
      </w:r>
      <w:r w:rsidRPr="00B34352">
        <w:rPr>
          <w:lang w:val="cs-CZ"/>
        </w:rPr>
        <w:t>.</w:t>
      </w:r>
      <w:r>
        <w:rPr>
          <w:lang w:val="cs-CZ"/>
        </w:rPr>
        <w:t xml:space="preserve"> Pokud jde o Dodávku spočívající ve školení, platí termíny uvedené v odst. 5.3 výše.</w:t>
      </w:r>
      <w:r w:rsidRPr="00B34352">
        <w:rPr>
          <w:lang w:val="cs-CZ"/>
        </w:rPr>
        <w:t xml:space="preserve">  </w:t>
      </w:r>
    </w:p>
    <w:p w14:paraId="68E58C7B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>Dodavatel je povinen Odběrateli řádně předat Dodávku dle podmínek uvedených v objednávce a této Smlouvě.</w:t>
      </w:r>
    </w:p>
    <w:p w14:paraId="494B3408" w14:textId="77777777" w:rsidR="00DA55F2" w:rsidRPr="00572ECA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>Odběratel se zavazuje Dodávku řádně převzít a zaplatit za ni Dodavateli sjednanou cenu.</w:t>
      </w:r>
    </w:p>
    <w:p w14:paraId="6517FF94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>O předání a převzetí bude Dodavatelem vždy vyhotoven ve dvou vyhotoveních předávací protokol, který bude oběma smluvními stranami podepsán. Každá ze smluvních stran obdrží po jednom vyhotovení protokolu. Pokud jde o Dodávku spočívající v provedení školení, bude smluvními stranami potvrzena realizace školení s dodáním prezenční listiny zaměstnanců, kteří se daného školení zúčastnili.</w:t>
      </w:r>
    </w:p>
    <w:p w14:paraId="64B4C773" w14:textId="77777777" w:rsidR="00DA55F2" w:rsidRPr="006D1BC8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 xml:space="preserve">Odběratel </w:t>
      </w:r>
      <w:r>
        <w:t>není povinen převzít plnění</w:t>
      </w:r>
      <w:r>
        <w:rPr>
          <w:lang w:val="cs-CZ"/>
        </w:rPr>
        <w:t>,</w:t>
      </w:r>
      <w:r>
        <w:t xml:space="preserve"> které trpí vadami</w:t>
      </w:r>
      <w:r>
        <w:rPr>
          <w:lang w:val="cs-CZ"/>
        </w:rPr>
        <w:t>.</w:t>
      </w:r>
    </w:p>
    <w:p w14:paraId="06547C32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62074D">
        <w:lastRenderedPageBreak/>
        <w:t>Vlastnické právo či právo nájmu k </w:t>
      </w:r>
      <w:r>
        <w:rPr>
          <w:lang w:val="cs-CZ"/>
        </w:rPr>
        <w:t>P</w:t>
      </w:r>
      <w:r w:rsidRPr="0062074D">
        <w:t xml:space="preserve">ředmětu plnění přechází na </w:t>
      </w:r>
      <w:r w:rsidRPr="0062074D">
        <w:rPr>
          <w:lang w:val="cs-CZ"/>
        </w:rPr>
        <w:t>Odběratele</w:t>
      </w:r>
      <w:r w:rsidRPr="0062074D">
        <w:t xml:space="preserve"> vždy podpisem předávacího protokolu a fyzickým převzetím dodávky</w:t>
      </w:r>
      <w:r w:rsidRPr="0062074D">
        <w:rPr>
          <w:lang w:val="cs-CZ"/>
        </w:rPr>
        <w:t xml:space="preserve"> plynů, redukčních ventilů či bezpečnostního materiálu.</w:t>
      </w:r>
      <w:r w:rsidRPr="0062074D">
        <w:t xml:space="preserve"> </w:t>
      </w:r>
    </w:p>
    <w:p w14:paraId="722D2F7A" w14:textId="77777777" w:rsidR="00DA55F2" w:rsidRPr="004E174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4E1741">
        <w:t xml:space="preserve">Odběratel má právo na kontrolu </w:t>
      </w:r>
      <w:r w:rsidRPr="004E1741">
        <w:rPr>
          <w:lang w:val="cs-CZ"/>
        </w:rPr>
        <w:t xml:space="preserve">jakosti technických </w:t>
      </w:r>
      <w:r w:rsidRPr="004E1741">
        <w:t>plyn</w:t>
      </w:r>
      <w:r w:rsidRPr="004E1741">
        <w:rPr>
          <w:lang w:val="cs-CZ"/>
        </w:rPr>
        <w:t>ů</w:t>
      </w:r>
      <w:r w:rsidRPr="004E1741">
        <w:t xml:space="preserve"> Dodavatelem</w:t>
      </w:r>
      <w:r w:rsidRPr="004E1741">
        <w:rPr>
          <w:lang w:val="cs-CZ"/>
        </w:rPr>
        <w:t>, a to na vyžádání</w:t>
      </w:r>
      <w:r w:rsidRPr="004E1741">
        <w:t xml:space="preserve"> s frekvencí </w:t>
      </w:r>
      <w:r w:rsidRPr="004E1741">
        <w:rPr>
          <w:lang w:val="cs-CZ"/>
        </w:rPr>
        <w:t xml:space="preserve">kontroly obsahu 1 tlakové láhve </w:t>
      </w:r>
      <w:r w:rsidRPr="004E1741">
        <w:t xml:space="preserve">jedenkrát za 6 měsíců. </w:t>
      </w:r>
      <w:r w:rsidRPr="004E1741">
        <w:rPr>
          <w:lang w:val="cs-CZ"/>
        </w:rPr>
        <w:t>Požadavek na provedení kontroly jakosti dodaného plynu bude Odběrateli sdělen bez zbytečného odkladu po provedení závozu tlakové láhve, jejíž obsah bude předmětem kontroly.  Vybraná tlaková láhev bude protokolárně předána Dodavateli k provedení kontroly jakosti jejího obsahu.  Odběrateli nebude v tomto případě účtována cena za pronájem a obsah kontrolované tlakové láhve.</w:t>
      </w:r>
      <w:r w:rsidRPr="004E1741">
        <w:t xml:space="preserve"> Dodavatel je povinen v těchto případech </w:t>
      </w:r>
      <w:r w:rsidRPr="004E1741">
        <w:rPr>
          <w:lang w:val="cs-CZ"/>
        </w:rPr>
        <w:t>kontrolovanou tlakovou láhev nechat odvést a nechat si akreditovanou laboratoří vyhotovit</w:t>
      </w:r>
      <w:r w:rsidRPr="004E1741">
        <w:t xml:space="preserve"> posudek o </w:t>
      </w:r>
      <w:r w:rsidRPr="004E1741">
        <w:rPr>
          <w:lang w:val="cs-CZ"/>
        </w:rPr>
        <w:t>jakosti</w:t>
      </w:r>
      <w:r w:rsidRPr="004E1741">
        <w:t xml:space="preserve"> </w:t>
      </w:r>
      <w:r w:rsidRPr="004E1741">
        <w:rPr>
          <w:lang w:val="cs-CZ"/>
        </w:rPr>
        <w:t xml:space="preserve">dodaného </w:t>
      </w:r>
      <w:r w:rsidRPr="004E1741">
        <w:t>plynu</w:t>
      </w:r>
      <w:r w:rsidRPr="004E1741">
        <w:rPr>
          <w:lang w:val="cs-CZ"/>
        </w:rPr>
        <w:t xml:space="preserve">, a to vše </w:t>
      </w:r>
      <w:r w:rsidRPr="004E1741">
        <w:t xml:space="preserve"> na své náklady</w:t>
      </w:r>
      <w:r w:rsidRPr="004E1741">
        <w:rPr>
          <w:lang w:val="cs-CZ"/>
        </w:rPr>
        <w:t xml:space="preserve">. Dodavatel je následně bez zbytečného odkladu povinen předat Odběrateli výsledek provedené kontroly jakosti dodaného plynu. </w:t>
      </w:r>
    </w:p>
    <w:p w14:paraId="4A8346B1" w14:textId="77777777" w:rsidR="00DA55F2" w:rsidRDefault="00DA55F2" w:rsidP="00DA55F2">
      <w:pPr>
        <w:rPr>
          <w:lang w:eastAsia="x-none"/>
        </w:rPr>
      </w:pPr>
    </w:p>
    <w:p w14:paraId="293BD961" w14:textId="77777777" w:rsidR="00DA55F2" w:rsidRPr="009D26D3" w:rsidRDefault="00DA55F2" w:rsidP="00DA55F2">
      <w:pPr>
        <w:rPr>
          <w:lang w:eastAsia="x-none"/>
        </w:rPr>
      </w:pPr>
    </w:p>
    <w:p w14:paraId="780F3959" w14:textId="77777777" w:rsidR="00DA55F2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strike/>
          <w:lang w:val="cs-CZ"/>
        </w:rPr>
      </w:pPr>
      <w:r w:rsidRPr="00C0567D">
        <w:rPr>
          <w:lang w:val="cs-CZ"/>
        </w:rPr>
        <w:t xml:space="preserve">Cena </w:t>
      </w:r>
      <w:r>
        <w:rPr>
          <w:lang w:val="cs-CZ"/>
        </w:rPr>
        <w:t>D</w:t>
      </w:r>
      <w:r w:rsidRPr="00C0567D">
        <w:rPr>
          <w:lang w:val="cs-CZ"/>
        </w:rPr>
        <w:t xml:space="preserve">odávky </w:t>
      </w:r>
      <w:r w:rsidRPr="00C0567D">
        <w:rPr>
          <w:strike/>
          <w:lang w:val="cs-CZ"/>
        </w:rPr>
        <w:t xml:space="preserve"> </w:t>
      </w:r>
    </w:p>
    <w:p w14:paraId="7B1806BC" w14:textId="77777777" w:rsidR="00DA55F2" w:rsidRPr="0062074D" w:rsidRDefault="00DA55F2" w:rsidP="00DA55F2">
      <w:pPr>
        <w:pStyle w:val="Nadpis2"/>
        <w:keepNext w:val="0"/>
        <w:keepLines/>
        <w:tabs>
          <w:tab w:val="clear" w:pos="1276"/>
          <w:tab w:val="num" w:pos="709"/>
        </w:tabs>
        <w:ind w:left="709" w:hanging="709"/>
      </w:pPr>
      <w:r w:rsidRPr="0062074D">
        <w:rPr>
          <w:lang w:val="cs-CZ"/>
        </w:rPr>
        <w:t xml:space="preserve">Cena Dodávky technických plynů, redukčních ventilů, bezpečnostního materiálu včetně pronájmu tlakových láhví a cena za poskytnuté školení pracovníků Odběratele v oblasti BOZP bude stanovena na základě objednávky Odběratele a cenové nabídky Dodavatele uvedené </w:t>
      </w:r>
      <w:r w:rsidRPr="0062074D">
        <w:rPr>
          <w:b/>
          <w:i/>
          <w:lang w:val="cs-CZ"/>
        </w:rPr>
        <w:t>v Příloze č. 1</w:t>
      </w:r>
      <w:r w:rsidRPr="0062074D">
        <w:rPr>
          <w:lang w:val="cs-CZ"/>
        </w:rPr>
        <w:t xml:space="preserve"> této Smlouvy. Cena za poskytování systému evidence bude Dodavatelem účtována předem, a to za období tří měsíců. Je nepřípustné, aby Odběrateli vznikly po Dodávce dodatečné finanční náklady.</w:t>
      </w:r>
    </w:p>
    <w:p w14:paraId="63C760CB" w14:textId="77777777" w:rsidR="00DA55F2" w:rsidRPr="004E1741" w:rsidRDefault="00DA55F2" w:rsidP="00DA55F2">
      <w:pPr>
        <w:pStyle w:val="Nadpis2"/>
        <w:keepNext w:val="0"/>
        <w:keepLines/>
        <w:tabs>
          <w:tab w:val="clear" w:pos="1276"/>
          <w:tab w:val="num" w:pos="709"/>
        </w:tabs>
        <w:ind w:left="709" w:hanging="709"/>
      </w:pPr>
      <w:r w:rsidRPr="004E1741">
        <w:rPr>
          <w:lang w:val="cs-CZ"/>
        </w:rPr>
        <w:t>Dodavatel je oprávněn cenu Dodávky každoročně zvýšit o průměrnou roční míru inflace uveřejněnou Českým statistickým úřadem, přičemž se jedná o hodnotu ukazatele v prosinci daného roku. Jakmile bude tato hodnota Českým statistickým úřadem zveřejněna, je Dodavatel povinen Odběratele informovat zasláním aktualizované Přílohy č. 1 této Smlouvy obsahující nové ceny Předmětu plnění, která nahradí původní Přílohu č. 1 této Smlouvy. Zvýšení cen Dodávek dle této Smlouvy je účinné od prvního dne měsíce následujícího po měsíci, v němž bylo oznámení včetně nové Přílohy č. 1 Odběrateli doručeno.</w:t>
      </w:r>
    </w:p>
    <w:p w14:paraId="72D92761" w14:textId="77777777" w:rsidR="00DA55F2" w:rsidRPr="004E1741" w:rsidRDefault="00DA55F2" w:rsidP="00DA55F2">
      <w:pPr>
        <w:ind w:left="0"/>
        <w:rPr>
          <w:lang w:eastAsia="x-none"/>
        </w:rPr>
      </w:pPr>
    </w:p>
    <w:p w14:paraId="0FC8BA10" w14:textId="77777777" w:rsidR="00DA55F2" w:rsidRPr="004E1741" w:rsidRDefault="00DA55F2" w:rsidP="00DA55F2">
      <w:pPr>
        <w:pStyle w:val="Nadpis1"/>
        <w:tabs>
          <w:tab w:val="clear" w:pos="1844"/>
          <w:tab w:val="num" w:pos="709"/>
        </w:tabs>
        <w:ind w:left="709" w:hanging="709"/>
      </w:pPr>
      <w:r w:rsidRPr="004E1741">
        <w:rPr>
          <w:lang w:val="cs-CZ"/>
        </w:rPr>
        <w:t xml:space="preserve">Platební podmínky  </w:t>
      </w:r>
    </w:p>
    <w:p w14:paraId="2296BB2D" w14:textId="77777777" w:rsidR="00DA55F2" w:rsidRDefault="00DA55F2" w:rsidP="00DA55F2">
      <w:pPr>
        <w:pStyle w:val="Nadpis2"/>
        <w:keepLines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 xml:space="preserve">Jednotlivé Dodávky budou </w:t>
      </w:r>
      <w:r w:rsidRPr="001300CE">
        <w:rPr>
          <w:lang w:val="cs-CZ"/>
        </w:rPr>
        <w:t>vyúčtovány (fakturovány</w:t>
      </w:r>
      <w:r>
        <w:rPr>
          <w:lang w:val="cs-CZ"/>
        </w:rPr>
        <w:t>) v souladu s čl. č. 5 této Smlouvy, a to následujícím způsobem:</w:t>
      </w:r>
    </w:p>
    <w:p w14:paraId="0B976C24" w14:textId="77777777" w:rsidR="00DA55F2" w:rsidRPr="0062074D" w:rsidRDefault="00DA55F2" w:rsidP="00DA55F2">
      <w:pPr>
        <w:numPr>
          <w:ilvl w:val="3"/>
          <w:numId w:val="29"/>
        </w:numPr>
        <w:ind w:left="1134" w:hanging="567"/>
        <w:rPr>
          <w:lang w:eastAsia="x-none"/>
        </w:rPr>
      </w:pPr>
      <w:r w:rsidRPr="0062074D">
        <w:rPr>
          <w:lang w:eastAsia="x-none"/>
        </w:rPr>
        <w:t xml:space="preserve">dodávky technických plynů, </w:t>
      </w:r>
      <w:r w:rsidRPr="0062074D">
        <w:t>redukčních ventilů či bezpečnostního materiálu</w:t>
      </w:r>
      <w:r w:rsidRPr="0062074D">
        <w:rPr>
          <w:lang w:eastAsia="x-none"/>
        </w:rPr>
        <w:t xml:space="preserve"> dle stanovené jednotkové ceny, následující den po závozu, </w:t>
      </w:r>
    </w:p>
    <w:p w14:paraId="4B1C5CCC" w14:textId="77777777" w:rsidR="00DA55F2" w:rsidRPr="0062074D" w:rsidRDefault="00DA55F2" w:rsidP="00DA55F2">
      <w:pPr>
        <w:numPr>
          <w:ilvl w:val="3"/>
          <w:numId w:val="29"/>
        </w:numPr>
        <w:tabs>
          <w:tab w:val="left" w:pos="1134"/>
        </w:tabs>
        <w:ind w:left="1134" w:hanging="567"/>
        <w:rPr>
          <w:lang w:eastAsia="x-none"/>
        </w:rPr>
      </w:pPr>
      <w:r w:rsidRPr="0062074D">
        <w:rPr>
          <w:lang w:eastAsia="x-none"/>
        </w:rPr>
        <w:lastRenderedPageBreak/>
        <w:t xml:space="preserve">pronájem tlakových lahví pro jednotlivá pracoviště dle počtu dní nájmu, přičemž cena bude stanovena za pronájem 1 ks lahve na 1 den; vždy po uplynutí kalendářního čtvrtletí nejpozději do 10. dne následujícího měsíce, </w:t>
      </w:r>
    </w:p>
    <w:p w14:paraId="1A20CF09" w14:textId="77777777" w:rsidR="00DA55F2" w:rsidRPr="0062074D" w:rsidRDefault="00DA55F2" w:rsidP="00DA55F2">
      <w:pPr>
        <w:numPr>
          <w:ilvl w:val="3"/>
          <w:numId w:val="29"/>
        </w:numPr>
        <w:tabs>
          <w:tab w:val="left" w:pos="1134"/>
        </w:tabs>
        <w:ind w:left="1134" w:hanging="567"/>
        <w:rPr>
          <w:lang w:eastAsia="x-none"/>
        </w:rPr>
      </w:pPr>
      <w:r w:rsidRPr="0062074D">
        <w:rPr>
          <w:lang w:eastAsia="x-none"/>
        </w:rPr>
        <w:t xml:space="preserve">licenční poplatek za poskytování systému evidence; vždy předem za kalendářní čtvrtletí, nejpozději do konce předcházejícího měsíce, </w:t>
      </w:r>
    </w:p>
    <w:p w14:paraId="77B34656" w14:textId="77777777" w:rsidR="00DA55F2" w:rsidRPr="0062074D" w:rsidRDefault="00DA55F2" w:rsidP="00DA55F2">
      <w:pPr>
        <w:numPr>
          <w:ilvl w:val="3"/>
          <w:numId w:val="29"/>
        </w:numPr>
        <w:tabs>
          <w:tab w:val="left" w:pos="1134"/>
        </w:tabs>
        <w:ind w:left="1134" w:hanging="567"/>
        <w:rPr>
          <w:lang w:eastAsia="x-none"/>
        </w:rPr>
      </w:pPr>
      <w:r w:rsidRPr="0062074D">
        <w:rPr>
          <w:lang w:eastAsia="x-none"/>
        </w:rPr>
        <w:t>školení pracovníků Odběratele v oblasti BOZP; vždy nejpozději do 14 dní po provedeném školení;</w:t>
      </w:r>
    </w:p>
    <w:p w14:paraId="339E48AE" w14:textId="51CAB967" w:rsidR="00DA55F2" w:rsidRPr="0062074D" w:rsidRDefault="00DA55F2" w:rsidP="00DA55F2">
      <w:pPr>
        <w:numPr>
          <w:ilvl w:val="3"/>
          <w:numId w:val="29"/>
        </w:numPr>
        <w:tabs>
          <w:tab w:val="left" w:pos="1134"/>
        </w:tabs>
        <w:ind w:left="1134" w:hanging="567"/>
        <w:rPr>
          <w:lang w:eastAsia="x-none"/>
        </w:rPr>
      </w:pPr>
      <w:r w:rsidRPr="0062074D">
        <w:rPr>
          <w:lang w:eastAsia="x-none"/>
        </w:rPr>
        <w:t xml:space="preserve">faktury za dodané technické plyny budou  elektronicky zasílány do odboru zásobování na e-mail: </w:t>
      </w:r>
      <w:r w:rsidR="00A725F9">
        <w:rPr>
          <w:lang w:eastAsia="x-none"/>
        </w:rPr>
        <w:t>xxxxxxxxxxxxxxxxxx</w:t>
      </w:r>
      <w:r w:rsidRPr="0062074D">
        <w:rPr>
          <w:lang w:eastAsia="x-none"/>
        </w:rPr>
        <w:t xml:space="preserve"> a do účtárny Odběratele na e-mail: </w:t>
      </w:r>
      <w:r w:rsidR="00A725F9">
        <w:rPr>
          <w:lang w:eastAsia="x-none"/>
        </w:rPr>
        <w:t>xxxxxxxxxxxxxxxxxxxxxxxxxxxxxx</w:t>
      </w:r>
      <w:r w:rsidRPr="0062074D">
        <w:rPr>
          <w:lang w:eastAsia="x-none"/>
        </w:rPr>
        <w:t xml:space="preserve"> ,</w:t>
      </w:r>
    </w:p>
    <w:p w14:paraId="5A57035E" w14:textId="77777777" w:rsidR="00DA55F2" w:rsidRPr="00420BC5" w:rsidRDefault="00DA55F2" w:rsidP="00DA55F2">
      <w:pPr>
        <w:numPr>
          <w:ilvl w:val="3"/>
          <w:numId w:val="29"/>
        </w:numPr>
        <w:tabs>
          <w:tab w:val="left" w:pos="1134"/>
        </w:tabs>
        <w:ind w:left="1134" w:hanging="567"/>
        <w:rPr>
          <w:lang w:eastAsia="x-none"/>
        </w:rPr>
      </w:pPr>
      <w:r w:rsidRPr="0062074D">
        <w:t>vystavená faktura za dodávky technických plynu, redukčních ventilů či bezpečnostního materiálu v elektronické podobě bude zaslána na výše uvedené emailové adresy následný den po dodání a bude obsahovat rozdělení ceny Dodávky podle odebírajících pracovišť. Vystavené faktury za pronájem tlakových lahví pro jednotlivá pracovitě po uplynutí kalendářního čtvrtletí nejpozději do 10. dne následujícího měsíce budou</w:t>
      </w:r>
      <w:r w:rsidRPr="00420BC5">
        <w:t xml:space="preserve"> násobkem počtu lahví* počet dní nájmu* </w:t>
      </w:r>
      <w:r>
        <w:t xml:space="preserve">cena </w:t>
      </w:r>
      <w:r w:rsidRPr="00420BC5">
        <w:t>pronájm</w:t>
      </w:r>
      <w:r>
        <w:t>u</w:t>
      </w:r>
      <w:r w:rsidRPr="00420BC5">
        <w:t xml:space="preserve"> TL za 1 den.</w:t>
      </w:r>
    </w:p>
    <w:p w14:paraId="572903EA" w14:textId="77777777" w:rsidR="00DA55F2" w:rsidRDefault="00DA55F2" w:rsidP="00DA55F2">
      <w:pPr>
        <w:pStyle w:val="Nadpis2"/>
        <w:keepLines/>
        <w:tabs>
          <w:tab w:val="clear" w:pos="1276"/>
          <w:tab w:val="num" w:pos="709"/>
        </w:tabs>
        <w:ind w:left="709" w:hanging="709"/>
        <w:rPr>
          <w:lang w:val="cs-CZ"/>
        </w:rPr>
      </w:pPr>
      <w:r w:rsidRPr="00B34352">
        <w:t>Lhůta splatnosti faktury</w:t>
      </w:r>
      <w:r w:rsidRPr="00420BC5">
        <w:t xml:space="preserve"> je třicet (30) dnů</w:t>
      </w:r>
      <w:r w:rsidRPr="001300CE">
        <w:t xml:space="preserve"> od data jejího</w:t>
      </w:r>
      <w:r>
        <w:t xml:space="preserve"> doručení</w:t>
      </w:r>
      <w:r>
        <w:rPr>
          <w:lang w:val="cs-CZ"/>
        </w:rPr>
        <w:t xml:space="preserve"> O</w:t>
      </w:r>
      <w:r w:rsidRPr="001300CE">
        <w:rPr>
          <w:lang w:val="cs-CZ"/>
        </w:rPr>
        <w:t>dběrateli</w:t>
      </w:r>
      <w:r w:rsidRPr="001300CE">
        <w:t>. Zaplacením</w:t>
      </w:r>
      <w:r>
        <w:t xml:space="preserve"> účtované částky se rozumí den jejího odeslání na účet </w:t>
      </w:r>
      <w:r>
        <w:rPr>
          <w:lang w:val="cs-CZ"/>
        </w:rPr>
        <w:t>D</w:t>
      </w:r>
      <w:r w:rsidRPr="00917C34">
        <w:t>odavatele</w:t>
      </w:r>
      <w:r>
        <w:t xml:space="preserve">. Daňové doklady - faktury vystavené </w:t>
      </w:r>
      <w:r>
        <w:rPr>
          <w:lang w:val="cs-CZ"/>
        </w:rPr>
        <w:t>D</w:t>
      </w:r>
      <w:r w:rsidRPr="00917C34">
        <w:t>odavatelem</w:t>
      </w:r>
      <w:r>
        <w:t xml:space="preserve"> podle této </w:t>
      </w:r>
      <w:r>
        <w:rPr>
          <w:lang w:val="cs-CZ"/>
        </w:rPr>
        <w:t>S</w:t>
      </w:r>
      <w:r>
        <w:t>mlouvy budou v souladu s příslušnými právními předpisy České republiky obsahovat zejména tyto údaje:</w:t>
      </w:r>
      <w:r>
        <w:rPr>
          <w:lang w:val="cs-CZ"/>
        </w:rPr>
        <w:t xml:space="preserve"> </w:t>
      </w:r>
    </w:p>
    <w:p w14:paraId="5B880EE2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 xml:space="preserve">obchodní firmu/název a sídlo </w:t>
      </w:r>
      <w:r>
        <w:rPr>
          <w:lang w:val="cs-CZ"/>
        </w:rPr>
        <w:t>Odběratele;</w:t>
      </w:r>
    </w:p>
    <w:p w14:paraId="0DAFDD01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 xml:space="preserve">daňové identifikační číslo </w:t>
      </w:r>
      <w:r>
        <w:rPr>
          <w:lang w:val="cs-CZ"/>
        </w:rPr>
        <w:t>Odběratele;</w:t>
      </w:r>
    </w:p>
    <w:p w14:paraId="2EBE2E3B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>obchodní firmu/název a sídlo Dodavatele</w:t>
      </w:r>
      <w:r>
        <w:rPr>
          <w:lang w:val="cs-CZ"/>
        </w:rPr>
        <w:t>;</w:t>
      </w:r>
    </w:p>
    <w:p w14:paraId="5100501E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>daňové identifikační číslo Dodavatele</w:t>
      </w:r>
      <w:r>
        <w:rPr>
          <w:lang w:val="cs-CZ"/>
        </w:rPr>
        <w:t>;</w:t>
      </w:r>
    </w:p>
    <w:p w14:paraId="140E8211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>evidenční číslo daňového dokladu</w:t>
      </w:r>
      <w:r>
        <w:rPr>
          <w:lang w:val="cs-CZ"/>
        </w:rPr>
        <w:t>;</w:t>
      </w:r>
    </w:p>
    <w:p w14:paraId="0BA080A0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>rozsah a předmět plnění</w:t>
      </w:r>
      <w:r>
        <w:rPr>
          <w:lang w:val="cs-CZ"/>
        </w:rPr>
        <w:t>;</w:t>
      </w:r>
    </w:p>
    <w:p w14:paraId="27732150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>datum vystavení daňového dokladu</w:t>
      </w:r>
      <w:r>
        <w:rPr>
          <w:lang w:val="cs-CZ"/>
        </w:rPr>
        <w:t>;</w:t>
      </w:r>
    </w:p>
    <w:p w14:paraId="06D1D3D5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 w:rsidRPr="00766B20">
        <w:t>datum uskutečnění plnění nebo datum přijetí úplaty, a to ten den, který nastane dříve, pokud se liší od data vystavení daňového dokladu</w:t>
      </w:r>
      <w:r>
        <w:rPr>
          <w:lang w:val="cs-CZ"/>
        </w:rPr>
        <w:t>;</w:t>
      </w:r>
    </w:p>
    <w:p w14:paraId="3AB836B8" w14:textId="77777777" w:rsidR="00DA55F2" w:rsidRPr="00766B20" w:rsidRDefault="00DA55F2" w:rsidP="00DA55F2">
      <w:pPr>
        <w:pStyle w:val="Odrazka2"/>
        <w:numPr>
          <w:ilvl w:val="0"/>
          <w:numId w:val="27"/>
        </w:numPr>
        <w:ind w:left="1134" w:hanging="567"/>
      </w:pPr>
      <w:r>
        <w:t>cena plnění</w:t>
      </w:r>
      <w:r>
        <w:rPr>
          <w:lang w:val="cs-CZ"/>
        </w:rPr>
        <w:t>.</w:t>
      </w:r>
    </w:p>
    <w:p w14:paraId="48180E5B" w14:textId="77777777" w:rsidR="00DA55F2" w:rsidRPr="00A459D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t xml:space="preserve">Pokud daňový doklad – faktura nebude vystaven v souladu s platebními podmínkami stanovenými </w:t>
      </w:r>
      <w:r>
        <w:rPr>
          <w:lang w:val="cs-CZ"/>
        </w:rPr>
        <w:t>S</w:t>
      </w:r>
      <w:r>
        <w:t xml:space="preserve">mlouvou nebo nebude splňovat požadované zákonné náležitosti nebo nebude-li doručena </w:t>
      </w:r>
      <w:r>
        <w:rPr>
          <w:lang w:val="cs-CZ"/>
        </w:rPr>
        <w:t>Odběrateli</w:t>
      </w:r>
      <w:r>
        <w:t xml:space="preserve"> do termínu uvedeného výše, je </w:t>
      </w:r>
      <w:r>
        <w:rPr>
          <w:lang w:val="cs-CZ"/>
        </w:rPr>
        <w:t xml:space="preserve">Odběratel </w:t>
      </w:r>
      <w:r>
        <w:t xml:space="preserve">oprávněn daňový doklad - fakturu </w:t>
      </w:r>
      <w:r>
        <w:rPr>
          <w:lang w:val="cs-CZ"/>
        </w:rPr>
        <w:t>Dodavateli</w:t>
      </w:r>
      <w:r>
        <w:t xml:space="preserve"> vrátit jako neúplnou, resp. nesprávně vystavenou, k doplnění, resp. novému vystavení ve lhůtě pěti (5) pracovních dnů od data jejího doručení </w:t>
      </w:r>
      <w:r>
        <w:rPr>
          <w:lang w:val="cs-CZ"/>
        </w:rPr>
        <w:t>Odběrateli</w:t>
      </w:r>
      <w:r>
        <w:t>. V takovém případě</w:t>
      </w:r>
      <w:r>
        <w:rPr>
          <w:lang w:val="cs-CZ"/>
        </w:rPr>
        <w:t xml:space="preserve"> Odběratel</w:t>
      </w:r>
      <w:r>
        <w:t xml:space="preserve"> není v prodlení s úhradou kupní ceny nebo její části a </w:t>
      </w:r>
      <w:r>
        <w:rPr>
          <w:lang w:val="cs-CZ"/>
        </w:rPr>
        <w:t>Dodavatel</w:t>
      </w:r>
      <w:r>
        <w:t xml:space="preserve"> vystaví opravenou fakturu s novou, shodnou lhůtou splatnosti, která začne plynout dnem doručení opraveného nebo nově vyhotoveného daňového dokladu – faktury</w:t>
      </w:r>
      <w:r>
        <w:rPr>
          <w:lang w:val="cs-CZ"/>
        </w:rPr>
        <w:t xml:space="preserve"> Odběrateli</w:t>
      </w:r>
      <w:r>
        <w:t xml:space="preserve">. </w:t>
      </w:r>
    </w:p>
    <w:p w14:paraId="5DEB86E8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lastRenderedPageBreak/>
        <w:t>Dodavatel</w:t>
      </w:r>
      <w:r>
        <w:t xml:space="preserve"> prohlašuje, že v článku 1. této </w:t>
      </w:r>
      <w:r>
        <w:rPr>
          <w:lang w:val="cs-CZ"/>
        </w:rPr>
        <w:t>Smlouvy</w:t>
      </w:r>
      <w:r>
        <w:t xml:space="preserve"> uvedl svůj</w:t>
      </w:r>
      <w:r w:rsidRPr="006D5886">
        <w:t xml:space="preserve"> bankovní účet, který je uveřejněn v Registru plátců.</w:t>
      </w:r>
      <w:r>
        <w:rPr>
          <w:lang w:val="cs-CZ"/>
        </w:rPr>
        <w:t xml:space="preserve"> </w:t>
      </w:r>
      <w:r w:rsidRPr="00277165">
        <w:t>Toto ustanovení se nevztahuje na osoby, které nemají povinnost podat přihlášku k </w:t>
      </w:r>
      <w:r w:rsidRPr="0062074D">
        <w:t>registraci podle zákona o DPH.</w:t>
      </w:r>
    </w:p>
    <w:p w14:paraId="2FA367EC" w14:textId="77777777" w:rsidR="00DA55F2" w:rsidRPr="0062074D" w:rsidRDefault="00DA55F2" w:rsidP="00DA55F2">
      <w:pPr>
        <w:rPr>
          <w:lang w:eastAsia="x-none"/>
        </w:rPr>
      </w:pPr>
    </w:p>
    <w:p w14:paraId="2AD682F5" w14:textId="77777777" w:rsidR="00DA55F2" w:rsidRPr="0062074D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lang w:val="cs-CZ"/>
        </w:rPr>
      </w:pPr>
      <w:r w:rsidRPr="0062074D">
        <w:t>Další podmínky</w:t>
      </w:r>
      <w:r w:rsidRPr="0062074D">
        <w:rPr>
          <w:lang w:val="cs-CZ"/>
        </w:rPr>
        <w:t xml:space="preserve"> D</w:t>
      </w:r>
      <w:r w:rsidRPr="0062074D">
        <w:t>odávky</w:t>
      </w:r>
    </w:p>
    <w:p w14:paraId="026AA9A7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62074D">
        <w:t xml:space="preserve">Při provádění </w:t>
      </w:r>
      <w:r w:rsidRPr="0062074D">
        <w:rPr>
          <w:lang w:val="cs-CZ"/>
        </w:rPr>
        <w:t xml:space="preserve">Dodávek </w:t>
      </w:r>
      <w:r w:rsidRPr="0062074D">
        <w:t xml:space="preserve">postupuje </w:t>
      </w:r>
      <w:r w:rsidRPr="0062074D">
        <w:rPr>
          <w:lang w:val="cs-CZ"/>
        </w:rPr>
        <w:t>Dodavatel</w:t>
      </w:r>
      <w:r w:rsidRPr="0062074D">
        <w:t xml:space="preserve"> samostatně, avšak zavazuje se respektovat pokyny </w:t>
      </w:r>
      <w:r w:rsidRPr="0062074D">
        <w:rPr>
          <w:lang w:val="cs-CZ"/>
        </w:rPr>
        <w:t>Odběratele</w:t>
      </w:r>
      <w:r w:rsidRPr="0062074D">
        <w:t xml:space="preserve"> týkající se realizace </w:t>
      </w:r>
      <w:r w:rsidRPr="0062074D">
        <w:rPr>
          <w:lang w:val="cs-CZ"/>
        </w:rPr>
        <w:t xml:space="preserve">Dodávky. </w:t>
      </w:r>
      <w:r w:rsidRPr="0062074D">
        <w:t xml:space="preserve"> </w:t>
      </w:r>
    </w:p>
    <w:p w14:paraId="50FB2B6E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62074D">
        <w:rPr>
          <w:lang w:val="cs-CZ"/>
        </w:rPr>
        <w:t>Dodavatel</w:t>
      </w:r>
      <w:r w:rsidRPr="0062074D">
        <w:t xml:space="preserve"> je povinen upozornit </w:t>
      </w:r>
      <w:r w:rsidRPr="0062074D">
        <w:rPr>
          <w:lang w:val="cs-CZ"/>
        </w:rPr>
        <w:t>Odběratele</w:t>
      </w:r>
      <w:r w:rsidRPr="0062074D">
        <w:t xml:space="preserve"> bez</w:t>
      </w:r>
      <w:r w:rsidRPr="007F07EC">
        <w:t xml:space="preserve"> zbytečného odkladu na nevhodnou povahu věcí převzatých od </w:t>
      </w:r>
      <w:r>
        <w:rPr>
          <w:lang w:val="cs-CZ"/>
        </w:rPr>
        <w:t>Odběratele</w:t>
      </w:r>
      <w:r w:rsidRPr="007F07EC">
        <w:t xml:space="preserve"> nebo pokynů daných mu </w:t>
      </w:r>
      <w:r>
        <w:rPr>
          <w:lang w:val="cs-CZ"/>
        </w:rPr>
        <w:t>Odběratelem</w:t>
      </w:r>
      <w:r w:rsidRPr="007F07EC">
        <w:t xml:space="preserve"> k provedení </w:t>
      </w:r>
      <w:r>
        <w:rPr>
          <w:lang w:val="cs-CZ"/>
        </w:rPr>
        <w:t>D</w:t>
      </w:r>
      <w:r w:rsidRPr="007F07EC">
        <w:t xml:space="preserve">odávky, jestliže tuto nevhodnost mohl </w:t>
      </w:r>
      <w:r>
        <w:rPr>
          <w:lang w:val="cs-CZ"/>
        </w:rPr>
        <w:t>Dodavatel</w:t>
      </w:r>
      <w:r w:rsidRPr="007F07EC">
        <w:t xml:space="preserve"> zjistit při vynaložení odborné péče.</w:t>
      </w:r>
    </w:p>
    <w:p w14:paraId="4EBE0AE8" w14:textId="77777777" w:rsidR="00DA55F2" w:rsidRPr="00C0567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C0567D">
        <w:t xml:space="preserve">Není-li ve </w:t>
      </w:r>
      <w:r w:rsidRPr="00C0567D">
        <w:rPr>
          <w:lang w:val="cs-CZ"/>
        </w:rPr>
        <w:t>S</w:t>
      </w:r>
      <w:r w:rsidRPr="00C0567D">
        <w:t xml:space="preserve">mlouvě stanoveno jinak, tak veškeré věci potřebné k plnění dle této Smlouvy je povinen opatřit </w:t>
      </w:r>
      <w:r w:rsidRPr="00C0567D">
        <w:rPr>
          <w:lang w:val="cs-CZ"/>
        </w:rPr>
        <w:t>Dodavatel</w:t>
      </w:r>
      <w:r>
        <w:rPr>
          <w:lang w:val="cs-CZ"/>
        </w:rPr>
        <w:t>.</w:t>
      </w:r>
    </w:p>
    <w:p w14:paraId="6BB53EFE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 xml:space="preserve">Dodavatel </w:t>
      </w:r>
      <w:r w:rsidRPr="005D1B08">
        <w:t>prohlašuje, že</w:t>
      </w:r>
      <w:r>
        <w:rPr>
          <w:lang w:val="cs-CZ"/>
        </w:rPr>
        <w:t xml:space="preserve"> Předmět plnění</w:t>
      </w:r>
      <w:r w:rsidRPr="005D1B08">
        <w:t>, kter</w:t>
      </w:r>
      <w:r>
        <w:rPr>
          <w:lang w:val="cs-CZ"/>
        </w:rPr>
        <w:t>ý</w:t>
      </w:r>
      <w:r w:rsidRPr="005D1B08">
        <w:t xml:space="preserve"> dodá na základě této </w:t>
      </w:r>
      <w:r>
        <w:t>Smlouvy, zcela odpovíd</w:t>
      </w:r>
      <w:r>
        <w:rPr>
          <w:lang w:val="cs-CZ"/>
        </w:rPr>
        <w:t>á</w:t>
      </w:r>
      <w:r w:rsidRPr="005D1B08">
        <w:t xml:space="preserve"> podmínkám stanoveným v zadávací dokumentaci u</w:t>
      </w:r>
      <w:r>
        <w:t>platněné v </w:t>
      </w:r>
      <w:r>
        <w:rPr>
          <w:lang w:val="cs-CZ"/>
        </w:rPr>
        <w:t>Z</w:t>
      </w:r>
      <w:r>
        <w:t>adávacím řízení, ve </w:t>
      </w:r>
      <w:r w:rsidRPr="005D1B08">
        <w:t>kterém b</w:t>
      </w:r>
      <w:r>
        <w:t xml:space="preserve">yla nabídka </w:t>
      </w:r>
      <w:r>
        <w:rPr>
          <w:lang w:val="cs-CZ"/>
        </w:rPr>
        <w:t>Dodavatele</w:t>
      </w:r>
      <w:r w:rsidRPr="005D1B08">
        <w:t xml:space="preserve"> na dodání </w:t>
      </w:r>
      <w:r>
        <w:rPr>
          <w:lang w:val="cs-CZ"/>
        </w:rPr>
        <w:t>předmětu plnění</w:t>
      </w:r>
      <w:r w:rsidRPr="005D1B08">
        <w:t xml:space="preserve"> </w:t>
      </w:r>
      <w:r>
        <w:rPr>
          <w:lang w:val="cs-CZ"/>
        </w:rPr>
        <w:t xml:space="preserve">dle této Smlouvy </w:t>
      </w:r>
      <w:r w:rsidRPr="005D1B08">
        <w:t>vybrána jako nejvhodnější.</w:t>
      </w:r>
    </w:p>
    <w:p w14:paraId="233E98E0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>Dodavatel</w:t>
      </w:r>
      <w:r w:rsidRPr="005D1B08">
        <w:t xml:space="preserve"> se zavazuje, že v okamžiku převodu vlastnického práva</w:t>
      </w:r>
      <w:r>
        <w:rPr>
          <w:lang w:val="cs-CZ"/>
        </w:rPr>
        <w:t xml:space="preserve"> či zřízení nájemního</w:t>
      </w:r>
      <w:r w:rsidRPr="005D1B08">
        <w:t xml:space="preserve"> </w:t>
      </w:r>
      <w:r>
        <w:rPr>
          <w:lang w:val="cs-CZ"/>
        </w:rPr>
        <w:t xml:space="preserve">práva </w:t>
      </w:r>
      <w:r w:rsidRPr="005D1B08">
        <w:t>k</w:t>
      </w:r>
      <w:r>
        <w:rPr>
          <w:lang w:val="cs-CZ"/>
        </w:rPr>
        <w:t> Předmětu plnění</w:t>
      </w:r>
      <w:r w:rsidRPr="005D1B08">
        <w:t xml:space="preserve"> </w:t>
      </w:r>
      <w:r>
        <w:rPr>
          <w:lang w:val="cs-CZ"/>
        </w:rPr>
        <w:t xml:space="preserve">na něm </w:t>
      </w:r>
      <w:r w:rsidRPr="005D1B08">
        <w:t>nebudou váznout žádná práva třetích osob, a to zejména žádné předkupní právo, zástavní právo nebo právo nájmu.</w:t>
      </w:r>
    </w:p>
    <w:p w14:paraId="337B93EE" w14:textId="77777777" w:rsidR="00DA55F2" w:rsidRPr="008F39F3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8F39F3">
        <w:rPr>
          <w:lang w:val="cs-CZ"/>
        </w:rPr>
        <w:t xml:space="preserve">Při dodávce technických plynů je Dodavatel povinen odvést tlakové lahve připravené Odběratelem k vrácení.  </w:t>
      </w:r>
    </w:p>
    <w:p w14:paraId="26E6E109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rPr>
          <w:lang w:val="cs-CZ"/>
        </w:rPr>
        <w:t>Dodavatel</w:t>
      </w:r>
      <w:r w:rsidRPr="005D1B08">
        <w:t xml:space="preserve"> prohlašuje, že vůči němu není vedena exekuce a ani nemá žádné dluhy po splatnosti, jejichž splnění by mohlo být vymáháno v exekuci podle zákona č.</w:t>
      </w:r>
      <w:r>
        <w:t> </w:t>
      </w:r>
      <w:r w:rsidRPr="005D1B08">
        <w:t>120/2001 Sb., o soudních exekutorech a exeku</w:t>
      </w:r>
      <w:r>
        <w:t>ční činnosti (exekuční řád) a o </w:t>
      </w:r>
      <w:r w:rsidRPr="005D1B08">
        <w:t>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</w:t>
      </w:r>
      <w:r>
        <w:t> </w:t>
      </w:r>
      <w:r w:rsidRPr="005D1B08">
        <w:t>500/2004</w:t>
      </w:r>
      <w:r>
        <w:t> Sb., správního řádu, ve </w:t>
      </w:r>
      <w:r w:rsidRPr="005D1B08">
        <w:t>znění pozdějších předpisů, či podle zákona č.</w:t>
      </w:r>
      <w:r>
        <w:t> </w:t>
      </w:r>
      <w:r w:rsidRPr="005D1B08">
        <w:t>280/2009</w:t>
      </w:r>
      <w:r>
        <w:t> Sb., daňového řádu, ve </w:t>
      </w:r>
      <w:r w:rsidRPr="005D1B08">
        <w:t>znění pozdějších předpisů.</w:t>
      </w:r>
    </w:p>
    <w:p w14:paraId="0253EC5E" w14:textId="77777777" w:rsidR="00DA55F2" w:rsidRPr="0099388D" w:rsidRDefault="00DA55F2" w:rsidP="00DA55F2">
      <w:pPr>
        <w:ind w:left="705" w:hanging="705"/>
        <w:rPr>
          <w:lang w:eastAsia="x-none"/>
        </w:rPr>
      </w:pPr>
      <w:r w:rsidRPr="004E1741">
        <w:rPr>
          <w:lang w:eastAsia="x-none"/>
        </w:rPr>
        <w:t xml:space="preserve">9.10. </w:t>
      </w:r>
      <w:r w:rsidRPr="004E1741">
        <w:rPr>
          <w:lang w:eastAsia="x-none"/>
        </w:rPr>
        <w:tab/>
        <w:t>Po ukončení platnosti této Smlouvy je Dodavatel povinen nespotřebované tlakové lahve ponechat Odběrateli minimálně 3 měsíce při zajištění původní ceny pronájmu tlakových lahví. Odběrateli bude dále umožněno používání aplikace systému evidence po dobu minimálně 3 měsíců po ukončení platnosti této Smlouvy.</w:t>
      </w:r>
    </w:p>
    <w:p w14:paraId="689F7A4F" w14:textId="77777777" w:rsidR="00DA55F2" w:rsidRDefault="00DA55F2" w:rsidP="00DA55F2"/>
    <w:p w14:paraId="49241054" w14:textId="77777777" w:rsidR="00DA55F2" w:rsidRDefault="00DA55F2" w:rsidP="00DA55F2"/>
    <w:p w14:paraId="07933904" w14:textId="77777777" w:rsidR="00DA55F2" w:rsidRPr="004E1741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</w:pPr>
      <w:r w:rsidRPr="004E1741">
        <w:lastRenderedPageBreak/>
        <w:t xml:space="preserve">Záruka a nároky z vad </w:t>
      </w:r>
      <w:r w:rsidRPr="004E1741">
        <w:rPr>
          <w:lang w:val="cs-CZ"/>
        </w:rPr>
        <w:t>D</w:t>
      </w:r>
      <w:r w:rsidRPr="004E1741">
        <w:t>odávky</w:t>
      </w:r>
    </w:p>
    <w:p w14:paraId="35FF0168" w14:textId="77777777" w:rsidR="00DA55F2" w:rsidRPr="004E174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4E1741">
        <w:t xml:space="preserve">Záruční doba </w:t>
      </w:r>
      <w:r w:rsidRPr="004E1741">
        <w:rPr>
          <w:lang w:val="cs-CZ"/>
        </w:rPr>
        <w:t xml:space="preserve"> na technické plyny  je 36</w:t>
      </w:r>
      <w:r w:rsidRPr="004E1741">
        <w:t xml:space="preserve"> měsíců. </w:t>
      </w:r>
      <w:r w:rsidRPr="004E1741">
        <w:rPr>
          <w:lang w:val="cs-CZ"/>
        </w:rPr>
        <w:t>Záruční doba na redukční ventily a bezpečnostní materiál je 24 měsíců.</w:t>
      </w:r>
    </w:p>
    <w:p w14:paraId="12E5BA0B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4E1741">
        <w:t xml:space="preserve">Definice vadné </w:t>
      </w:r>
      <w:r w:rsidRPr="004E1741">
        <w:rPr>
          <w:lang w:val="cs-CZ"/>
        </w:rPr>
        <w:t>Dodávky</w:t>
      </w:r>
      <w:r w:rsidRPr="004E1741">
        <w:rPr>
          <w:i/>
          <w:lang w:val="cs-CZ"/>
        </w:rPr>
        <w:t xml:space="preserve"> </w:t>
      </w:r>
      <w:r w:rsidRPr="004E1741">
        <w:t xml:space="preserve">– jiné </w:t>
      </w:r>
      <w:r w:rsidRPr="004E1741">
        <w:rPr>
          <w:lang w:val="cs-CZ"/>
        </w:rPr>
        <w:t xml:space="preserve">než objednané </w:t>
      </w:r>
      <w:r w:rsidRPr="004E1741">
        <w:t xml:space="preserve">množství, </w:t>
      </w:r>
      <w:r w:rsidRPr="004E1741">
        <w:rPr>
          <w:lang w:val="cs-CZ"/>
        </w:rPr>
        <w:t>nesprávná</w:t>
      </w:r>
      <w:r w:rsidRPr="004E1741">
        <w:t xml:space="preserve"> kvalita plynu, </w:t>
      </w:r>
      <w:r w:rsidRPr="004E1741">
        <w:rPr>
          <w:lang w:val="cs-CZ"/>
        </w:rPr>
        <w:t>pozdní závoz</w:t>
      </w:r>
      <w:r w:rsidRPr="0062074D">
        <w:rPr>
          <w:lang w:val="cs-CZ"/>
        </w:rPr>
        <w:t xml:space="preserve"> či vadná tlaková láhev, redukční ventil či bezpečnostní materiál. </w:t>
      </w:r>
      <w:r w:rsidRPr="0062074D">
        <w:t xml:space="preserve"> </w:t>
      </w:r>
    </w:p>
    <w:p w14:paraId="121EE182" w14:textId="77777777" w:rsidR="00DA55F2" w:rsidRPr="00B130A1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62074D">
        <w:t xml:space="preserve">Požadavek na odstranění vady </w:t>
      </w:r>
      <w:r w:rsidRPr="0062074D">
        <w:rPr>
          <w:lang w:val="cs-CZ"/>
        </w:rPr>
        <w:t>Dodávky</w:t>
      </w:r>
      <w:r w:rsidRPr="0062074D">
        <w:t xml:space="preserve"> uplatní</w:t>
      </w:r>
      <w:r w:rsidRPr="0062074D">
        <w:rPr>
          <w:lang w:val="cs-CZ"/>
        </w:rPr>
        <w:t xml:space="preserve"> Odběratel</w:t>
      </w:r>
      <w:r w:rsidRPr="0062074D">
        <w:t xml:space="preserve"> u</w:t>
      </w:r>
      <w:r w:rsidRPr="0062074D">
        <w:rPr>
          <w:lang w:val="cs-CZ"/>
        </w:rPr>
        <w:t xml:space="preserve"> Dodavatele</w:t>
      </w:r>
      <w:r w:rsidRPr="0062074D">
        <w:t xml:space="preserve"> bez zbytečného odkladu po jejím zjištění, </w:t>
      </w:r>
      <w:r w:rsidRPr="0062074D">
        <w:rPr>
          <w:lang w:val="cs-CZ"/>
        </w:rPr>
        <w:t>písemně, elektronicky, a to nejpozději</w:t>
      </w:r>
      <w:r w:rsidRPr="00B130A1">
        <w:rPr>
          <w:lang w:val="cs-CZ"/>
        </w:rPr>
        <w:t xml:space="preserve"> do 30 dnů od převzetí</w:t>
      </w:r>
      <w:r>
        <w:rPr>
          <w:lang w:val="cs-CZ"/>
        </w:rPr>
        <w:t xml:space="preserve"> Dodávky</w:t>
      </w:r>
      <w:r w:rsidRPr="00B130A1">
        <w:rPr>
          <w:lang w:val="cs-CZ"/>
        </w:rPr>
        <w:t xml:space="preserve">. </w:t>
      </w:r>
      <w:r>
        <w:rPr>
          <w:lang w:val="cs-CZ"/>
        </w:rPr>
        <w:t>Dodavatel</w:t>
      </w:r>
      <w:r w:rsidRPr="00B130A1">
        <w:rPr>
          <w:lang w:val="cs-CZ"/>
        </w:rPr>
        <w:t xml:space="preserve"> má právo ověřit reklamaci u Odběratele a provést svá vlastní měření. Obě smluvní strany se zavazují dořešit každou reklamaci </w:t>
      </w:r>
      <w:r w:rsidRPr="00B130A1">
        <w:t>nejpozději</w:t>
      </w:r>
      <w:r w:rsidRPr="00B130A1">
        <w:rPr>
          <w:lang w:val="cs-CZ"/>
        </w:rPr>
        <w:t xml:space="preserve"> do 14 dnů</w:t>
      </w:r>
      <w:r w:rsidRPr="00B130A1">
        <w:t xml:space="preserve"> </w:t>
      </w:r>
      <w:r w:rsidRPr="00B130A1">
        <w:rPr>
          <w:lang w:val="cs-CZ"/>
        </w:rPr>
        <w:t>od písemného uplatnění.</w:t>
      </w:r>
    </w:p>
    <w:p w14:paraId="45BE03D4" w14:textId="77777777" w:rsidR="00DA55F2" w:rsidRPr="007C1FD0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7C1FD0">
        <w:t>V písemné reklamaci Odběratel uvede popis vady a způsob, jakým vadu požaduje odstranit. Reklamace bude řešena dle § 2099 a násl. OZ.</w:t>
      </w:r>
    </w:p>
    <w:p w14:paraId="25A5C06C" w14:textId="77777777" w:rsidR="00DA55F2" w:rsidRPr="007C1FD0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>Odběratel</w:t>
      </w:r>
      <w:r w:rsidRPr="00281B31">
        <w:t xml:space="preserve"> je oprávněn odstoupit od Smlouvy, je-li dodáním zboží s vadami Smlouva porušena podstatným způsobem.</w:t>
      </w:r>
      <w:r w:rsidRPr="007C1FD0">
        <w:t xml:space="preserve"> Za podstatné porušení </w:t>
      </w:r>
      <w:r>
        <w:rPr>
          <w:lang w:val="cs-CZ"/>
        </w:rPr>
        <w:t>S</w:t>
      </w:r>
      <w:r w:rsidRPr="007C1FD0">
        <w:t xml:space="preserve">mlouvy se považuje vždy situace, </w:t>
      </w:r>
      <w:r w:rsidRPr="00B34352">
        <w:t xml:space="preserve">kdy </w:t>
      </w:r>
      <w:r w:rsidRPr="00B34352">
        <w:rPr>
          <w:lang w:val="cs-CZ"/>
        </w:rPr>
        <w:t>v průběhu 30 dní D</w:t>
      </w:r>
      <w:r w:rsidRPr="00B34352">
        <w:t xml:space="preserve">odávka (nebo její část) </w:t>
      </w:r>
      <w:r w:rsidRPr="00B34352">
        <w:rPr>
          <w:lang w:val="cs-CZ"/>
        </w:rPr>
        <w:t>min. 3x trpí vadami dle bodu 10.2. tohoto článku Smlouvy.</w:t>
      </w:r>
      <w:r>
        <w:rPr>
          <w:lang w:val="cs-CZ"/>
        </w:rPr>
        <w:t xml:space="preserve"> </w:t>
      </w:r>
    </w:p>
    <w:p w14:paraId="62D3B1FE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>Dodavatel</w:t>
      </w:r>
      <w:r>
        <w:t xml:space="preserve"> se zavazuje reklamované vady dodávky bezplatně odstranit.</w:t>
      </w:r>
    </w:p>
    <w:p w14:paraId="6E605767" w14:textId="77777777" w:rsidR="00DA55F2" w:rsidRPr="00312818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E81CD9">
        <w:t xml:space="preserve">I v případě, že </w:t>
      </w:r>
      <w:r w:rsidRPr="00E81CD9">
        <w:rPr>
          <w:lang w:val="cs-CZ"/>
        </w:rPr>
        <w:t>Dodavatel</w:t>
      </w:r>
      <w:r w:rsidRPr="00A74F06">
        <w:t xml:space="preserve"> vadu neuzná</w:t>
      </w:r>
      <w:r w:rsidRPr="00EE6931">
        <w:t xml:space="preserve">, je povinen </w:t>
      </w:r>
      <w:r w:rsidRPr="007A1809">
        <w:rPr>
          <w:lang w:val="cs-CZ"/>
        </w:rPr>
        <w:t>ji</w:t>
      </w:r>
      <w:r w:rsidRPr="00312818">
        <w:t xml:space="preserve"> odstranit, a to ve lhůtách uvedených </w:t>
      </w:r>
      <w:r w:rsidRPr="00312818">
        <w:rPr>
          <w:lang w:val="cs-CZ"/>
        </w:rPr>
        <w:t>v odst. 10.3</w:t>
      </w:r>
      <w:r w:rsidRPr="00312818">
        <w:t xml:space="preserve"> tohoto článku</w:t>
      </w:r>
      <w:r w:rsidRPr="00312818">
        <w:rPr>
          <w:lang w:val="cs-CZ"/>
        </w:rPr>
        <w:t xml:space="preserve"> S</w:t>
      </w:r>
      <w:r w:rsidRPr="00312818">
        <w:t>mlouvy, ned</w:t>
      </w:r>
      <w:r w:rsidRPr="00312818">
        <w:rPr>
          <w:lang w:val="cs-CZ"/>
        </w:rPr>
        <w:t>ohodnou-li se Sm</w:t>
      </w:r>
      <w:r w:rsidRPr="00312818">
        <w:t xml:space="preserve">luvní strany následně jinak. V  takovém případě je </w:t>
      </w:r>
      <w:r w:rsidRPr="00312818">
        <w:rPr>
          <w:lang w:val="cs-CZ"/>
        </w:rPr>
        <w:t>Dodavatel</w:t>
      </w:r>
      <w:r w:rsidRPr="00312818">
        <w:t xml:space="preserve"> oprávněn požadovat po </w:t>
      </w:r>
      <w:r w:rsidRPr="00312818">
        <w:rPr>
          <w:lang w:val="cs-CZ"/>
        </w:rPr>
        <w:t>Odběrateli</w:t>
      </w:r>
      <w:r w:rsidRPr="00312818">
        <w:t xml:space="preserve"> úhradu nákladů na odstranění této vady. V případě, že </w:t>
      </w:r>
      <w:r w:rsidRPr="00312818">
        <w:rPr>
          <w:lang w:val="cs-CZ"/>
        </w:rPr>
        <w:t>Dodavatel</w:t>
      </w:r>
      <w:r w:rsidRPr="00312818">
        <w:t xml:space="preserve"> vadu neuzná, bude oprávněnost reklamace ověřena znaleckým posudkem, který nechá zpracovat</w:t>
      </w:r>
      <w:r w:rsidRPr="00312818">
        <w:rPr>
          <w:lang w:val="cs-CZ"/>
        </w:rPr>
        <w:t xml:space="preserve"> Odběratel</w:t>
      </w:r>
      <w:r w:rsidRPr="00312818">
        <w:t>. V případě, že bude reklamace označena znalcem za</w:t>
      </w:r>
      <w:r w:rsidRPr="00312818">
        <w:rPr>
          <w:lang w:val="cs-CZ"/>
        </w:rPr>
        <w:t> </w:t>
      </w:r>
      <w:r w:rsidRPr="00312818">
        <w:t xml:space="preserve">oprávněnou, ponese </w:t>
      </w:r>
      <w:r w:rsidRPr="00312818">
        <w:rPr>
          <w:lang w:val="cs-CZ"/>
        </w:rPr>
        <w:t>Dodavatel</w:t>
      </w:r>
      <w:r w:rsidRPr="00312818">
        <w:t xml:space="preserve"> i náklady na </w:t>
      </w:r>
      <w:r w:rsidRPr="00312818">
        <w:rPr>
          <w:lang w:val="cs-CZ"/>
        </w:rPr>
        <w:t>vyhotovení</w:t>
      </w:r>
      <w:r w:rsidRPr="00312818">
        <w:t xml:space="preserve"> znaleckého posudku. Prokáže-li se, že </w:t>
      </w:r>
      <w:r w:rsidRPr="00312818">
        <w:rPr>
          <w:lang w:val="cs-CZ"/>
        </w:rPr>
        <w:t xml:space="preserve">Odběratel </w:t>
      </w:r>
      <w:r w:rsidRPr="00312818">
        <w:t xml:space="preserve">reklamoval vadu neoprávněně, je povinen uhradit </w:t>
      </w:r>
      <w:r w:rsidRPr="00312818">
        <w:rPr>
          <w:lang w:val="cs-CZ"/>
        </w:rPr>
        <w:t xml:space="preserve">Dodavateli </w:t>
      </w:r>
      <w:r w:rsidRPr="00312818">
        <w:t xml:space="preserve"> účelně a prokazatelně vynaložené náklady na odst</w:t>
      </w:r>
      <w:r w:rsidRPr="00312818">
        <w:rPr>
          <w:lang w:val="cs-CZ"/>
        </w:rPr>
        <w:t>ranění va</w:t>
      </w:r>
      <w:r w:rsidRPr="00312818">
        <w:t xml:space="preserve">dy. </w:t>
      </w:r>
    </w:p>
    <w:p w14:paraId="01060D79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t xml:space="preserve">O odstranění reklamované vady sepíší </w:t>
      </w:r>
      <w:r>
        <w:rPr>
          <w:lang w:val="cs-CZ"/>
        </w:rPr>
        <w:t>S</w:t>
      </w:r>
      <w:r>
        <w:t>mluvní strany protokol, ve kterém potvrdí odstranění vady. O dobu, která uplyne ode dne uplatnění rek</w:t>
      </w:r>
      <w:r w:rsidRPr="002249E7">
        <w:rPr>
          <w:lang w:val="cs-CZ"/>
        </w:rPr>
        <w:t xml:space="preserve">lamace do </w:t>
      </w:r>
      <w:r>
        <w:t xml:space="preserve">odstranění vady, se prodlužuje záruční </w:t>
      </w:r>
      <w:r>
        <w:rPr>
          <w:lang w:val="cs-CZ"/>
        </w:rPr>
        <w:t>doba</w:t>
      </w:r>
      <w:r>
        <w:t>.</w:t>
      </w:r>
    </w:p>
    <w:p w14:paraId="603F8298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t>V </w:t>
      </w:r>
      <w:r w:rsidRPr="002249E7">
        <w:rPr>
          <w:lang w:val="cs-CZ"/>
        </w:rPr>
        <w:t>případě, že</w:t>
      </w:r>
      <w:r>
        <w:t xml:space="preserve"> </w:t>
      </w:r>
      <w:r>
        <w:rPr>
          <w:lang w:val="cs-CZ"/>
        </w:rPr>
        <w:t>Dodavatel</w:t>
      </w:r>
      <w:r>
        <w:t xml:space="preserve"> neodstraní vadu ve lhůtách uvedených v odst. 1</w:t>
      </w:r>
      <w:r>
        <w:rPr>
          <w:lang w:val="cs-CZ"/>
        </w:rPr>
        <w:t>0.3</w:t>
      </w:r>
      <w:r>
        <w:t xml:space="preserve"> tohoto článku</w:t>
      </w:r>
      <w:r>
        <w:rPr>
          <w:lang w:val="cs-CZ"/>
        </w:rPr>
        <w:t xml:space="preserve"> S</w:t>
      </w:r>
      <w:r>
        <w:t xml:space="preserve">mlouvy, případně ve lhůtě sjednané </w:t>
      </w:r>
      <w:r>
        <w:rPr>
          <w:lang w:val="cs-CZ"/>
        </w:rPr>
        <w:t>S</w:t>
      </w:r>
      <w:r>
        <w:t>mluvními stranami, nebo pokud</w:t>
      </w:r>
      <w:r>
        <w:rPr>
          <w:lang w:val="cs-CZ"/>
        </w:rPr>
        <w:t xml:space="preserve"> Dodavatel</w:t>
      </w:r>
      <w:r>
        <w:t xml:space="preserve"> odmítne vady odstranit, je </w:t>
      </w:r>
      <w:r>
        <w:rPr>
          <w:lang w:val="cs-CZ"/>
        </w:rPr>
        <w:t>Odběratel</w:t>
      </w:r>
      <w:r>
        <w:t xml:space="preserve"> oprávněn nechat vadu odstranit na své náklady a</w:t>
      </w:r>
      <w:r>
        <w:rPr>
          <w:lang w:val="cs-CZ"/>
        </w:rPr>
        <w:t xml:space="preserve"> Dodavatel</w:t>
      </w:r>
      <w:r>
        <w:t xml:space="preserve"> je povinen uhradit </w:t>
      </w:r>
      <w:r>
        <w:rPr>
          <w:lang w:val="cs-CZ"/>
        </w:rPr>
        <w:t>Odběrateli</w:t>
      </w:r>
      <w:r>
        <w:t xml:space="preserve"> náklady na odstranění vady, a to do 10 dnů poté, co jej k tomu </w:t>
      </w:r>
      <w:r>
        <w:rPr>
          <w:lang w:val="cs-CZ"/>
        </w:rPr>
        <w:t>Odběratel</w:t>
      </w:r>
      <w:r>
        <w:t xml:space="preserve"> vyzve.</w:t>
      </w:r>
      <w:r>
        <w:rPr>
          <w:lang w:val="cs-CZ"/>
        </w:rPr>
        <w:t xml:space="preserve"> Tento postup Odběratele však nezbavuje Dodavatele odpovědnosti za vady a jeho záruka trvá ve sjednaném rozsahu. </w:t>
      </w:r>
    </w:p>
    <w:p w14:paraId="7F81DE6D" w14:textId="77777777" w:rsidR="00DA55F2" w:rsidRPr="00B3435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B34352">
        <w:t>Smluvní strany vylučují použití ust. § 1925 OZ, věta za středníkem.</w:t>
      </w:r>
    </w:p>
    <w:p w14:paraId="343F05C4" w14:textId="77777777" w:rsidR="00DA55F2" w:rsidRPr="00286546" w:rsidRDefault="00DA55F2" w:rsidP="00DA55F2"/>
    <w:p w14:paraId="70CD07F1" w14:textId="77777777" w:rsidR="00DA55F2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lang w:val="cs-CZ"/>
        </w:rPr>
      </w:pPr>
      <w:r>
        <w:lastRenderedPageBreak/>
        <w:t>Smluvní pokuty</w:t>
      </w:r>
    </w:p>
    <w:p w14:paraId="04B69D4B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62074D">
        <w:t xml:space="preserve">V případě, že </w:t>
      </w:r>
      <w:r w:rsidRPr="0062074D">
        <w:rPr>
          <w:lang w:val="cs-CZ"/>
        </w:rPr>
        <w:t>Dodavatel</w:t>
      </w:r>
      <w:r w:rsidRPr="0062074D">
        <w:t xml:space="preserve"> bude v prodlení proti termínu předání a převzetí </w:t>
      </w:r>
      <w:r w:rsidRPr="0062074D">
        <w:rPr>
          <w:lang w:val="cs-CZ"/>
        </w:rPr>
        <w:t>D</w:t>
      </w:r>
      <w:r w:rsidRPr="0062074D">
        <w:t xml:space="preserve">odávky uvedenému v článku </w:t>
      </w:r>
      <w:r w:rsidRPr="0062074D">
        <w:rPr>
          <w:lang w:val="cs-CZ"/>
        </w:rPr>
        <w:t xml:space="preserve">5.1. a 6.1. </w:t>
      </w:r>
      <w:r w:rsidRPr="0062074D">
        <w:t xml:space="preserve">této Smlouvy, je </w:t>
      </w:r>
      <w:r w:rsidRPr="0062074D">
        <w:rPr>
          <w:lang w:val="cs-CZ"/>
        </w:rPr>
        <w:t xml:space="preserve">Odběratel </w:t>
      </w:r>
      <w:r w:rsidRPr="0062074D">
        <w:t xml:space="preserve">oprávněn účtovat </w:t>
      </w:r>
      <w:r w:rsidRPr="0062074D">
        <w:rPr>
          <w:lang w:val="cs-CZ"/>
        </w:rPr>
        <w:t xml:space="preserve">Dodavateli </w:t>
      </w:r>
      <w:r w:rsidRPr="0062074D">
        <w:t>smluvní pokutu ve</w:t>
      </w:r>
      <w:r w:rsidRPr="0062074D">
        <w:rPr>
          <w:lang w:val="cs-CZ"/>
        </w:rPr>
        <w:t> </w:t>
      </w:r>
      <w:r w:rsidRPr="0062074D">
        <w:t>výši 0,</w:t>
      </w:r>
      <w:r w:rsidRPr="0062074D">
        <w:rPr>
          <w:lang w:val="cs-CZ"/>
        </w:rPr>
        <w:t>2</w:t>
      </w:r>
      <w:r w:rsidRPr="0062074D">
        <w:t xml:space="preserve"> % z ceny</w:t>
      </w:r>
      <w:r w:rsidRPr="0062074D">
        <w:rPr>
          <w:lang w:val="cs-CZ"/>
        </w:rPr>
        <w:t xml:space="preserve"> Dodávky  bez DPH </w:t>
      </w:r>
      <w:r w:rsidRPr="0062074D">
        <w:t>za každý započatý den prodlení.</w:t>
      </w:r>
    </w:p>
    <w:p w14:paraId="6CBCF9B8" w14:textId="77777777" w:rsidR="00DA55F2" w:rsidRPr="0062074D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62074D">
        <w:rPr>
          <w:lang w:val="cs-CZ"/>
        </w:rPr>
        <w:t>V případě, že Dodávka bude trpět jednou z následujících vad:</w:t>
      </w:r>
    </w:p>
    <w:p w14:paraId="28C4FFE1" w14:textId="77777777" w:rsidR="00DA55F2" w:rsidRPr="0062074D" w:rsidRDefault="00DA55F2" w:rsidP="00DA55F2">
      <w:pPr>
        <w:numPr>
          <w:ilvl w:val="0"/>
          <w:numId w:val="30"/>
        </w:numPr>
        <w:rPr>
          <w:lang w:eastAsia="x-none"/>
        </w:rPr>
      </w:pPr>
      <w:r w:rsidRPr="0062074D">
        <w:rPr>
          <w:lang w:eastAsia="x-none"/>
        </w:rPr>
        <w:t>vadná tlaková láhev</w:t>
      </w:r>
      <w:r w:rsidRPr="0062074D">
        <w:rPr>
          <w:lang w:val="en-US" w:eastAsia="x-none"/>
        </w:rPr>
        <w:t>;</w:t>
      </w:r>
    </w:p>
    <w:p w14:paraId="28993448" w14:textId="77777777" w:rsidR="00DA55F2" w:rsidRPr="0062074D" w:rsidRDefault="00DA55F2" w:rsidP="00DA55F2">
      <w:pPr>
        <w:numPr>
          <w:ilvl w:val="0"/>
          <w:numId w:val="30"/>
        </w:numPr>
        <w:rPr>
          <w:lang w:eastAsia="x-none"/>
        </w:rPr>
      </w:pPr>
      <w:r w:rsidRPr="0062074D">
        <w:rPr>
          <w:lang w:eastAsia="x-none"/>
        </w:rPr>
        <w:t>nesprávná kvalita plynu</w:t>
      </w:r>
      <w:r w:rsidRPr="0062074D">
        <w:rPr>
          <w:lang w:val="en-US" w:eastAsia="x-none"/>
        </w:rPr>
        <w:t>;</w:t>
      </w:r>
    </w:p>
    <w:p w14:paraId="187763F5" w14:textId="77777777" w:rsidR="00DA55F2" w:rsidRPr="0062074D" w:rsidRDefault="00DA55F2" w:rsidP="00DA55F2">
      <w:pPr>
        <w:ind w:left="1429"/>
        <w:rPr>
          <w:lang w:eastAsia="x-none"/>
        </w:rPr>
      </w:pPr>
      <w:r w:rsidRPr="0062074D">
        <w:t>je Odběratel oprávněn účtovat Dodavateli smluvní pokutu ve výši 5000,- Kč za každé jednotlivé pochybení.</w:t>
      </w:r>
    </w:p>
    <w:p w14:paraId="37427184" w14:textId="77777777" w:rsidR="00DA55F2" w:rsidRPr="00135C33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62074D">
        <w:t xml:space="preserve">V případě, že </w:t>
      </w:r>
      <w:r w:rsidRPr="0062074D">
        <w:rPr>
          <w:lang w:val="cs-CZ"/>
        </w:rPr>
        <w:t>Dodavatel</w:t>
      </w:r>
      <w:r w:rsidRPr="0062074D">
        <w:t xml:space="preserve"> neodstraní řádně reklamovanou vadu</w:t>
      </w:r>
      <w:r w:rsidRPr="0062074D">
        <w:rPr>
          <w:lang w:val="cs-CZ"/>
        </w:rPr>
        <w:t xml:space="preserve"> Dodávky </w:t>
      </w:r>
      <w:r w:rsidRPr="0062074D">
        <w:t>ve lhůtě</w:t>
      </w:r>
      <w:r w:rsidRPr="00135C33">
        <w:t xml:space="preserve"> uvedené v článku 1</w:t>
      </w:r>
      <w:r w:rsidRPr="00135C33">
        <w:rPr>
          <w:lang w:val="cs-CZ"/>
        </w:rPr>
        <w:t>0</w:t>
      </w:r>
      <w:r w:rsidRPr="00135C33">
        <w:t>.</w:t>
      </w:r>
      <w:r>
        <w:rPr>
          <w:lang w:val="cs-CZ"/>
        </w:rPr>
        <w:t>3 této Smlouvy</w:t>
      </w:r>
      <w:r w:rsidRPr="00135C33">
        <w:t xml:space="preserve"> </w:t>
      </w:r>
      <w:r w:rsidRPr="00604DA2">
        <w:t xml:space="preserve">nebo ve sjednané době, je </w:t>
      </w:r>
      <w:r w:rsidRPr="00604DA2">
        <w:rPr>
          <w:lang w:val="cs-CZ"/>
        </w:rPr>
        <w:t>Odběratel</w:t>
      </w:r>
      <w:r w:rsidRPr="00604DA2">
        <w:t xml:space="preserve"> oprávněn účtovat </w:t>
      </w:r>
      <w:r w:rsidRPr="00604DA2">
        <w:rPr>
          <w:lang w:val="cs-CZ"/>
        </w:rPr>
        <w:t>Dodavateli</w:t>
      </w:r>
      <w:r w:rsidRPr="00604DA2">
        <w:t xml:space="preserve"> smluvní pokutu ve výši </w:t>
      </w:r>
      <w:r>
        <w:rPr>
          <w:lang w:val="cs-CZ"/>
        </w:rPr>
        <w:t>5 0</w:t>
      </w:r>
      <w:r w:rsidRPr="00604DA2">
        <w:t>00</w:t>
      </w:r>
      <w:r>
        <w:rPr>
          <w:lang w:val="cs-CZ"/>
        </w:rPr>
        <w:t>,-</w:t>
      </w:r>
      <w:r w:rsidRPr="00604DA2">
        <w:rPr>
          <w:lang w:val="cs-CZ"/>
        </w:rPr>
        <w:t xml:space="preserve"> Kč</w:t>
      </w:r>
      <w:r w:rsidRPr="00604DA2">
        <w:t xml:space="preserve"> </w:t>
      </w:r>
      <w:r w:rsidRPr="00135C33">
        <w:t xml:space="preserve">za každou reklamovanou vadu, u níž je </w:t>
      </w:r>
      <w:r w:rsidRPr="00135C33">
        <w:rPr>
          <w:lang w:val="cs-CZ"/>
        </w:rPr>
        <w:t>Dodavatel</w:t>
      </w:r>
      <w:r w:rsidRPr="00135C33">
        <w:t xml:space="preserve"> v prodlení s odstraněním, </w:t>
      </w:r>
      <w:r>
        <w:rPr>
          <w:lang w:val="cs-CZ"/>
        </w:rPr>
        <w:t xml:space="preserve">a to </w:t>
      </w:r>
      <w:r w:rsidRPr="00135C33">
        <w:t xml:space="preserve">za každý </w:t>
      </w:r>
      <w:r w:rsidRPr="00135C33">
        <w:rPr>
          <w:lang w:val="cs-CZ"/>
        </w:rPr>
        <w:t xml:space="preserve">započatý </w:t>
      </w:r>
      <w:r w:rsidRPr="00135C33">
        <w:t xml:space="preserve">den prodlení. </w:t>
      </w:r>
    </w:p>
    <w:p w14:paraId="0B09A1AF" w14:textId="77777777" w:rsidR="00DA55F2" w:rsidRPr="00596DF5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596DF5">
        <w:t xml:space="preserve">Pokud </w:t>
      </w:r>
      <w:r>
        <w:rPr>
          <w:lang w:val="cs-CZ"/>
        </w:rPr>
        <w:t>Odběratel</w:t>
      </w:r>
      <w:r w:rsidRPr="00596DF5">
        <w:t xml:space="preserve"> neuhradí v termínech uvedených v této </w:t>
      </w:r>
      <w:r>
        <w:t>S</w:t>
      </w:r>
      <w:r w:rsidRPr="00596DF5">
        <w:t xml:space="preserve">mlouvě </w:t>
      </w:r>
      <w:r>
        <w:rPr>
          <w:lang w:val="cs-CZ"/>
        </w:rPr>
        <w:t>c</w:t>
      </w:r>
      <w:r w:rsidRPr="00596DF5">
        <w:t>enu</w:t>
      </w:r>
      <w:r>
        <w:rPr>
          <w:lang w:val="cs-CZ"/>
        </w:rPr>
        <w:t xml:space="preserve"> či její část</w:t>
      </w:r>
      <w:r w:rsidRPr="00596DF5">
        <w:t xml:space="preserve">, je povinen uhradit </w:t>
      </w:r>
      <w:r>
        <w:rPr>
          <w:lang w:val="cs-CZ"/>
        </w:rPr>
        <w:t>Dodavateli</w:t>
      </w:r>
      <w:r w:rsidRPr="00596DF5">
        <w:t xml:space="preserve"> </w:t>
      </w:r>
      <w:r>
        <w:t>úrok z prodlení v zákonné výši</w:t>
      </w:r>
      <w:r>
        <w:rPr>
          <w:lang w:val="cs-CZ"/>
        </w:rPr>
        <w:t>.</w:t>
      </w:r>
      <w:r w:rsidRPr="00596DF5">
        <w:t xml:space="preserve"> </w:t>
      </w:r>
    </w:p>
    <w:p w14:paraId="0B8C6A0E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t>Strana povinná musí uhradit straně oprávněné smluvní sankce nejpozději do 15 kalendářních dnů ode dne obdržení příslušného vyúčtování od druhé Smluvní strany.</w:t>
      </w:r>
    </w:p>
    <w:p w14:paraId="24CD4665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>
        <w:t xml:space="preserve">Smluvní strany vylučují použití ustanovení § 2050 OZ. </w:t>
      </w:r>
    </w:p>
    <w:p w14:paraId="72126A14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>Nárok na náhradu škody má Odběratel vždy zachován.</w:t>
      </w:r>
    </w:p>
    <w:p w14:paraId="477C75DB" w14:textId="77777777" w:rsidR="00DA55F2" w:rsidRDefault="00DA55F2" w:rsidP="00DA55F2">
      <w:pPr>
        <w:tabs>
          <w:tab w:val="num" w:pos="709"/>
        </w:tabs>
        <w:ind w:hanging="709"/>
        <w:rPr>
          <w:lang w:eastAsia="x-none"/>
        </w:rPr>
      </w:pPr>
    </w:p>
    <w:p w14:paraId="0CC21E51" w14:textId="77777777" w:rsidR="00DA55F2" w:rsidRDefault="00DA55F2" w:rsidP="00DA55F2">
      <w:pPr>
        <w:tabs>
          <w:tab w:val="num" w:pos="709"/>
        </w:tabs>
        <w:ind w:hanging="709"/>
        <w:rPr>
          <w:lang w:eastAsia="x-none"/>
        </w:rPr>
      </w:pPr>
    </w:p>
    <w:p w14:paraId="0E11AF0B" w14:textId="77777777" w:rsidR="00DA55F2" w:rsidRPr="00917C34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  <w:rPr>
          <w:lang w:val="cs-CZ"/>
        </w:rPr>
      </w:pPr>
      <w:r>
        <w:t>Ukončení Smlouvy</w:t>
      </w:r>
    </w:p>
    <w:p w14:paraId="5774F384" w14:textId="77777777" w:rsidR="00DA55F2" w:rsidRPr="001C1EA0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>
        <w:t>T</w:t>
      </w:r>
      <w:r>
        <w:rPr>
          <w:lang w:val="cs-CZ"/>
        </w:rPr>
        <w:t>a</w:t>
      </w:r>
      <w:r>
        <w:t xml:space="preserve">to Smlouvu </w:t>
      </w:r>
      <w:r>
        <w:rPr>
          <w:lang w:val="cs-CZ"/>
        </w:rPr>
        <w:t xml:space="preserve">končí </w:t>
      </w:r>
      <w:r w:rsidRPr="0062074D">
        <w:rPr>
          <w:lang w:val="cs-CZ"/>
        </w:rPr>
        <w:t>uplynutím 3 let ode dne její účinnosti, Smluvní</w:t>
      </w:r>
      <w:r>
        <w:rPr>
          <w:lang w:val="cs-CZ"/>
        </w:rPr>
        <w:t xml:space="preserve"> strany mohou Smlouvu ukončit také </w:t>
      </w:r>
      <w:r>
        <w:t xml:space="preserve">dohodou nebo odstoupením od Smlouvy z důvodů stanovených v zákoně nebo ve  Smlouvě. </w:t>
      </w:r>
    </w:p>
    <w:p w14:paraId="3CAEE379" w14:textId="77777777" w:rsidR="00DA55F2" w:rsidRPr="009D012E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</w:pPr>
      <w:r w:rsidRPr="00B34352">
        <w:t>Odběratel</w:t>
      </w:r>
      <w:r>
        <w:t xml:space="preserve"> </w:t>
      </w:r>
      <w:r w:rsidRPr="009D012E">
        <w:t xml:space="preserve">je </w:t>
      </w:r>
      <w:r w:rsidRPr="00B34352">
        <w:t xml:space="preserve">dále </w:t>
      </w:r>
      <w:r w:rsidRPr="009D012E">
        <w:t>oprávněn od Smlouvy odstoupit bez jakýchkoliv sankcí</w:t>
      </w:r>
      <w:r>
        <w:t>,</w:t>
      </w:r>
      <w:r w:rsidRPr="009D012E">
        <w:t xml:space="preserve"> nastane-li </w:t>
      </w:r>
      <w:r w:rsidRPr="00B34352">
        <w:t xml:space="preserve">i </w:t>
      </w:r>
      <w:r w:rsidRPr="009D012E">
        <w:t xml:space="preserve">některá z níže uvedených skutečností: </w:t>
      </w:r>
    </w:p>
    <w:p w14:paraId="1C596E9A" w14:textId="77777777" w:rsidR="00DA55F2" w:rsidRDefault="00DA55F2" w:rsidP="00DA55F2">
      <w:pPr>
        <w:pStyle w:val="Odrazka2"/>
        <w:numPr>
          <w:ilvl w:val="1"/>
          <w:numId w:val="4"/>
        </w:numPr>
        <w:tabs>
          <w:tab w:val="clear" w:pos="794"/>
          <w:tab w:val="num" w:pos="1134"/>
          <w:tab w:val="num" w:pos="1418"/>
        </w:tabs>
        <w:ind w:left="1134" w:hanging="567"/>
      </w:pPr>
      <w:r>
        <w:t xml:space="preserve">Proti majetku </w:t>
      </w:r>
      <w:r>
        <w:rPr>
          <w:lang w:val="cs-CZ"/>
        </w:rPr>
        <w:t>Dodavatele</w:t>
      </w:r>
      <w:r>
        <w:t xml:space="preserve"> bude vedeno insolvenční řízení,</w:t>
      </w:r>
    </w:p>
    <w:p w14:paraId="2DF4D506" w14:textId="77777777" w:rsidR="00DA55F2" w:rsidRPr="00312818" w:rsidRDefault="00DA55F2" w:rsidP="00DA55F2">
      <w:pPr>
        <w:pStyle w:val="Odrazka2"/>
        <w:numPr>
          <w:ilvl w:val="1"/>
          <w:numId w:val="4"/>
        </w:numPr>
        <w:tabs>
          <w:tab w:val="clear" w:pos="794"/>
          <w:tab w:val="num" w:pos="1134"/>
          <w:tab w:val="num" w:pos="1418"/>
        </w:tabs>
        <w:ind w:left="1134" w:hanging="567"/>
      </w:pPr>
      <w:r>
        <w:t xml:space="preserve">Vyjde-li najevo, že </w:t>
      </w:r>
      <w:r>
        <w:rPr>
          <w:lang w:val="cs-CZ"/>
        </w:rPr>
        <w:t>Dodavatel</w:t>
      </w:r>
      <w:r>
        <w:t xml:space="preserve"> uvedl v Nabídce informace nebo doklady, které neodpovídají skutečnosti a které měly nebo mohly mít vliv na výsledek Zadávacího řízení, které vedlo k uzavření této Smlouvy</w:t>
      </w:r>
      <w:r>
        <w:rPr>
          <w:lang w:val="cs-CZ"/>
        </w:rPr>
        <w:t>,</w:t>
      </w:r>
    </w:p>
    <w:p w14:paraId="249D212C" w14:textId="77777777" w:rsidR="00DA55F2" w:rsidRPr="00312818" w:rsidRDefault="00DA55F2" w:rsidP="00DA55F2">
      <w:pPr>
        <w:pStyle w:val="Odrazka2"/>
        <w:numPr>
          <w:ilvl w:val="1"/>
          <w:numId w:val="4"/>
        </w:numPr>
        <w:tabs>
          <w:tab w:val="clear" w:pos="794"/>
          <w:tab w:val="num" w:pos="1134"/>
          <w:tab w:val="num" w:pos="1418"/>
        </w:tabs>
        <w:ind w:left="1134" w:hanging="567"/>
      </w:pPr>
      <w:r>
        <w:rPr>
          <w:lang w:val="cs-CZ"/>
        </w:rPr>
        <w:t>Dodavatel pozbyde příslušná oprávnění plnit dle této Smlouvy;</w:t>
      </w:r>
    </w:p>
    <w:p w14:paraId="3B0E4E3B" w14:textId="77777777" w:rsidR="00DA55F2" w:rsidRDefault="00DA55F2" w:rsidP="00DA55F2">
      <w:pPr>
        <w:pStyle w:val="Odrazka2"/>
        <w:numPr>
          <w:ilvl w:val="1"/>
          <w:numId w:val="4"/>
        </w:numPr>
        <w:tabs>
          <w:tab w:val="clear" w:pos="794"/>
          <w:tab w:val="num" w:pos="1134"/>
          <w:tab w:val="num" w:pos="1418"/>
        </w:tabs>
        <w:ind w:left="1134" w:hanging="567"/>
      </w:pPr>
      <w:r>
        <w:rPr>
          <w:lang w:val="cs-CZ"/>
        </w:rPr>
        <w:lastRenderedPageBreak/>
        <w:t>Dodavatel pozbyde a/nebo neobnoví příslušné ISO certifikace, které prokázal v Zadávacím řízení</w:t>
      </w:r>
      <w:r>
        <w:t>.</w:t>
      </w:r>
    </w:p>
    <w:p w14:paraId="2EDBFE95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A85A97">
        <w:rPr>
          <w:lang w:val="cs-CZ"/>
        </w:rPr>
        <w:t>Dodavatel</w:t>
      </w:r>
      <w:r w:rsidRPr="00A85A97">
        <w:t xml:space="preserve"> je oprávněn od Smlouvy odstoupit v případě podstatného porušení </w:t>
      </w:r>
      <w:r w:rsidRPr="00A85A97">
        <w:rPr>
          <w:lang w:val="cs-CZ"/>
        </w:rPr>
        <w:t>S</w:t>
      </w:r>
      <w:r w:rsidRPr="00A85A97">
        <w:t xml:space="preserve">mlouvy </w:t>
      </w:r>
      <w:r w:rsidRPr="00A85A97">
        <w:rPr>
          <w:lang w:val="cs-CZ"/>
        </w:rPr>
        <w:t>Odběratelem</w:t>
      </w:r>
      <w:r w:rsidRPr="00A85A97">
        <w:t>.</w:t>
      </w:r>
      <w:r w:rsidRPr="00A85A97">
        <w:rPr>
          <w:lang w:val="cs-CZ"/>
        </w:rPr>
        <w:t xml:space="preserve"> Za podstatné porušení Smlouvy se považuje nezaplacení ceny za více jak tři po</w:t>
      </w:r>
      <w:r>
        <w:rPr>
          <w:lang w:val="cs-CZ"/>
        </w:rPr>
        <w:t> </w:t>
      </w:r>
      <w:r w:rsidRPr="00A85A97">
        <w:rPr>
          <w:lang w:val="cs-CZ"/>
        </w:rPr>
        <w:t xml:space="preserve">sobě jdoucí dílčí </w:t>
      </w:r>
      <w:r>
        <w:rPr>
          <w:lang w:val="cs-CZ"/>
        </w:rPr>
        <w:t>D</w:t>
      </w:r>
      <w:r w:rsidRPr="00A85A97">
        <w:rPr>
          <w:lang w:val="cs-CZ"/>
        </w:rPr>
        <w:t>odávky plnění v termínu stanoveném touto Smlouvou, ač Dodavatel Odběratele na toto porušení písemně upozornil a poskytl mu dostatečně dlouhou lhůtu k dodatečnému splnění této povinnosti.</w:t>
      </w:r>
    </w:p>
    <w:p w14:paraId="48C2691A" w14:textId="77777777" w:rsidR="00DA55F2" w:rsidRPr="00917C34" w:rsidRDefault="00DA55F2" w:rsidP="00DA55F2">
      <w:pPr>
        <w:pStyle w:val="Nadpis2"/>
        <w:keepNext w:val="0"/>
        <w:numPr>
          <w:ilvl w:val="0"/>
          <w:numId w:val="0"/>
        </w:numPr>
      </w:pPr>
    </w:p>
    <w:p w14:paraId="6546F584" w14:textId="77777777" w:rsidR="00DA55F2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</w:pPr>
      <w:r w:rsidRPr="00037C39">
        <w:t>Zástupci</w:t>
      </w:r>
      <w:r>
        <w:t xml:space="preserve"> </w:t>
      </w:r>
      <w:r>
        <w:rPr>
          <w:lang w:val="cs-CZ"/>
        </w:rPr>
        <w:t>s</w:t>
      </w:r>
      <w:r>
        <w:t>mluvních stran</w:t>
      </w:r>
      <w:r w:rsidRPr="00037C39">
        <w:t>, oznamování</w:t>
      </w:r>
    </w:p>
    <w:p w14:paraId="6E45B872" w14:textId="77777777" w:rsidR="00DA55F2" w:rsidRPr="006F0A14" w:rsidRDefault="00DA55F2" w:rsidP="00DA55F2">
      <w:pPr>
        <w:pStyle w:val="Nadpis2"/>
        <w:tabs>
          <w:tab w:val="clear" w:pos="1276"/>
          <w:tab w:val="num" w:pos="709"/>
        </w:tabs>
        <w:ind w:left="709" w:hanging="709"/>
      </w:pPr>
      <w:r>
        <w:rPr>
          <w:lang w:val="cs-CZ"/>
        </w:rPr>
        <w:t>Dodavatel</w:t>
      </w:r>
      <w:r w:rsidRPr="00037C39">
        <w:t xml:space="preserve"> jmenoval </w:t>
      </w:r>
      <w:r>
        <w:t>tohoto odpovědného</w:t>
      </w:r>
      <w:r w:rsidRPr="00037C39">
        <w:t xml:space="preserve"> zástupce </w:t>
      </w:r>
      <w:r>
        <w:t>pro komunikaci</w:t>
      </w:r>
      <w:r w:rsidRPr="00037C39">
        <w:t xml:space="preserve"> s</w:t>
      </w:r>
      <w:r>
        <w:t> </w:t>
      </w:r>
      <w:r>
        <w:rPr>
          <w:lang w:val="cs-CZ"/>
        </w:rPr>
        <w:t>Odběratelem</w:t>
      </w:r>
      <w:r>
        <w:t xml:space="preserve"> v souvislosti s</w:t>
      </w:r>
      <w:r>
        <w:rPr>
          <w:lang w:val="cs-CZ"/>
        </w:rPr>
        <w:t> </w:t>
      </w:r>
      <w:r>
        <w:t>předmětem plnění dle této Smlouvy</w:t>
      </w:r>
      <w:r w:rsidRPr="00037C39">
        <w:t>:</w:t>
      </w:r>
    </w:p>
    <w:p w14:paraId="03C1D20C" w14:textId="120CD1D5" w:rsidR="00DA55F2" w:rsidRPr="00037C39" w:rsidRDefault="00580732" w:rsidP="00DA55F2">
      <w:pPr>
        <w:tabs>
          <w:tab w:val="num" w:pos="709"/>
        </w:tabs>
        <w:rPr>
          <w:bCs/>
        </w:rPr>
      </w:pPr>
      <w:r>
        <w:t>xxxxxxxxxxxxxxxxxxx</w:t>
      </w:r>
    </w:p>
    <w:p w14:paraId="3DA3C7BD" w14:textId="77777777" w:rsidR="00DA55F2" w:rsidRPr="00312818" w:rsidRDefault="00DA55F2" w:rsidP="00DA55F2">
      <w:pPr>
        <w:pStyle w:val="Nadpis2"/>
        <w:tabs>
          <w:tab w:val="clear" w:pos="1276"/>
          <w:tab w:val="num" w:pos="709"/>
        </w:tabs>
        <w:ind w:left="709" w:hanging="709"/>
      </w:pPr>
      <w:r w:rsidRPr="00E81CD9">
        <w:rPr>
          <w:lang w:val="cs-CZ"/>
        </w:rPr>
        <w:t>Odběratel</w:t>
      </w:r>
      <w:r w:rsidRPr="00E81CD9">
        <w:t xml:space="preserve"> jmenoval tohoto odpovědného zástupce pro komunikaci s </w:t>
      </w:r>
      <w:r w:rsidRPr="00E81CD9">
        <w:rPr>
          <w:lang w:val="cs-CZ"/>
        </w:rPr>
        <w:t>Dodavatelem</w:t>
      </w:r>
      <w:r w:rsidRPr="00E81CD9">
        <w:t xml:space="preserve"> v souvislosti s</w:t>
      </w:r>
      <w:r w:rsidRPr="00E81CD9">
        <w:rPr>
          <w:lang w:val="cs-CZ"/>
        </w:rPr>
        <w:t> </w:t>
      </w:r>
      <w:r w:rsidRPr="00E81CD9">
        <w:t>předmětem plnění dle této Smlouvy</w:t>
      </w:r>
      <w:r w:rsidRPr="007A1809">
        <w:t>:</w:t>
      </w:r>
    </w:p>
    <w:p w14:paraId="4F326C09" w14:textId="248FCF10" w:rsidR="00DA55F2" w:rsidRPr="00312818" w:rsidRDefault="00580732" w:rsidP="00DA55F2">
      <w:pPr>
        <w:tabs>
          <w:tab w:val="num" w:pos="709"/>
        </w:tabs>
        <w:rPr>
          <w:i/>
        </w:rPr>
      </w:pPr>
      <w:r>
        <w:rPr>
          <w:i/>
        </w:rPr>
        <w:t>xxxxxxxxxxxxxxxxxxxx</w:t>
      </w:r>
    </w:p>
    <w:p w14:paraId="5C676EF5" w14:textId="3D601527" w:rsidR="00DA55F2" w:rsidRPr="00312818" w:rsidRDefault="00DA55F2" w:rsidP="00DA55F2">
      <w:pPr>
        <w:tabs>
          <w:tab w:val="num" w:pos="709"/>
        </w:tabs>
        <w:rPr>
          <w:bCs/>
          <w:i/>
        </w:rPr>
      </w:pPr>
      <w:r w:rsidRPr="00312818">
        <w:rPr>
          <w:i/>
        </w:rPr>
        <w:t xml:space="preserve">e-mail: </w:t>
      </w:r>
      <w:r w:rsidR="00580732">
        <w:rPr>
          <w:i/>
        </w:rPr>
        <w:t>xxxxxxxxxxxxxxx</w:t>
      </w:r>
    </w:p>
    <w:p w14:paraId="0718971B" w14:textId="490B877B" w:rsidR="00DA55F2" w:rsidRPr="00312818" w:rsidRDefault="00580732" w:rsidP="00DA55F2">
      <w:pPr>
        <w:tabs>
          <w:tab w:val="num" w:pos="709"/>
        </w:tabs>
        <w:rPr>
          <w:bCs/>
          <w:i/>
        </w:rPr>
      </w:pPr>
      <w:r>
        <w:rPr>
          <w:bCs/>
          <w:i/>
        </w:rPr>
        <w:t>xxxxxxxxxxxxxxxxxx</w:t>
      </w:r>
    </w:p>
    <w:p w14:paraId="5569A213" w14:textId="604AA83A" w:rsidR="00DA55F2" w:rsidRPr="00312818" w:rsidRDefault="00DA55F2" w:rsidP="00DA55F2">
      <w:pPr>
        <w:tabs>
          <w:tab w:val="num" w:pos="709"/>
        </w:tabs>
        <w:rPr>
          <w:bCs/>
          <w:i/>
        </w:rPr>
      </w:pPr>
      <w:r w:rsidRPr="00312818">
        <w:rPr>
          <w:bCs/>
          <w:i/>
        </w:rPr>
        <w:t xml:space="preserve">e-mail: </w:t>
      </w:r>
      <w:hyperlink r:id="rId9" w:history="1"/>
      <w:r w:rsidR="00580732">
        <w:rPr>
          <w:bCs/>
          <w:i/>
        </w:rPr>
        <w:t>xxxxxxxxxxxxxxxx</w:t>
      </w:r>
    </w:p>
    <w:p w14:paraId="507BA6BE" w14:textId="77777777" w:rsidR="00DA55F2" w:rsidRDefault="00DA55F2" w:rsidP="00DA55F2">
      <w:pPr>
        <w:pStyle w:val="Nadpis2"/>
        <w:keepNext w:val="0"/>
        <w:tabs>
          <w:tab w:val="clear" w:pos="1276"/>
          <w:tab w:val="num" w:pos="709"/>
        </w:tabs>
        <w:ind w:left="709" w:hanging="709"/>
        <w:rPr>
          <w:lang w:val="cs-CZ"/>
        </w:rPr>
      </w:pPr>
      <w:r w:rsidRPr="008E145C">
        <w:t xml:space="preserve">Není-li v této </w:t>
      </w:r>
      <w:r>
        <w:rPr>
          <w:lang w:val="cs-CZ"/>
        </w:rPr>
        <w:t>S</w:t>
      </w:r>
      <w:r w:rsidRPr="008E145C">
        <w:t xml:space="preserve">mlouvě ujednáno jinak, veškerá oznámení, která mají nebo mohou být učiněna mezi Smluvními stranami podle této </w:t>
      </w:r>
      <w:r>
        <w:rPr>
          <w:lang w:val="cs-CZ"/>
        </w:rPr>
        <w:t>S</w:t>
      </w:r>
      <w:r w:rsidRPr="008E145C">
        <w:t xml:space="preserve">mlouvy, musí být vyhotovena písemně a doručena druhé </w:t>
      </w:r>
      <w:r>
        <w:rPr>
          <w:lang w:val="cs-CZ"/>
        </w:rPr>
        <w:t>s</w:t>
      </w:r>
      <w:r w:rsidRPr="008E145C">
        <w:t>mluvní straně oprávněnou zasilatelskou službou, osobně (s písemným potvrzením o převzetí)</w:t>
      </w:r>
      <w:r>
        <w:rPr>
          <w:lang w:val="cs-CZ"/>
        </w:rPr>
        <w:t>, elektronicky s potvrzením přijetí druhou Smluvní stranou</w:t>
      </w:r>
      <w:r w:rsidRPr="008E145C">
        <w:rPr>
          <w:lang w:val="cs-CZ"/>
        </w:rPr>
        <w:t xml:space="preserve"> nebo</w:t>
      </w:r>
      <w:r w:rsidRPr="008E145C">
        <w:t xml:space="preserve"> doporučenou zásilkou odeslanou s využitím provozovatele poštovních služeb; má se za to, že takové oznámení došlo třetí pracovní den po odeslání, bylo-li však odesláno na adresu v jiném státu, pak patnáctý pracovní den po</w:t>
      </w:r>
      <w:r>
        <w:rPr>
          <w:lang w:val="cs-CZ"/>
        </w:rPr>
        <w:t> </w:t>
      </w:r>
      <w:r w:rsidRPr="008E145C">
        <w:t>odeslání.</w:t>
      </w:r>
      <w:r w:rsidRPr="008E145C">
        <w:rPr>
          <w:lang w:val="cs-CZ"/>
        </w:rPr>
        <w:t xml:space="preserve"> </w:t>
      </w:r>
    </w:p>
    <w:p w14:paraId="32B899D2" w14:textId="77777777" w:rsidR="00DA55F2" w:rsidRPr="00E444CD" w:rsidRDefault="00DA55F2" w:rsidP="00DA55F2">
      <w:pPr>
        <w:rPr>
          <w:lang w:eastAsia="x-none"/>
        </w:rPr>
      </w:pPr>
    </w:p>
    <w:p w14:paraId="6EF1DC1C" w14:textId="77777777" w:rsidR="00DA55F2" w:rsidRPr="000A53AB" w:rsidRDefault="00DA55F2" w:rsidP="00DA55F2">
      <w:pPr>
        <w:pStyle w:val="Nadpis1"/>
        <w:keepNext w:val="0"/>
        <w:tabs>
          <w:tab w:val="clear" w:pos="1844"/>
          <w:tab w:val="num" w:pos="709"/>
        </w:tabs>
        <w:ind w:left="709" w:hanging="709"/>
      </w:pPr>
      <w:r w:rsidRPr="000A53AB">
        <w:t xml:space="preserve">Doložka o </w:t>
      </w:r>
      <w:r>
        <w:t xml:space="preserve">rozhodném </w:t>
      </w:r>
      <w:r w:rsidRPr="000A53AB">
        <w:t>právu</w:t>
      </w:r>
    </w:p>
    <w:p w14:paraId="4F9621AC" w14:textId="77777777" w:rsidR="00DA55F2" w:rsidRPr="0096237E" w:rsidRDefault="00DA55F2" w:rsidP="00DA55F2">
      <w:pPr>
        <w:pStyle w:val="Nadpis2"/>
        <w:keepNext w:val="0"/>
        <w:tabs>
          <w:tab w:val="num" w:pos="709"/>
        </w:tabs>
        <w:ind w:left="709" w:hanging="709"/>
      </w:pPr>
      <w:r w:rsidRPr="0096237E">
        <w:t>Tato Smlouva a veškeré právní vztahy z ní vzniklé se řídí právním řádem České republiky.</w:t>
      </w:r>
    </w:p>
    <w:p w14:paraId="4D9694EE" w14:textId="77777777" w:rsidR="00DA55F2" w:rsidRDefault="00DA55F2" w:rsidP="00DA55F2">
      <w:pPr>
        <w:pStyle w:val="Nadpis2"/>
        <w:keepNext w:val="0"/>
        <w:tabs>
          <w:tab w:val="num" w:pos="709"/>
        </w:tabs>
        <w:ind w:left="709" w:hanging="709"/>
      </w:pPr>
      <w:r>
        <w:t>Smluvní s</w:t>
      </w:r>
      <w:r w:rsidRPr="0096237E">
        <w:t>trany berou na vědomí a uznávají, že v oblastech výslovně neupravených touto Smlouvou platí ustanovení O</w:t>
      </w:r>
      <w:r>
        <w:t>Z</w:t>
      </w:r>
      <w:r w:rsidRPr="0096237E">
        <w:t>.</w:t>
      </w:r>
    </w:p>
    <w:p w14:paraId="24DC5950" w14:textId="77777777" w:rsidR="00DA55F2" w:rsidRDefault="00DA55F2" w:rsidP="00DA55F2">
      <w:pPr>
        <w:pStyle w:val="Nadpis2"/>
        <w:keepNext w:val="0"/>
        <w:tabs>
          <w:tab w:val="num" w:pos="709"/>
        </w:tabs>
        <w:ind w:left="709" w:hanging="709"/>
        <w:rPr>
          <w:lang w:val="cs-CZ"/>
        </w:rPr>
      </w:pPr>
      <w:r w:rsidRPr="0096237E">
        <w:t xml:space="preserve">Veškeré spory vzniklé z této Smlouvy či z právních vztahů s ní souvisejících budou </w:t>
      </w:r>
      <w:r>
        <w:t>Smluvní s</w:t>
      </w:r>
      <w:r w:rsidRPr="0096237E">
        <w:t xml:space="preserve">trany řešit jednáním. V případě, že nebude možné spor urovnat jednáním ve lhůtě šedesáti (60) dnů, </w:t>
      </w:r>
      <w:r w:rsidRPr="0096237E">
        <w:lastRenderedPageBreak/>
        <w:t xml:space="preserve">bude takový spor rozhodovat na návrh jedné ze </w:t>
      </w:r>
      <w:r>
        <w:t>Smluvních s</w:t>
      </w:r>
      <w:r w:rsidRPr="0096237E">
        <w:t>tran příslušný soud v České republice.</w:t>
      </w:r>
    </w:p>
    <w:p w14:paraId="345B064A" w14:textId="77777777" w:rsidR="00DA55F2" w:rsidRDefault="00DA55F2" w:rsidP="00DA55F2">
      <w:pPr>
        <w:rPr>
          <w:lang w:eastAsia="x-none"/>
        </w:rPr>
      </w:pPr>
    </w:p>
    <w:p w14:paraId="230D0F83" w14:textId="77777777" w:rsidR="00DA55F2" w:rsidRDefault="00DA55F2" w:rsidP="00DA55F2">
      <w:pPr>
        <w:rPr>
          <w:lang w:eastAsia="x-none"/>
        </w:rPr>
      </w:pPr>
    </w:p>
    <w:p w14:paraId="4718EB22" w14:textId="77777777" w:rsidR="00DA55F2" w:rsidRDefault="00DA55F2" w:rsidP="00DA55F2">
      <w:pPr>
        <w:rPr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DA55F2" w14:paraId="47D7BC75" w14:textId="77777777" w:rsidTr="003B46D7">
        <w:trPr>
          <w:trHeight w:val="115"/>
        </w:trPr>
        <w:tc>
          <w:tcPr>
            <w:tcW w:w="9570" w:type="dxa"/>
          </w:tcPr>
          <w:p w14:paraId="22014953" w14:textId="77777777" w:rsidR="00DA55F2" w:rsidRDefault="00DA55F2" w:rsidP="003B46D7">
            <w:pPr>
              <w:pStyle w:val="Nadpis1"/>
              <w:keepNext w:val="0"/>
              <w:tabs>
                <w:tab w:val="clear" w:pos="1844"/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>Závěrečná ujednání</w:t>
            </w:r>
          </w:p>
          <w:p w14:paraId="2666C40E" w14:textId="77777777" w:rsidR="00DA55F2" w:rsidRPr="00736D76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 xml:space="preserve">Tato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mlouva, včetně příloh, představuje úplnou a ucelenou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mlouvu mezi </w:t>
            </w:r>
            <w:r>
              <w:rPr>
                <w:rFonts w:cs="Arial"/>
                <w:lang w:val="cs-CZ" w:eastAsia="cs-CZ"/>
              </w:rPr>
              <w:t xml:space="preserve">Odběratelem </w:t>
            </w:r>
            <w:r w:rsidRPr="00736D76">
              <w:rPr>
                <w:rFonts w:cs="Arial"/>
                <w:lang w:val="cs-CZ" w:eastAsia="cs-CZ"/>
              </w:rPr>
              <w:t>a</w:t>
            </w:r>
            <w:r>
              <w:rPr>
                <w:rFonts w:cs="Arial"/>
                <w:lang w:val="cs-CZ" w:eastAsia="cs-CZ"/>
              </w:rPr>
              <w:t> Dodavatelem</w:t>
            </w:r>
            <w:r w:rsidRPr="00736D76">
              <w:rPr>
                <w:rFonts w:cs="Arial"/>
                <w:lang w:val="cs-CZ" w:eastAsia="cs-CZ"/>
              </w:rPr>
              <w:t>.</w:t>
            </w:r>
          </w:p>
          <w:p w14:paraId="4F7C0AD4" w14:textId="77777777" w:rsidR="00DA55F2" w:rsidRPr="00736D76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 xml:space="preserve">Smluvní strany se dohodly, že </w:t>
            </w:r>
            <w:r>
              <w:rPr>
                <w:rFonts w:cs="Arial"/>
                <w:lang w:val="cs-CZ" w:eastAsia="cs-CZ"/>
              </w:rPr>
              <w:t>Dodavatel</w:t>
            </w:r>
            <w:r w:rsidRPr="00736D76">
              <w:rPr>
                <w:rFonts w:cs="Arial"/>
                <w:lang w:val="cs-CZ" w:eastAsia="cs-CZ"/>
              </w:rPr>
              <w:t xml:space="preserve"> není oprávněn započíst svou pohledávku, ani</w:t>
            </w:r>
            <w:r>
              <w:rPr>
                <w:rFonts w:cs="Arial"/>
                <w:lang w:val="cs-CZ" w:eastAsia="cs-CZ"/>
              </w:rPr>
              <w:t> </w:t>
            </w:r>
            <w:r w:rsidRPr="00736D76">
              <w:rPr>
                <w:rFonts w:cs="Arial"/>
                <w:lang w:val="cs-CZ" w:eastAsia="cs-CZ"/>
              </w:rPr>
              <w:t xml:space="preserve">pohledávku svého poddlužníka, za </w:t>
            </w:r>
            <w:r>
              <w:rPr>
                <w:rFonts w:cs="Arial"/>
                <w:lang w:val="cs-CZ" w:eastAsia="cs-CZ"/>
              </w:rPr>
              <w:t>Odběratelem</w:t>
            </w:r>
            <w:r w:rsidRPr="00736D76">
              <w:rPr>
                <w:rFonts w:cs="Arial"/>
                <w:lang w:val="cs-CZ" w:eastAsia="cs-CZ"/>
              </w:rPr>
              <w:t xml:space="preserve"> proti pohledávce </w:t>
            </w:r>
            <w:r>
              <w:rPr>
                <w:rFonts w:cs="Arial"/>
                <w:lang w:val="cs-CZ" w:eastAsia="cs-CZ"/>
              </w:rPr>
              <w:t>Odběratele</w:t>
            </w:r>
            <w:r w:rsidRPr="00736D76">
              <w:rPr>
                <w:rFonts w:cs="Arial"/>
                <w:lang w:val="cs-CZ" w:eastAsia="cs-CZ"/>
              </w:rPr>
              <w:t xml:space="preserve"> za</w:t>
            </w:r>
            <w:r>
              <w:rPr>
                <w:rFonts w:cs="Arial"/>
                <w:lang w:val="cs-CZ" w:eastAsia="cs-CZ"/>
              </w:rPr>
              <w:t> Dodavatelem</w:t>
            </w:r>
            <w:r w:rsidRPr="00736D76">
              <w:rPr>
                <w:rFonts w:cs="Arial"/>
                <w:lang w:val="cs-CZ" w:eastAsia="cs-CZ"/>
              </w:rPr>
              <w:t xml:space="preserve">. </w:t>
            </w:r>
          </w:p>
          <w:p w14:paraId="64B83444" w14:textId="77777777" w:rsidR="00DA55F2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>
              <w:rPr>
                <w:rFonts w:cs="Arial"/>
                <w:lang w:val="cs-CZ" w:eastAsia="cs-CZ"/>
              </w:rPr>
              <w:t>Dodavatel</w:t>
            </w:r>
            <w:r w:rsidRPr="00736D76">
              <w:rPr>
                <w:rFonts w:cs="Arial"/>
                <w:lang w:val="cs-CZ" w:eastAsia="cs-CZ"/>
              </w:rPr>
              <w:t xml:space="preserve"> není oprávněn postoupit pohledávku, která mu vznikne na základě této Smlouvy nebo v souvislosti s ní na třetí osobu. </w:t>
            </w:r>
            <w:r>
              <w:rPr>
                <w:rFonts w:cs="Arial"/>
                <w:lang w:val="cs-CZ" w:eastAsia="cs-CZ"/>
              </w:rPr>
              <w:t>Dodavatel</w:t>
            </w:r>
            <w:r w:rsidRPr="00736D76">
              <w:rPr>
                <w:rFonts w:cs="Arial"/>
                <w:lang w:val="cs-CZ" w:eastAsia="cs-CZ"/>
              </w:rPr>
              <w:t xml:space="preserve"> není oprávněn postoupit práva a povinnosti z této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>mlouvy ani z její části třetí osobě.</w:t>
            </w:r>
          </w:p>
          <w:p w14:paraId="09B9F8F6" w14:textId="77777777" w:rsidR="00DA55F2" w:rsidRPr="00010490" w:rsidRDefault="00DA55F2" w:rsidP="003B46D7">
            <w:pPr>
              <w:pStyle w:val="Nadpis2"/>
              <w:tabs>
                <w:tab w:val="num" w:pos="709"/>
              </w:tabs>
              <w:ind w:left="709" w:hanging="709"/>
            </w:pPr>
            <w:r w:rsidRPr="00010490">
              <w:rPr>
                <w:lang w:val="cs-CZ"/>
              </w:rPr>
              <w:t>Dodavatel</w:t>
            </w:r>
            <w:r w:rsidRPr="00010490">
              <w:t xml:space="preserve"> se zavazuje mít po celou dobu platnosti této </w:t>
            </w:r>
            <w:r>
              <w:rPr>
                <w:lang w:val="cs-CZ"/>
              </w:rPr>
              <w:t>S</w:t>
            </w:r>
            <w:r w:rsidRPr="0062074D">
              <w:rPr>
                <w:lang w:val="cs-CZ"/>
              </w:rPr>
              <w:t>mlouvy</w:t>
            </w:r>
            <w:r w:rsidRPr="0062074D">
              <w:t xml:space="preserve"> sjednáno pojištění odpovědnosti za škodu způsobenou v souvislosti s výkonem podnikatelské činnosti, a</w:t>
            </w:r>
            <w:r w:rsidRPr="0062074D">
              <w:rPr>
                <w:lang w:val="cs-CZ"/>
              </w:rPr>
              <w:t> </w:t>
            </w:r>
            <w:r w:rsidRPr="0062074D">
              <w:t>to</w:t>
            </w:r>
            <w:r w:rsidRPr="0062074D">
              <w:rPr>
                <w:lang w:val="cs-CZ"/>
              </w:rPr>
              <w:t> </w:t>
            </w:r>
            <w:r w:rsidRPr="0062074D">
              <w:t>s</w:t>
            </w:r>
            <w:r w:rsidRPr="0062074D">
              <w:rPr>
                <w:lang w:val="cs-CZ"/>
              </w:rPr>
              <w:t> </w:t>
            </w:r>
            <w:r w:rsidRPr="0062074D">
              <w:t xml:space="preserve">limitem pojistného plnění minimálně ve výši </w:t>
            </w:r>
            <w:r w:rsidRPr="0062074D">
              <w:rPr>
                <w:lang w:val="cs-CZ"/>
              </w:rPr>
              <w:t>10 000 000,- Kč.</w:t>
            </w:r>
          </w:p>
          <w:p w14:paraId="3E90AA31" w14:textId="77777777" w:rsidR="00DA55F2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 xml:space="preserve">Pokud se jakékoliv ustanovení této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mlouvy jako celku. V takovém případě se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>mlouvy.</w:t>
            </w:r>
          </w:p>
          <w:p w14:paraId="4EDDF5D0" w14:textId="77777777" w:rsidR="00DA55F2" w:rsidRPr="00F07770" w:rsidRDefault="00DA55F2" w:rsidP="003B46D7">
            <w:pPr>
              <w:pStyle w:val="Nadpis2"/>
              <w:keepNext w:val="0"/>
              <w:tabs>
                <w:tab w:val="clear" w:pos="1276"/>
                <w:tab w:val="num" w:pos="709"/>
              </w:tabs>
              <w:spacing w:after="120"/>
              <w:ind w:left="709" w:hanging="709"/>
            </w:pPr>
            <w:r>
              <w:rPr>
                <w:lang w:val="cs-CZ"/>
              </w:rPr>
              <w:t>Odběratel</w:t>
            </w:r>
            <w:r w:rsidRPr="00B44FFD">
              <w:t xml:space="preserve"> je povinným subjektem dle zákona č. 340/2015 Sb., o zvláštních podmínkách účinnosti některých smluv, uveřejňování těchto smluv a registru smluv, v platném znění (dále jen „zákon o registru smluv“). </w:t>
            </w:r>
            <w:r>
              <w:rPr>
                <w:lang w:val="cs-CZ"/>
              </w:rPr>
              <w:t>Dodavatel</w:t>
            </w:r>
            <w:r w:rsidRPr="00B44FFD">
              <w:t xml:space="preserve"> bere na vědomí a výslovně souhlasí s tím, aby Smlouva byla uveřejněna v souladu se zákonem o registru smluv. Smluvní strany se dohodly, že uveřejnění Smlouvy prostřednictvím registru smluv v souladu se zákonem o registru smluv zajistí </w:t>
            </w:r>
            <w:r>
              <w:rPr>
                <w:lang w:val="cs-CZ"/>
              </w:rPr>
              <w:t>Odběratel.</w:t>
            </w:r>
          </w:p>
          <w:p w14:paraId="342C0880" w14:textId="77777777" w:rsidR="00DA55F2" w:rsidRPr="00736D76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 xml:space="preserve">Tato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mlouva nabývá platnosti </w:t>
            </w:r>
            <w:r w:rsidRPr="00F07770">
              <w:t xml:space="preserve">v </w:t>
            </w:r>
            <w:r>
              <w:t xml:space="preserve">den připojení podpisu poslední </w:t>
            </w:r>
            <w:r>
              <w:rPr>
                <w:lang w:val="cs-CZ"/>
              </w:rPr>
              <w:t>S</w:t>
            </w:r>
            <w:r w:rsidRPr="00F07770">
              <w:t xml:space="preserve">mluvní strany </w:t>
            </w:r>
            <w:r w:rsidRPr="00736D76">
              <w:rPr>
                <w:rFonts w:cs="Arial"/>
                <w:lang w:val="cs-CZ" w:eastAsia="cs-CZ"/>
              </w:rPr>
              <w:t xml:space="preserve">a účinnosti dnem </w:t>
            </w:r>
            <w:r w:rsidRPr="00F07770">
              <w:t xml:space="preserve">uveřejnění </w:t>
            </w:r>
            <w:r w:rsidRPr="00277165">
              <w:t xml:space="preserve">této </w:t>
            </w:r>
            <w:r>
              <w:rPr>
                <w:lang w:val="cs-CZ"/>
              </w:rPr>
              <w:t>S</w:t>
            </w:r>
            <w:r w:rsidRPr="00277165">
              <w:t>mlouvy v registru smluv dle zákona o registru smluv</w:t>
            </w:r>
            <w:r>
              <w:rPr>
                <w:lang w:val="cs-CZ"/>
              </w:rPr>
              <w:t>, resp. dne 22. 1. 2020, a to v den, který nastane později</w:t>
            </w:r>
            <w:r w:rsidRPr="00736D76">
              <w:rPr>
                <w:rFonts w:cs="Arial"/>
                <w:lang w:val="cs-CZ" w:eastAsia="cs-CZ"/>
              </w:rPr>
              <w:t>.</w:t>
            </w:r>
            <w:r>
              <w:rPr>
                <w:rFonts w:cs="Arial"/>
                <w:lang w:val="cs-CZ" w:eastAsia="cs-CZ"/>
              </w:rPr>
              <w:t xml:space="preserve"> </w:t>
            </w:r>
          </w:p>
          <w:p w14:paraId="184EEB79" w14:textId="77777777" w:rsidR="00DA55F2" w:rsidRPr="00736D76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 xml:space="preserve">Tuto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mlouvu lze doplnit nebo měnit výlučně formou písemných očíslovaných dodatků, opatřených časovým a místním určením a podepsaných oprávněnými zástupci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mluvních stran </w:t>
            </w:r>
            <w:r w:rsidRPr="00736D76">
              <w:rPr>
                <w:rFonts w:cs="Arial"/>
                <w:lang w:val="cs-CZ" w:eastAsia="cs-CZ"/>
              </w:rPr>
              <w:lastRenderedPageBreak/>
              <w:t xml:space="preserve">ve smyslu ustanovení § 564 OZ výslovně vylučují provedení změn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>mlouvy v jiné formě.</w:t>
            </w:r>
            <w:r>
              <w:rPr>
                <w:rFonts w:cs="Arial"/>
                <w:lang w:val="cs-CZ" w:eastAsia="cs-CZ"/>
              </w:rPr>
              <w:t xml:space="preserve"> Pro zamezení pochybnostem se s odkazem na čl. 7., odst. 7.2 uvádí, že úprava Přílohy 1 v rozsahu úpravy jednotkových cen s odkazem na inflační doložku není považováno za změnu dle tohoto ustanovení. </w:t>
            </w:r>
          </w:p>
          <w:p w14:paraId="26AC33AF" w14:textId="77777777" w:rsidR="00DA55F2" w:rsidRPr="00736D76" w:rsidRDefault="00DA55F2" w:rsidP="003B46D7">
            <w:pPr>
              <w:pStyle w:val="Nadpis2"/>
              <w:keepNext w:val="0"/>
              <w:tabs>
                <w:tab w:val="num" w:pos="709"/>
              </w:tabs>
              <w:ind w:left="709" w:hanging="709"/>
              <w:rPr>
                <w:rFonts w:cs="Arial"/>
                <w:lang w:val="cs-CZ" w:eastAsia="cs-CZ"/>
              </w:rPr>
            </w:pPr>
            <w:r w:rsidRPr="00736D76">
              <w:rPr>
                <w:rFonts w:cs="Arial"/>
                <w:lang w:val="cs-CZ" w:eastAsia="cs-CZ"/>
              </w:rPr>
              <w:t xml:space="preserve">Poruší-li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mluvní strana povinnost z této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 xml:space="preserve">mlouvy či může-li a má-li o takovém porušení vědět, oznámí to bez zbytečného odkladu druhé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>mluvní straně, které z toho může vzniknout újma, a</w:t>
            </w:r>
            <w:r>
              <w:rPr>
                <w:rFonts w:cs="Arial"/>
                <w:lang w:val="cs-CZ" w:eastAsia="cs-CZ"/>
              </w:rPr>
              <w:t> </w:t>
            </w:r>
            <w:r w:rsidRPr="00736D76">
              <w:rPr>
                <w:rFonts w:cs="Arial"/>
                <w:lang w:val="cs-CZ" w:eastAsia="cs-CZ"/>
              </w:rPr>
              <w:t xml:space="preserve">upozorní ji na možné následky; v takovém případě nemá poškozená </w:t>
            </w:r>
            <w:r>
              <w:rPr>
                <w:rFonts w:cs="Arial"/>
                <w:lang w:val="cs-CZ" w:eastAsia="cs-CZ"/>
              </w:rPr>
              <w:t>s</w:t>
            </w:r>
            <w:r w:rsidRPr="00736D76">
              <w:rPr>
                <w:rFonts w:cs="Arial"/>
                <w:lang w:val="cs-CZ" w:eastAsia="cs-CZ"/>
              </w:rPr>
              <w:t>mluvní strana právo na náhradu té újmy, které mohla po oznámení zabránit.</w:t>
            </w:r>
          </w:p>
          <w:p w14:paraId="3747994A" w14:textId="77777777" w:rsidR="00DA55F2" w:rsidRPr="00E82274" w:rsidRDefault="00DA55F2" w:rsidP="003B46D7">
            <w:pPr>
              <w:pStyle w:val="Nadpis2"/>
              <w:keepNext w:val="0"/>
              <w:tabs>
                <w:tab w:val="num" w:pos="709"/>
                <w:tab w:val="num" w:pos="1134"/>
              </w:tabs>
              <w:ind w:left="709" w:hanging="709"/>
              <w:rPr>
                <w:rFonts w:cs="Arial"/>
                <w:lang w:val="cs-CZ" w:eastAsia="cs-CZ"/>
              </w:rPr>
            </w:pPr>
            <w:r w:rsidRPr="00E82274">
              <w:rPr>
                <w:rFonts w:cs="Arial"/>
                <w:lang w:val="cs-CZ" w:eastAsia="cs-CZ"/>
              </w:rPr>
              <w:t>Dodavatel se za podmínek stan</w:t>
            </w:r>
            <w:r>
              <w:rPr>
                <w:rFonts w:cs="Arial"/>
                <w:lang w:val="cs-CZ" w:eastAsia="cs-CZ"/>
              </w:rPr>
              <w:t xml:space="preserve">ovených touto Smlouvou zavazuje </w:t>
            </w:r>
            <w:r w:rsidRPr="00E82274">
              <w:rPr>
                <w:rFonts w:cs="Arial"/>
                <w:lang w:val="cs-CZ" w:eastAsia="cs-CZ"/>
              </w:rPr>
              <w:t xml:space="preserve">jako osoba povinná dle ustanovení § 2 písm. e) zákona č. 320/2001 Sb., o finanční kontrole ve veřejné správě, v platném znění, spolupůsobit při výkonu finanční kontroly. Tuto povinnost rovněž zajistí Dodavatel </w:t>
            </w:r>
            <w:r>
              <w:rPr>
                <w:rFonts w:cs="Arial"/>
                <w:lang w:val="cs-CZ" w:eastAsia="cs-CZ"/>
              </w:rPr>
              <w:t>i u </w:t>
            </w:r>
            <w:r w:rsidRPr="00E82274">
              <w:rPr>
                <w:rFonts w:cs="Arial"/>
                <w:lang w:val="cs-CZ" w:eastAsia="cs-CZ"/>
              </w:rPr>
              <w:t>svých případných poddodavatelů.</w:t>
            </w:r>
          </w:p>
          <w:p w14:paraId="50D0881E" w14:textId="77777777" w:rsidR="00DA55F2" w:rsidRPr="00B41275" w:rsidRDefault="00DA55F2" w:rsidP="003B46D7">
            <w:pPr>
              <w:pStyle w:val="Nadpis2"/>
              <w:keepNext w:val="0"/>
              <w:tabs>
                <w:tab w:val="clear" w:pos="1276"/>
                <w:tab w:val="num" w:pos="709"/>
              </w:tabs>
              <w:ind w:left="709" w:hanging="709"/>
              <w:rPr>
                <w:rFonts w:cs="Arial"/>
                <w:i/>
                <w:u w:val="single"/>
                <w:lang w:val="cs-CZ" w:eastAsia="cs-CZ"/>
              </w:rPr>
            </w:pPr>
            <w:r w:rsidRPr="00127CF8">
              <w:rPr>
                <w:rFonts w:cs="Calibri"/>
                <w:lang w:val="cs-CZ" w:eastAsia="cs-CZ"/>
              </w:rPr>
              <w:t>Tato Smlouva je sepsána v českém jazyce</w:t>
            </w:r>
            <w:r w:rsidRPr="00736D76">
              <w:rPr>
                <w:rFonts w:cs="Arial"/>
                <w:lang w:val="cs-CZ" w:eastAsia="cs-CZ"/>
              </w:rPr>
              <w:t xml:space="preserve">. </w:t>
            </w:r>
            <w:r w:rsidRPr="00E82274">
              <w:rPr>
                <w:rFonts w:cs="Arial"/>
                <w:lang w:val="cs-CZ" w:eastAsia="cs-CZ"/>
              </w:rPr>
              <w:t>Nedílnou součástí Smlouvy jsou tyto přílohy:</w:t>
            </w:r>
          </w:p>
          <w:p w14:paraId="6B02D7BD" w14:textId="77777777" w:rsidR="00DA55F2" w:rsidRDefault="00DA55F2" w:rsidP="003B46D7">
            <w:pPr>
              <w:tabs>
                <w:tab w:val="num" w:pos="709"/>
              </w:tabs>
              <w:ind w:hanging="709"/>
            </w:pPr>
          </w:p>
          <w:p w14:paraId="671B5CA0" w14:textId="77777777" w:rsidR="00DA55F2" w:rsidRPr="0062074D" w:rsidRDefault="00DA55F2" w:rsidP="003B46D7">
            <w:r w:rsidRPr="0062074D">
              <w:rPr>
                <w:i/>
              </w:rPr>
              <w:t>Příloha č. 1 – Technická specifikace a cenová nabídka</w:t>
            </w:r>
            <w:r w:rsidRPr="0062074D" w:rsidDel="00010490">
              <w:rPr>
                <w:b/>
                <w:i/>
              </w:rPr>
              <w:t xml:space="preserve"> </w:t>
            </w:r>
            <w:r w:rsidRPr="0062074D">
              <w:t xml:space="preserve"> </w:t>
            </w:r>
          </w:p>
          <w:p w14:paraId="1FBD66C7" w14:textId="77777777" w:rsidR="00DA55F2" w:rsidRPr="0062074D" w:rsidRDefault="00DA55F2" w:rsidP="003B46D7">
            <w:pPr>
              <w:rPr>
                <w:i/>
              </w:rPr>
            </w:pPr>
            <w:r w:rsidRPr="0062074D">
              <w:rPr>
                <w:i/>
              </w:rPr>
              <w:t>Příloha č. 2 – Požadavky na systém evidence tlakových lahví</w:t>
            </w:r>
          </w:p>
          <w:p w14:paraId="401CB569" w14:textId="77777777" w:rsidR="00DA55F2" w:rsidRDefault="00DA55F2" w:rsidP="003B46D7"/>
          <w:p w14:paraId="2868642C" w14:textId="77777777" w:rsidR="00DA55F2" w:rsidRDefault="00DA55F2" w:rsidP="003B46D7">
            <w:r>
              <w:t>Smluvní strany stvrzují Smlouvu podpisem na důkaz souhlasu s celým jejím obsahem.</w:t>
            </w:r>
          </w:p>
        </w:tc>
      </w:tr>
    </w:tbl>
    <w:p w14:paraId="3A65B17E" w14:textId="77777777" w:rsidR="00DA55F2" w:rsidRDefault="00DA55F2" w:rsidP="00DA55F2">
      <w:pPr>
        <w:pStyle w:val="Nadpis7"/>
        <w:spacing w:before="0" w:after="0"/>
        <w:rPr>
          <w:sz w:val="22"/>
          <w:szCs w:val="22"/>
        </w:rPr>
      </w:pPr>
    </w:p>
    <w:p w14:paraId="6A56F235" w14:textId="77777777" w:rsidR="00DA55F2" w:rsidRDefault="00DA55F2" w:rsidP="00DA55F2">
      <w:pPr>
        <w:pStyle w:val="Nadpis7"/>
        <w:spacing w:before="0" w:after="0"/>
        <w:rPr>
          <w:sz w:val="22"/>
          <w:szCs w:val="22"/>
        </w:rPr>
      </w:pPr>
      <w:r>
        <w:rPr>
          <w:sz w:val="22"/>
          <w:szCs w:val="22"/>
        </w:rPr>
        <w:t>V Praze dne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Praze dne </w:t>
      </w:r>
      <w:r w:rsidRPr="00EE43CB">
        <w:rPr>
          <w:i/>
          <w:iCs/>
          <w:sz w:val="22"/>
          <w:szCs w:val="22"/>
        </w:rPr>
        <w:t>dle elektronického podpisu</w:t>
      </w:r>
    </w:p>
    <w:p w14:paraId="2496C761" w14:textId="77777777" w:rsidR="00DA55F2" w:rsidRDefault="00DA55F2" w:rsidP="00DA55F2">
      <w:pPr>
        <w:widowControl w:val="0"/>
        <w:rPr>
          <w:szCs w:val="22"/>
        </w:rPr>
      </w:pPr>
    </w:p>
    <w:p w14:paraId="476B8BD6" w14:textId="77777777" w:rsidR="00DA55F2" w:rsidRPr="00C65A2D" w:rsidRDefault="00DA55F2" w:rsidP="00DA55F2">
      <w:pPr>
        <w:rPr>
          <w:szCs w:val="22"/>
        </w:rPr>
      </w:pPr>
      <w:r>
        <w:rPr>
          <w:szCs w:val="22"/>
        </w:rPr>
        <w:t xml:space="preserve">Za VŠCHT Praha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Za </w:t>
      </w:r>
      <w:r w:rsidRPr="00C65A2D">
        <w:rPr>
          <w:b/>
          <w:szCs w:val="22"/>
        </w:rPr>
        <w:t>SIAD Czech spol. s r.o.</w:t>
      </w:r>
    </w:p>
    <w:p w14:paraId="03E0620B" w14:textId="77777777" w:rsidR="00DA55F2" w:rsidRDefault="00DA55F2" w:rsidP="00DA55F2">
      <w:pPr>
        <w:rPr>
          <w:szCs w:val="22"/>
        </w:rPr>
      </w:pPr>
    </w:p>
    <w:p w14:paraId="521DF68B" w14:textId="77777777" w:rsidR="00DA55F2" w:rsidRDefault="00DA55F2" w:rsidP="00DA55F2">
      <w:pPr>
        <w:rPr>
          <w:szCs w:val="22"/>
        </w:rPr>
      </w:pPr>
    </w:p>
    <w:p w14:paraId="62881553" w14:textId="77777777" w:rsidR="00DA55F2" w:rsidRDefault="00DA55F2" w:rsidP="00DA55F2">
      <w:pPr>
        <w:rPr>
          <w:szCs w:val="22"/>
        </w:rPr>
      </w:pPr>
    </w:p>
    <w:p w14:paraId="19A70166" w14:textId="77777777" w:rsidR="00DA55F2" w:rsidRDefault="00DA55F2" w:rsidP="00DA55F2">
      <w:pPr>
        <w:rPr>
          <w:szCs w:val="22"/>
        </w:rPr>
      </w:pPr>
      <w:r>
        <w:rPr>
          <w:szCs w:val="22"/>
        </w:rPr>
        <w:t>__________________________</w:t>
      </w:r>
      <w:r>
        <w:rPr>
          <w:szCs w:val="22"/>
        </w:rPr>
        <w:tab/>
      </w:r>
      <w:r>
        <w:rPr>
          <w:szCs w:val="22"/>
        </w:rPr>
        <w:tab/>
        <w:t>__________________________</w:t>
      </w:r>
    </w:p>
    <w:p w14:paraId="36ED5D47" w14:textId="621E32BD" w:rsidR="00DA55F2" w:rsidRPr="007F2284" w:rsidRDefault="00DA55F2" w:rsidP="00DA55F2">
      <w:pPr>
        <w:tabs>
          <w:tab w:val="left" w:pos="993"/>
        </w:tabs>
        <w:rPr>
          <w:rFonts w:asciiTheme="minorHAnsi" w:hAnsiTheme="minorHAnsi" w:cstheme="minorHAnsi"/>
          <w:szCs w:val="22"/>
        </w:rPr>
      </w:pPr>
      <w:r w:rsidRPr="007F2284">
        <w:rPr>
          <w:rFonts w:asciiTheme="minorHAnsi" w:hAnsiTheme="minorHAnsi" w:cstheme="minorHAnsi"/>
          <w:szCs w:val="22"/>
        </w:rPr>
        <w:t>Jméno:</w:t>
      </w:r>
      <w:r w:rsidRPr="007F2284">
        <w:rPr>
          <w:rFonts w:asciiTheme="minorHAnsi" w:hAnsiTheme="minorHAnsi" w:cstheme="minorHAnsi"/>
          <w:szCs w:val="22"/>
        </w:rPr>
        <w:tab/>
      </w:r>
      <w:r w:rsidR="00580732">
        <w:rPr>
          <w:rFonts w:asciiTheme="minorHAnsi" w:eastAsiaTheme="minorHAnsi" w:hAnsiTheme="minorHAnsi" w:cstheme="minorHAnsi"/>
          <w:szCs w:val="22"/>
          <w:lang w:eastAsia="en-US"/>
        </w:rPr>
        <w:t>xxxxxxxxxxxxxxxxx</w:t>
      </w:r>
      <w:r w:rsidRPr="007F2284">
        <w:rPr>
          <w:rFonts w:asciiTheme="minorHAnsi" w:hAnsiTheme="minorHAnsi" w:cstheme="minorHAnsi"/>
          <w:szCs w:val="22"/>
        </w:rPr>
        <w:tab/>
      </w:r>
      <w:r w:rsidRPr="007F2284">
        <w:rPr>
          <w:rFonts w:asciiTheme="minorHAnsi" w:hAnsiTheme="minorHAnsi" w:cstheme="minorHAnsi"/>
          <w:szCs w:val="22"/>
        </w:rPr>
        <w:tab/>
      </w:r>
      <w:r w:rsidR="00580732">
        <w:rPr>
          <w:rFonts w:asciiTheme="minorHAnsi" w:hAnsiTheme="minorHAnsi" w:cstheme="minorHAnsi"/>
          <w:szCs w:val="22"/>
        </w:rPr>
        <w:tab/>
        <w:t>Jméno:</w:t>
      </w:r>
      <w:r w:rsidR="00580732">
        <w:rPr>
          <w:rFonts w:asciiTheme="minorHAnsi" w:hAnsiTheme="minorHAnsi" w:cstheme="minorHAnsi"/>
          <w:szCs w:val="22"/>
        </w:rPr>
        <w:tab/>
        <w:t xml:space="preserve"> xxxxxxxxxxxxxxxxxx</w:t>
      </w:r>
      <w:bookmarkStart w:id="0" w:name="_GoBack"/>
      <w:bookmarkEnd w:id="0"/>
    </w:p>
    <w:p w14:paraId="4B20419D" w14:textId="77777777" w:rsidR="00DA55F2" w:rsidRPr="00C65A2D" w:rsidRDefault="00DA55F2" w:rsidP="00DA55F2">
      <w:pPr>
        <w:tabs>
          <w:tab w:val="left" w:pos="993"/>
        </w:tabs>
      </w:pPr>
      <w:r w:rsidRPr="00C65A2D">
        <w:rPr>
          <w:szCs w:val="22"/>
        </w:rPr>
        <w:t>Funkce:</w:t>
      </w:r>
      <w:r w:rsidRPr="00C65A2D">
        <w:rPr>
          <w:szCs w:val="22"/>
        </w:rPr>
        <w:tab/>
        <w:t xml:space="preserve"> rektor</w:t>
      </w:r>
      <w:r w:rsidRPr="00C65A2D">
        <w:rPr>
          <w:szCs w:val="22"/>
        </w:rPr>
        <w:tab/>
      </w:r>
      <w:r w:rsidRPr="00C65A2D">
        <w:rPr>
          <w:szCs w:val="22"/>
        </w:rPr>
        <w:tab/>
      </w:r>
      <w:r w:rsidRPr="00C65A2D">
        <w:rPr>
          <w:szCs w:val="22"/>
        </w:rPr>
        <w:tab/>
      </w:r>
      <w:r w:rsidRPr="00C65A2D">
        <w:rPr>
          <w:szCs w:val="22"/>
        </w:rPr>
        <w:tab/>
      </w:r>
      <w:r w:rsidRPr="00C65A2D">
        <w:rPr>
          <w:szCs w:val="22"/>
        </w:rPr>
        <w:tab/>
        <w:t>Funkce: jednatel</w:t>
      </w:r>
    </w:p>
    <w:p w14:paraId="2F81EF31" w14:textId="77777777" w:rsidR="00DA55F2" w:rsidRDefault="00DA55F2" w:rsidP="00DA55F2"/>
    <w:p w14:paraId="26C1E566" w14:textId="77777777" w:rsidR="00DA55F2" w:rsidRDefault="00DA55F2" w:rsidP="00DA55F2"/>
    <w:p w14:paraId="778A2F2D" w14:textId="77777777" w:rsidR="00DA55F2" w:rsidRDefault="00DA55F2" w:rsidP="00DA55F2"/>
    <w:p w14:paraId="0B40C93D" w14:textId="77777777" w:rsidR="00DA55F2" w:rsidRDefault="00DA55F2">
      <w:pPr>
        <w:spacing w:before="0" w:after="160" w:line="259" w:lineRule="auto"/>
        <w:ind w:left="0"/>
        <w:jc w:val="left"/>
      </w:pPr>
      <w:r>
        <w:br w:type="page"/>
      </w:r>
    </w:p>
    <w:p w14:paraId="4F74CE40" w14:textId="77777777" w:rsidR="00DA55F2" w:rsidRPr="00DA55F2" w:rsidRDefault="00DA55F2" w:rsidP="00DA55F2">
      <w:pPr>
        <w:ind w:left="0"/>
        <w:rPr>
          <w:i/>
          <w:iCs/>
        </w:rPr>
      </w:pPr>
      <w:r w:rsidRPr="00DA55F2">
        <w:rPr>
          <w:i/>
          <w:iCs/>
        </w:rPr>
        <w:lastRenderedPageBreak/>
        <w:t>Příloha č. 1 – Technická specifikace a cenová nabídka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2592"/>
        <w:gridCol w:w="2874"/>
        <w:gridCol w:w="2196"/>
      </w:tblGrid>
      <w:tr w:rsidR="00DA55F2" w:rsidRPr="00DA55F2" w14:paraId="1747B4DA" w14:textId="77777777" w:rsidTr="00DA55F2">
        <w:trPr>
          <w:trHeight w:val="321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943B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b/>
                <w:bCs/>
                <w:sz w:val="24"/>
              </w:rPr>
            </w:pPr>
            <w:r w:rsidRPr="00DA55F2">
              <w:rPr>
                <w:rFonts w:cs="Calibri"/>
                <w:b/>
                <w:bCs/>
                <w:sz w:val="24"/>
              </w:rPr>
              <w:t xml:space="preserve">Dodávky technických plynů pro VŠCHT Praha     </w:t>
            </w:r>
          </w:p>
        </w:tc>
      </w:tr>
      <w:tr w:rsidR="00DA55F2" w:rsidRPr="00DA55F2" w14:paraId="38C07DED" w14:textId="77777777" w:rsidTr="00DA55F2">
        <w:trPr>
          <w:trHeight w:val="300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CB9CA"/>
            <w:vAlign w:val="center"/>
            <w:hideMark/>
          </w:tcPr>
          <w:p w14:paraId="34F1BBD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Technické plyny</w:t>
            </w:r>
          </w:p>
        </w:tc>
      </w:tr>
      <w:tr w:rsidR="00DA55F2" w:rsidRPr="00DA55F2" w14:paraId="2CB1B5C1" w14:textId="77777777" w:rsidTr="00DA55F2">
        <w:trPr>
          <w:trHeight w:val="52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DD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E68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TL = tlaková láhev;   MJ = ks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E28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cena za MJ</w:t>
            </w:r>
            <w:r w:rsidRPr="00DA55F2">
              <w:rPr>
                <w:rFonts w:cs="Calibri"/>
                <w:sz w:val="20"/>
                <w:szCs w:val="20"/>
              </w:rPr>
              <w:br/>
              <w:t>bez DPH</w:t>
            </w:r>
          </w:p>
        </w:tc>
      </w:tr>
      <w:tr w:rsidR="00DA55F2" w:rsidRPr="00DA55F2" w14:paraId="7F02D365" w14:textId="77777777" w:rsidTr="00DA55F2">
        <w:trPr>
          <w:trHeight w:val="688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967CF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55F2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C18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DA55F2">
              <w:rPr>
                <w:rFonts w:cs="Calibri"/>
                <w:b/>
                <w:bCs/>
                <w:sz w:val="20"/>
                <w:szCs w:val="20"/>
              </w:rPr>
              <w:t xml:space="preserve">Název plynu a čistota </w:t>
            </w:r>
            <w:r w:rsidRPr="00DA55F2"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DA55F2">
              <w:rPr>
                <w:rFonts w:cs="Calibri"/>
                <w:sz w:val="20"/>
                <w:szCs w:val="20"/>
              </w:rPr>
              <w:t>(objem nádoby: litr / hmotnost plynu: kg)</w:t>
            </w:r>
            <w:r w:rsidRPr="00DA55F2">
              <w:rPr>
                <w:rFonts w:cs="Calibri"/>
                <w:sz w:val="20"/>
                <w:szCs w:val="20"/>
              </w:rPr>
              <w:br/>
              <w:t>(objem nádoby: litr / tlak: bar)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A2F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55F2">
              <w:rPr>
                <w:rFonts w:cs="Calibri"/>
                <w:b/>
                <w:bCs/>
                <w:sz w:val="20"/>
                <w:szCs w:val="20"/>
              </w:rPr>
              <w:t>Kč</w:t>
            </w:r>
          </w:p>
        </w:tc>
      </w:tr>
      <w:tr w:rsidR="00DA55F2" w:rsidRPr="00DA55F2" w14:paraId="630ACBE4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232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4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081A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Acetylen tech. (50/10kg)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6A09E8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2 650 Kč</w:t>
            </w:r>
          </w:p>
        </w:tc>
      </w:tr>
      <w:tr w:rsidR="00DA55F2" w:rsidRPr="00DA55F2" w14:paraId="3234679E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60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891C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Acetylen 2.6 (50/10kg)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F7C458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3 250 Kč</w:t>
            </w:r>
          </w:p>
        </w:tc>
      </w:tr>
      <w:tr w:rsidR="00DA55F2" w:rsidRPr="00DA55F2" w14:paraId="211ACDCC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7C9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9643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Acetylen tech. (10/2kg)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B663AD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1 850 Kč</w:t>
            </w:r>
          </w:p>
        </w:tc>
      </w:tr>
      <w:tr w:rsidR="00DA55F2" w:rsidRPr="00DA55F2" w14:paraId="088FDBB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EC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5A8E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Argon  4.6 (20/200)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0BCBA2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1 000 Kč</w:t>
            </w:r>
          </w:p>
        </w:tc>
      </w:tr>
      <w:tr w:rsidR="00DA55F2" w:rsidRPr="00DA55F2" w14:paraId="081D8EA6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01D4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EFA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Argon  5.0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5474F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2 000 Kč</w:t>
            </w:r>
          </w:p>
        </w:tc>
      </w:tr>
      <w:tr w:rsidR="00DA55F2" w:rsidRPr="00DA55F2" w14:paraId="5D913774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2DD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E859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Argon  6.0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065901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5 000 Kč</w:t>
            </w:r>
          </w:p>
        </w:tc>
      </w:tr>
      <w:tr w:rsidR="00DA55F2" w:rsidRPr="00DA55F2" w14:paraId="5654CCA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50E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A01C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Argon 4.6 tech.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8251E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1 300 Kč</w:t>
            </w:r>
          </w:p>
        </w:tc>
      </w:tr>
      <w:tr w:rsidR="00DA55F2" w:rsidRPr="00DA55F2" w14:paraId="0958DC65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44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9D01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2.5 potr. (20/15kg)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D80C33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750 Kč</w:t>
            </w:r>
          </w:p>
        </w:tc>
      </w:tr>
      <w:tr w:rsidR="00DA55F2" w:rsidRPr="00DA55F2" w14:paraId="7F711E66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B654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91BA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2.5 potr. (40/30kg)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0964EA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950 Kč</w:t>
            </w:r>
          </w:p>
        </w:tc>
      </w:tr>
      <w:tr w:rsidR="00DA55F2" w:rsidRPr="00DA55F2" w14:paraId="13EC0FFA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481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FFAC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2.5 potr. (40/30kg) DP - (se stoupací trubkou)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4735EA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950 Kč</w:t>
            </w:r>
          </w:p>
        </w:tc>
      </w:tr>
      <w:tr w:rsidR="00DA55F2" w:rsidRPr="00DA55F2" w14:paraId="07AF7498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A59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74FEE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2.5 tech. (40/30kg)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21369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900 Kč</w:t>
            </w:r>
          </w:p>
        </w:tc>
      </w:tr>
      <w:tr w:rsidR="00DA55F2" w:rsidRPr="00DA55F2" w14:paraId="590762F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FB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66FA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2.5 tech. (40/30kg) DP - (se stoupací trubkou)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9075E2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900 Kč</w:t>
            </w:r>
          </w:p>
        </w:tc>
      </w:tr>
      <w:tr w:rsidR="00DA55F2" w:rsidRPr="00DA55F2" w14:paraId="6C3AB875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DEA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3BC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2.5 tech. (20/15kg)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AC6210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700 Kč</w:t>
            </w:r>
          </w:p>
        </w:tc>
      </w:tr>
      <w:tr w:rsidR="00DA55F2" w:rsidRPr="00DA55F2" w14:paraId="5043EA76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46A2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7E8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uhličitý 4.0 (40/30kg)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F709E8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3 000 Kč</w:t>
            </w:r>
          </w:p>
        </w:tc>
      </w:tr>
      <w:tr w:rsidR="00DA55F2" w:rsidRPr="00DA55F2" w14:paraId="6060F65E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A155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2C5F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4.0 tech. (20/200)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B00F8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500 Kč</w:t>
            </w:r>
          </w:p>
        </w:tc>
      </w:tr>
      <w:tr w:rsidR="00DA55F2" w:rsidRPr="00DA55F2" w14:paraId="05C57F0A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70E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3851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4.0 tech.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2D5292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650 Kč</w:t>
            </w:r>
          </w:p>
        </w:tc>
      </w:tr>
      <w:tr w:rsidR="00DA55F2" w:rsidRPr="00DA55F2" w14:paraId="6EAAB29B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780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BB11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4.7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0B2C2E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750 Kč</w:t>
            </w:r>
          </w:p>
        </w:tc>
      </w:tr>
      <w:tr w:rsidR="00DA55F2" w:rsidRPr="00DA55F2" w14:paraId="3C4C29B3" w14:textId="77777777" w:rsidTr="00DA55F2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29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6462D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5.0 (20/200)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DED2DC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850 Kč</w:t>
            </w:r>
          </w:p>
        </w:tc>
      </w:tr>
      <w:tr w:rsidR="00DA55F2" w:rsidRPr="00DA55F2" w14:paraId="6C5EE888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175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B3FA6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5.0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85641F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1 250 Kč</w:t>
            </w:r>
          </w:p>
        </w:tc>
      </w:tr>
      <w:tr w:rsidR="00DA55F2" w:rsidRPr="00DA55F2" w14:paraId="6B695098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902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436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5.5 ECD (50/200) - vyhovuje ECD detektoru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172168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5 500 Kč</w:t>
            </w:r>
          </w:p>
        </w:tc>
      </w:tr>
      <w:tr w:rsidR="00DA55F2" w:rsidRPr="00DA55F2" w14:paraId="587F5180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1C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859C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Dusík 6.0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A866DE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6 050 Kč</w:t>
            </w:r>
          </w:p>
        </w:tc>
      </w:tr>
      <w:tr w:rsidR="00DA55F2" w:rsidRPr="00DA55F2" w14:paraId="5ED9D43C" w14:textId="77777777" w:rsidTr="00DA55F2">
        <w:trPr>
          <w:trHeight w:val="57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946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F9E1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Formovací plyn  H5N (50/200) - (technická směs 95% dusíku +  5% vodíku)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FAF019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4 500 Kč</w:t>
            </w:r>
          </w:p>
        </w:tc>
      </w:tr>
      <w:tr w:rsidR="00DA55F2" w:rsidRPr="00DA55F2" w14:paraId="4C575416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3E0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FFAA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Helium 4.8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EDD6D3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8 000 Kč</w:t>
            </w:r>
          </w:p>
        </w:tc>
      </w:tr>
      <w:tr w:rsidR="00DA55F2" w:rsidRPr="00DA55F2" w14:paraId="29F96CCD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E8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7E5B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Helium 5.5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A4FF0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12 000 Kč</w:t>
            </w:r>
          </w:p>
        </w:tc>
      </w:tr>
      <w:tr w:rsidR="00DA55F2" w:rsidRPr="00DA55F2" w14:paraId="6EC31D05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A4E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B274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Helium 6.0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8E28E1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13 550 Kč</w:t>
            </w:r>
          </w:p>
        </w:tc>
      </w:tr>
      <w:tr w:rsidR="00DA55F2" w:rsidRPr="00DA55F2" w14:paraId="1A4D6F81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4E7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8ED0D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Hexafluorid síry 3.7 (5/5kg)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AAC4D2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6 500 Kč</w:t>
            </w:r>
          </w:p>
        </w:tc>
      </w:tr>
      <w:tr w:rsidR="00DA55F2" w:rsidRPr="00DA55F2" w14:paraId="65780533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8B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74ECD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Kyslík  5.0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70503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6 550 Kč</w:t>
            </w:r>
          </w:p>
        </w:tc>
      </w:tr>
      <w:tr w:rsidR="00DA55F2" w:rsidRPr="00DA55F2" w14:paraId="44D9E03C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6FC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A42D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Kyslík 2.5 tech.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B25E56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750 Kč</w:t>
            </w:r>
          </w:p>
        </w:tc>
      </w:tr>
      <w:tr w:rsidR="00DA55F2" w:rsidRPr="00DA55F2" w14:paraId="5E5E1BCF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4A3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19D0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dusný 2.5 (10/7,5kg)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4327E3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1 200 Kč</w:t>
            </w:r>
          </w:p>
        </w:tc>
      </w:tr>
      <w:tr w:rsidR="00DA55F2" w:rsidRPr="00DA55F2" w14:paraId="06C81586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710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A9C1C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dusný 2.5 (40/30kg)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33BC35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4 050 Kč</w:t>
            </w:r>
          </w:p>
        </w:tc>
      </w:tr>
      <w:tr w:rsidR="00DA55F2" w:rsidRPr="00DA55F2" w14:paraId="4EC8268B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681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CB70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Oxid siřičitý 3.8 (10/12,3kg)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A5DAD0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12 200 Kč</w:t>
            </w:r>
          </w:p>
        </w:tc>
      </w:tr>
      <w:tr w:rsidR="00DA55F2" w:rsidRPr="00DA55F2" w14:paraId="7516B0D6" w14:textId="77777777" w:rsidTr="00DA55F2">
        <w:trPr>
          <w:trHeight w:val="6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7930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0658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P10 pro spektro (50/200) - (směs 90% argonu + 10% metanu); čistota jednotlivých složek min. 5.0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314AFD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5 000 Kč</w:t>
            </w:r>
          </w:p>
        </w:tc>
      </w:tr>
      <w:tr w:rsidR="00DA55F2" w:rsidRPr="00DA55F2" w14:paraId="1E0B4DD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F549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0A898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Sirovodík 2.8 (10/6,7kg)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80961A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12 250 Kč</w:t>
            </w:r>
          </w:p>
        </w:tc>
      </w:tr>
      <w:tr w:rsidR="00DA55F2" w:rsidRPr="00DA55F2" w14:paraId="0BA3A2D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2E9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6FA08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Vodík 3.0 tech.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52B2D5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1 550 Kč</w:t>
            </w:r>
          </w:p>
        </w:tc>
      </w:tr>
      <w:tr w:rsidR="00DA55F2" w:rsidRPr="00DA55F2" w14:paraId="7C6548A7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FEA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E368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Vodík 3.5 (50/200) </w:t>
            </w:r>
            <w:r w:rsidRPr="00DA55F2">
              <w:rPr>
                <w:rFonts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CE0366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3 050 Kč</w:t>
            </w:r>
          </w:p>
        </w:tc>
      </w:tr>
      <w:tr w:rsidR="00DA55F2" w:rsidRPr="00DA55F2" w14:paraId="14581A77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9E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23B4B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Vodík 5.5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39900D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5 850 Kč</w:t>
            </w:r>
          </w:p>
        </w:tc>
      </w:tr>
      <w:tr w:rsidR="00DA55F2" w:rsidRPr="00DA55F2" w14:paraId="502A01EE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159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5B4FF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Vodík 6.0 (50/200)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8D84BD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6 950 Kč</w:t>
            </w:r>
          </w:p>
        </w:tc>
      </w:tr>
      <w:tr w:rsidR="00DA55F2" w:rsidRPr="00DA55F2" w14:paraId="2D9021A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4E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DD97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Vzduch 5.0 (40/200)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FBD7BC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3 200 Kč</w:t>
            </w:r>
          </w:p>
        </w:tc>
      </w:tr>
      <w:tr w:rsidR="00DA55F2" w:rsidRPr="00DA55F2" w14:paraId="7C9A54ED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C7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F4D96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Vzduch 5.0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06AB4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3 500 Kč</w:t>
            </w:r>
          </w:p>
        </w:tc>
      </w:tr>
      <w:tr w:rsidR="00DA55F2" w:rsidRPr="00DA55F2" w14:paraId="0188172D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A9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95FCA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 Vzduch tech. (50/200)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3C7CAF" w14:textId="77777777" w:rsidR="00DA55F2" w:rsidRPr="00DA55F2" w:rsidRDefault="00DA55F2" w:rsidP="00DA55F2">
            <w:pPr>
              <w:spacing w:before="0" w:after="0" w:line="240" w:lineRule="auto"/>
              <w:ind w:left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color w:val="000000"/>
                <w:sz w:val="20"/>
                <w:szCs w:val="20"/>
              </w:rPr>
              <w:t>750 Kč</w:t>
            </w:r>
          </w:p>
        </w:tc>
      </w:tr>
      <w:tr w:rsidR="00DA55F2" w:rsidRPr="00DA55F2" w14:paraId="28BAF921" w14:textId="77777777" w:rsidTr="00DA55F2">
        <w:trPr>
          <w:trHeight w:val="315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CEDC56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Tlakové lahve</w:t>
            </w:r>
          </w:p>
        </w:tc>
      </w:tr>
      <w:tr w:rsidR="00DA55F2" w:rsidRPr="00DA55F2" w14:paraId="4E353503" w14:textId="77777777" w:rsidTr="00DA55F2">
        <w:trPr>
          <w:trHeight w:val="996"/>
        </w:trPr>
        <w:tc>
          <w:tcPr>
            <w:tcW w:w="87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DD5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46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DBD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lahvoden = pronájem TL na jeden den (v Kč bez DPH)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6"/>
            </w:tblGrid>
            <w:tr w:rsidR="00DA55F2" w:rsidRPr="00DA55F2" w14:paraId="4B6797A1" w14:textId="77777777" w:rsidTr="00DA55F2">
              <w:trPr>
                <w:trHeight w:val="954"/>
                <w:tblCellSpacing w:w="0" w:type="dxa"/>
              </w:trPr>
              <w:tc>
                <w:tcPr>
                  <w:tcW w:w="204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A36BB3" w14:textId="77777777" w:rsidR="00DA55F2" w:rsidRPr="00DA55F2" w:rsidRDefault="00DA55F2" w:rsidP="00DA55F2">
                  <w:pPr>
                    <w:spacing w:before="0" w:after="0" w:line="240" w:lineRule="auto"/>
                    <w:ind w:left="0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DA55F2">
                    <w:rPr>
                      <w:rFonts w:cs="Calibri"/>
                      <w:sz w:val="20"/>
                      <w:szCs w:val="20"/>
                    </w:rPr>
                    <w:t>cena v Kč</w:t>
                  </w:r>
                  <w:r w:rsidRPr="00DA55F2">
                    <w:rPr>
                      <w:rFonts w:cs="Calibri"/>
                      <w:sz w:val="20"/>
                      <w:szCs w:val="20"/>
                    </w:rPr>
                    <w:br/>
                    <w:t xml:space="preserve">za lahvoden </w:t>
                  </w:r>
                  <w:r w:rsidRPr="00DA55F2">
                    <w:rPr>
                      <w:rFonts w:cs="Calibri"/>
                      <w:sz w:val="20"/>
                      <w:szCs w:val="20"/>
                    </w:rPr>
                    <w:br/>
                    <w:t>bez DPH</w:t>
                  </w:r>
                </w:p>
              </w:tc>
            </w:tr>
          </w:tbl>
          <w:p w14:paraId="6030E10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DA55F2" w:rsidRPr="00DA55F2" w14:paraId="38A3E92D" w14:textId="77777777" w:rsidTr="00DA55F2">
        <w:trPr>
          <w:trHeight w:val="35"/>
        </w:trPr>
        <w:tc>
          <w:tcPr>
            <w:tcW w:w="87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F96C5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546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87E5E0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8A81D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4,00 Kč</w:t>
            </w:r>
          </w:p>
        </w:tc>
      </w:tr>
      <w:tr w:rsidR="00DA55F2" w:rsidRPr="00DA55F2" w14:paraId="2B53F94D" w14:textId="77777777" w:rsidTr="00DA55F2">
        <w:trPr>
          <w:trHeight w:val="300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9C9C9"/>
            <w:vAlign w:val="center"/>
            <w:hideMark/>
          </w:tcPr>
          <w:p w14:paraId="0335358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Redukční ventily</w:t>
            </w:r>
          </w:p>
        </w:tc>
      </w:tr>
      <w:tr w:rsidR="00DA55F2" w:rsidRPr="00DA55F2" w14:paraId="31ECA06E" w14:textId="77777777" w:rsidTr="00DA55F2">
        <w:trPr>
          <w:trHeight w:val="477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D6B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0FD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Druh plynu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B8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Typové označení a kvalita ventilu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2E6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Cena v Kč za kus bez DPH</w:t>
            </w:r>
          </w:p>
        </w:tc>
      </w:tr>
      <w:tr w:rsidR="00DA55F2" w:rsidRPr="00DA55F2" w14:paraId="7863E8DB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627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C8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Argon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D0AC0A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6 /Ar/400/1.5-15/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64DC4A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775B7F1D" w14:textId="77777777" w:rsidTr="00DA55F2">
        <w:trPr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1EE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16B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Oxid uhličitý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6D40F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9/CO2/400/1.5-15/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123A8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26BF10FD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F56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D3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Dusík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31F7E3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10/N2/400/1.5-15/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FFC1E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75393739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1B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1E9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Helium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432394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6 /He/400/1.5-15/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B8A90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0536B91B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8310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24E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Kyslík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C8DDD8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6 /O2/400/1.5-15/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F3635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0B4C7B20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2A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909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 xml:space="preserve">Vodík 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372598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1 /H2/400/1.5-15/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AA24A4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626664FF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269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A1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Vzduch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EE09A8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RSD2 DIN 13/Air/400/1.5-15/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F5590E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13 000,00 Kč</w:t>
            </w:r>
          </w:p>
        </w:tc>
      </w:tr>
      <w:tr w:rsidR="00DA55F2" w:rsidRPr="00DA55F2" w14:paraId="0E5E59E8" w14:textId="77777777" w:rsidTr="00DA55F2">
        <w:trPr>
          <w:trHeight w:val="372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14:paraId="0D3D6E9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8C87C89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Bezpečnostní materiál</w:t>
            </w:r>
          </w:p>
        </w:tc>
      </w:tr>
      <w:tr w:rsidR="00DA55F2" w:rsidRPr="00DA55F2" w14:paraId="2BC84D03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CD5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FF1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Druh bezpečnostního materiálu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DA52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Cena v Kč za kus bez DPH</w:t>
            </w:r>
          </w:p>
        </w:tc>
      </w:tr>
      <w:tr w:rsidR="00DA55F2" w:rsidRPr="00DA55F2" w14:paraId="1BB53EB5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420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5466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13D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Držák pro uchycení TL typu 5 / X vč. příslušenství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67A86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2 500,00 Kč</w:t>
            </w:r>
          </w:p>
        </w:tc>
      </w:tr>
      <w:tr w:rsidR="00DA55F2" w:rsidRPr="00DA55F2" w14:paraId="51863BED" w14:textId="77777777" w:rsidTr="00DA55F2">
        <w:trPr>
          <w:trHeight w:val="300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68D1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E335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Držák pro uchycení TL typu 10 / X vč. příslušenství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413475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2 500,00 Kč</w:t>
            </w:r>
          </w:p>
        </w:tc>
      </w:tr>
      <w:tr w:rsidR="00DA55F2" w:rsidRPr="00DA55F2" w14:paraId="52EC3440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19E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412A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Držák pro uchycení TL typu 20 / X vč. příslušenství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D9CF23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2 500,00 Kč</w:t>
            </w:r>
          </w:p>
        </w:tc>
      </w:tr>
      <w:tr w:rsidR="00DA55F2" w:rsidRPr="00DA55F2" w14:paraId="60FE7BDE" w14:textId="77777777" w:rsidTr="00DA55F2">
        <w:trPr>
          <w:trHeight w:val="30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607A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115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Držák pro uchycení TL typu 40 / X vč. příslušenství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26364F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2 500,00 Kč</w:t>
            </w:r>
          </w:p>
        </w:tc>
      </w:tr>
      <w:tr w:rsidR="00DA55F2" w:rsidRPr="00DA55F2" w14:paraId="51E8ED9A" w14:textId="77777777" w:rsidTr="00DA55F2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791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5914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Držák pro uchycení TL typu 50 / X vč. příslušenství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981EF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2 500,00 Kč</w:t>
            </w:r>
          </w:p>
        </w:tc>
      </w:tr>
      <w:tr w:rsidR="00DA55F2" w:rsidRPr="00DA55F2" w14:paraId="6A34F12B" w14:textId="77777777" w:rsidTr="00DA55F2">
        <w:trPr>
          <w:trHeight w:val="315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F6A8"/>
            <w:vAlign w:val="center"/>
            <w:hideMark/>
          </w:tcPr>
          <w:p w14:paraId="6FF0212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Školení  BOZP</w:t>
            </w:r>
          </w:p>
        </w:tc>
      </w:tr>
      <w:tr w:rsidR="00DA55F2" w:rsidRPr="00DA55F2" w14:paraId="7C60788E" w14:textId="77777777" w:rsidTr="00DA55F2">
        <w:trPr>
          <w:trHeight w:val="525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DF5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6CA5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AD77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Cena v Kč za školení bez DPH</w:t>
            </w:r>
          </w:p>
        </w:tc>
      </w:tr>
      <w:tr w:rsidR="00DA55F2" w:rsidRPr="00DA55F2" w14:paraId="4F5AE80D" w14:textId="77777777" w:rsidTr="00DA55F2">
        <w:trPr>
          <w:trHeight w:val="33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6F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54</w:t>
            </w:r>
          </w:p>
        </w:tc>
        <w:tc>
          <w:tcPr>
            <w:tcW w:w="546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DF6A8"/>
            <w:vAlign w:val="center"/>
            <w:hideMark/>
          </w:tcPr>
          <w:p w14:paraId="76930DB6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55F2">
              <w:rPr>
                <w:rFonts w:cs="Calibri"/>
                <w:b/>
                <w:bCs/>
                <w:sz w:val="20"/>
                <w:szCs w:val="20"/>
              </w:rPr>
              <w:t>Školení BOZP dle normy ČSN 078304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81F9D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10 000,00 Kč</w:t>
            </w:r>
          </w:p>
        </w:tc>
      </w:tr>
      <w:tr w:rsidR="00DA55F2" w:rsidRPr="00DA55F2" w14:paraId="268F5430" w14:textId="77777777" w:rsidTr="00DA55F2">
        <w:trPr>
          <w:trHeight w:val="300"/>
        </w:trPr>
        <w:tc>
          <w:tcPr>
            <w:tcW w:w="8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D851BFB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Systém evidence tlakových lahví</w:t>
            </w:r>
          </w:p>
        </w:tc>
      </w:tr>
      <w:tr w:rsidR="00DA55F2" w:rsidRPr="00DA55F2" w14:paraId="78F7E455" w14:textId="77777777" w:rsidTr="00DA55F2">
        <w:trPr>
          <w:trHeight w:val="853"/>
        </w:trPr>
        <w:tc>
          <w:tcPr>
            <w:tcW w:w="8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D68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22EC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800A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Cena v Kč za 3 měsíční licenční poplatek bez DPH</w:t>
            </w:r>
          </w:p>
        </w:tc>
      </w:tr>
      <w:tr w:rsidR="00DA55F2" w:rsidRPr="00DA55F2" w14:paraId="0E2CEFE2" w14:textId="77777777" w:rsidTr="00DA55F2">
        <w:trPr>
          <w:trHeight w:val="67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5E0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546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0259C19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55F2">
              <w:rPr>
                <w:rFonts w:cs="Calibri"/>
                <w:b/>
                <w:bCs/>
                <w:sz w:val="20"/>
                <w:szCs w:val="20"/>
              </w:rPr>
              <w:t>Licenční poplatek za 3 měsíce poskytování systému evidence tlakových lahví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E2503D" w14:textId="77777777" w:rsidR="00DA55F2" w:rsidRPr="00DA55F2" w:rsidRDefault="00DA55F2" w:rsidP="00DA55F2">
            <w:pPr>
              <w:spacing w:before="0"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DA55F2">
              <w:rPr>
                <w:rFonts w:cs="Calibri"/>
                <w:sz w:val="20"/>
                <w:szCs w:val="20"/>
              </w:rPr>
              <w:t>60 000,00 Kč</w:t>
            </w:r>
          </w:p>
        </w:tc>
      </w:tr>
      <w:tr w:rsidR="00DA55F2" w:rsidRPr="00DA55F2" w14:paraId="01F842D5" w14:textId="77777777" w:rsidTr="00DA55F2">
        <w:trPr>
          <w:trHeight w:val="69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5BA9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Pokyny pro vyplnění: Dodavatel vyplní všechna žlutě označená pole. </w:t>
            </w:r>
          </w:p>
        </w:tc>
      </w:tr>
      <w:tr w:rsidR="00DA55F2" w:rsidRPr="00DA55F2" w14:paraId="2B2F6A3C" w14:textId="77777777" w:rsidTr="00DA55F2">
        <w:trPr>
          <w:trHeight w:val="66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902A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i/>
                <w:iCs/>
                <w:color w:val="000000"/>
                <w:sz w:val="20"/>
                <w:szCs w:val="20"/>
              </w:rPr>
              <w:t>Do ceny jednotlivých technických plynů musí být rozpočítána i doprava (včetně všech souvisejících poplatků) do místa plnění (řádek 1 - 40 tabulky).</w:t>
            </w:r>
          </w:p>
        </w:tc>
      </w:tr>
      <w:tr w:rsidR="00DA55F2" w:rsidRPr="00DA55F2" w14:paraId="2FC270A8" w14:textId="77777777" w:rsidTr="00DA55F2">
        <w:trPr>
          <w:trHeight w:val="66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5B8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i/>
                <w:iCs/>
                <w:color w:val="000000"/>
                <w:sz w:val="20"/>
                <w:szCs w:val="20"/>
              </w:rPr>
              <w:t>Cenu pronájmu TL (tzv. lahvoden) vyčíslit bez DPH jako samostatnou položku (řádek 41 tabulky).</w:t>
            </w:r>
          </w:p>
        </w:tc>
      </w:tr>
      <w:tr w:rsidR="00DA55F2" w:rsidRPr="00DA55F2" w14:paraId="353A28DB" w14:textId="77777777" w:rsidTr="00DA55F2">
        <w:trPr>
          <w:trHeight w:val="66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9C1F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i/>
                <w:iCs/>
                <w:color w:val="000000"/>
                <w:sz w:val="20"/>
                <w:szCs w:val="20"/>
              </w:rPr>
              <w:t>Cenu redukčních ventilů vyčíslit bez DPH jako samostatné položky, doplnit typové označení a kvalitu ventilů (řádek 42-48 tabulky).</w:t>
            </w:r>
          </w:p>
        </w:tc>
      </w:tr>
      <w:tr w:rsidR="00DA55F2" w:rsidRPr="00DA55F2" w14:paraId="50782D91" w14:textId="77777777" w:rsidTr="00DA55F2">
        <w:trPr>
          <w:trHeight w:val="66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1A00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i/>
                <w:iCs/>
                <w:color w:val="000000"/>
                <w:sz w:val="20"/>
                <w:szCs w:val="20"/>
              </w:rPr>
              <w:t>Cenu bezpečnostního materiálu vyčíslit bez DPH jako samostatné položky (řádek 49-53 tabulky).</w:t>
            </w:r>
          </w:p>
        </w:tc>
      </w:tr>
      <w:tr w:rsidR="00DA55F2" w:rsidRPr="00DA55F2" w14:paraId="158FB7DC" w14:textId="77777777" w:rsidTr="00DA55F2">
        <w:trPr>
          <w:trHeight w:val="66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FD07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i/>
                <w:iCs/>
                <w:color w:val="000000"/>
                <w:sz w:val="20"/>
                <w:szCs w:val="20"/>
              </w:rPr>
              <w:t>Cenu školení BOZP vyčíslit bez DPH jako samostatnou položku (řádek 54 tabulky).</w:t>
            </w:r>
          </w:p>
        </w:tc>
      </w:tr>
      <w:tr w:rsidR="00DA55F2" w:rsidRPr="00DA55F2" w14:paraId="5199D926" w14:textId="77777777" w:rsidTr="00DA55F2">
        <w:trPr>
          <w:trHeight w:val="66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1CE2" w14:textId="77777777" w:rsidR="00DA55F2" w:rsidRPr="00DA55F2" w:rsidRDefault="00DA55F2" w:rsidP="00DA55F2">
            <w:pPr>
              <w:spacing w:before="0" w:after="0" w:line="240" w:lineRule="auto"/>
              <w:ind w:left="0"/>
              <w:jc w:val="left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DA55F2">
              <w:rPr>
                <w:rFonts w:cs="Calibri"/>
                <w:i/>
                <w:iCs/>
                <w:color w:val="000000"/>
                <w:sz w:val="20"/>
                <w:szCs w:val="20"/>
              </w:rPr>
              <w:t>Cenu za poskytování systému evidence tlakových lahví vyčíslit bez DPH jako samostatnou položku (řádek 55 tabulky).</w:t>
            </w:r>
          </w:p>
        </w:tc>
      </w:tr>
    </w:tbl>
    <w:p w14:paraId="162C78D9" w14:textId="77777777" w:rsidR="00DA55F2" w:rsidRDefault="00DA55F2" w:rsidP="00DA55F2"/>
    <w:p w14:paraId="4324E1D7" w14:textId="77777777" w:rsidR="00DA55F2" w:rsidRDefault="00DA55F2" w:rsidP="00DA55F2"/>
    <w:p w14:paraId="78F8DA1B" w14:textId="77777777" w:rsidR="00DA55F2" w:rsidRDefault="00DA55F2">
      <w:pPr>
        <w:spacing w:before="0" w:after="160" w:line="259" w:lineRule="auto"/>
        <w:ind w:left="0"/>
        <w:jc w:val="left"/>
      </w:pPr>
      <w:r>
        <w:br w:type="page"/>
      </w:r>
    </w:p>
    <w:p w14:paraId="7DD43850" w14:textId="77777777" w:rsidR="00DA55F2" w:rsidRDefault="00DA55F2" w:rsidP="00DA55F2">
      <w:pPr>
        <w:ind w:left="0"/>
        <w:rPr>
          <w:i/>
        </w:rPr>
      </w:pPr>
      <w:r w:rsidRPr="0062074D">
        <w:rPr>
          <w:i/>
        </w:rPr>
        <w:lastRenderedPageBreak/>
        <w:t>Příloha č. 2 – Požadavky na systém evidence tlakových lahví</w:t>
      </w:r>
    </w:p>
    <w:p w14:paraId="518154AA" w14:textId="77777777" w:rsidR="00DA55F2" w:rsidRDefault="00DA55F2" w:rsidP="00DA55F2">
      <w:pPr>
        <w:ind w:left="0"/>
      </w:pPr>
    </w:p>
    <w:p w14:paraId="6999E47B" w14:textId="77777777" w:rsidR="00DA55F2" w:rsidRPr="00146C2F" w:rsidRDefault="00DA55F2" w:rsidP="00DA55F2">
      <w:pPr>
        <w:ind w:left="0"/>
      </w:pPr>
      <w:r w:rsidRPr="00146C2F">
        <w:t>Sy</w:t>
      </w:r>
      <w:r>
        <w:t>stém evidence tlakových lahví splňuje níže uvedené požadavky:</w:t>
      </w:r>
    </w:p>
    <w:p w14:paraId="4FDF4402" w14:textId="77777777" w:rsidR="00DA55F2" w:rsidRDefault="00DA55F2" w:rsidP="00DA55F2">
      <w:pPr>
        <w:ind w:left="0"/>
      </w:pPr>
    </w:p>
    <w:p w14:paraId="4340EE32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Víceúrovňová struktura skladů (centrální sklad, středisko, místnost)</w:t>
      </w:r>
    </w:p>
    <w:p w14:paraId="2CFEDC77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Zajišťuje převody lahví mezi Centrální sklad &lt;–&gt; Místnost</w:t>
      </w:r>
    </w:p>
    <w:p w14:paraId="485C9513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Zajišťuje převody lahví mezi Místnost &lt;-&gt; Místnost</w:t>
      </w:r>
    </w:p>
    <w:p w14:paraId="22CFDD8F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Pohyby lahví s využitím čárového kódu</w:t>
      </w:r>
    </w:p>
    <w:p w14:paraId="1B7380C2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Evidence historie pohybů</w:t>
      </w:r>
    </w:p>
    <w:p w14:paraId="391F42BB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Evidence data tlakové zkoušky lahve</w:t>
      </w:r>
    </w:p>
    <w:p w14:paraId="7F4FD8DF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Evidence data šarže plynu</w:t>
      </w:r>
    </w:p>
    <w:p w14:paraId="353FD428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  <w:rPr>
          <w:color w:val="000000"/>
        </w:rPr>
      </w:pPr>
      <w:r>
        <w:t xml:space="preserve">PDF reporty stavu obalů za místnost v členění </w:t>
      </w:r>
      <w:r>
        <w:rPr>
          <w:color w:val="000000"/>
        </w:rPr>
        <w:t>Plné</w:t>
      </w:r>
      <w:r>
        <w:rPr>
          <w:b/>
          <w:bCs/>
          <w:color w:val="000000"/>
        </w:rPr>
        <w:t>/</w:t>
      </w:r>
      <w:r>
        <w:rPr>
          <w:color w:val="000000"/>
        </w:rPr>
        <w:t>Prázdné/Celkem/Doporučeno</w:t>
      </w:r>
    </w:p>
    <w:p w14:paraId="6CBAC0CB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Výstupy do Excelu dle stavu obalů za místnost</w:t>
      </w:r>
    </w:p>
    <w:p w14:paraId="538329C6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Celkový registr obalů s možností výstupu do XLS</w:t>
      </w:r>
    </w:p>
    <w:p w14:paraId="69E67ED9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 xml:space="preserve">Evidence požadavků na láhve z oddělení dle stavu provedení </w:t>
      </w:r>
      <w:r>
        <w:rPr>
          <w:color w:val="000000"/>
        </w:rPr>
        <w:t>-&gt; Odeslána/Doručována/Neúplná/Uzavřena</w:t>
      </w:r>
    </w:p>
    <w:p w14:paraId="4A9D3694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Evidence realizovaných dodávek lahví </w:t>
      </w:r>
    </w:p>
    <w:p w14:paraId="0C43AD40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Elektronický PDF dokument k dodávkám lahví </w:t>
      </w:r>
    </w:p>
    <w:p w14:paraId="1B5A2FCB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Aktuální stav obalů za místnost dle údaje čárový kód</w:t>
      </w:r>
    </w:p>
    <w:p w14:paraId="6DE8336B" w14:textId="77777777" w:rsidR="00DA55F2" w:rsidRDefault="00DA55F2" w:rsidP="00DA55F2">
      <w:pPr>
        <w:pStyle w:val="Odstavecseseznamem"/>
        <w:numPr>
          <w:ilvl w:val="0"/>
          <w:numId w:val="32"/>
        </w:numPr>
        <w:spacing w:before="0" w:after="0" w:line="240" w:lineRule="auto"/>
        <w:jc w:val="left"/>
      </w:pPr>
      <w:r>
        <w:t>Číselník lahví dle dodavatelských údajů nebo dle interního značení zákazníka</w:t>
      </w:r>
    </w:p>
    <w:p w14:paraId="00098450" w14:textId="77777777" w:rsidR="00DA55F2" w:rsidRDefault="00DA55F2" w:rsidP="00DA55F2">
      <w:pPr>
        <w:ind w:left="0"/>
      </w:pPr>
    </w:p>
    <w:p w14:paraId="0825AF08" w14:textId="77777777" w:rsidR="00DA55F2" w:rsidRPr="00862F93" w:rsidRDefault="00DA55F2" w:rsidP="00DA55F2">
      <w:pPr>
        <w:ind w:left="0"/>
        <w:rPr>
          <w:u w:val="single"/>
        </w:rPr>
      </w:pPr>
      <w:r w:rsidRPr="00862F93">
        <w:rPr>
          <w:u w:val="single"/>
        </w:rPr>
        <w:t xml:space="preserve">Součástí poskytování systému evidence tlakových lahví bude úvodní školení pro zaměstnance Odběratele, po jehož absolvování budou zaměstnanci Odběratele schopni systém evidence tlakových lahví plnohodnotně využívat za požadovaným účelem. </w:t>
      </w:r>
    </w:p>
    <w:p w14:paraId="28B881B4" w14:textId="77777777" w:rsidR="00DA55F2" w:rsidRDefault="00DA55F2" w:rsidP="00DA55F2">
      <w:pPr>
        <w:ind w:left="0"/>
      </w:pPr>
    </w:p>
    <w:p w14:paraId="49549593" w14:textId="77777777" w:rsidR="00DA55F2" w:rsidRDefault="00DA55F2" w:rsidP="00DA55F2">
      <w:pPr>
        <w:ind w:left="0"/>
      </w:pPr>
    </w:p>
    <w:sectPr w:rsidR="00DA55F2" w:rsidSect="004E3344">
      <w:footerReference w:type="default" r:id="rId10"/>
      <w:head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6C6FB" w14:textId="77777777" w:rsidR="007C47AB" w:rsidRDefault="007C47AB">
      <w:pPr>
        <w:spacing w:before="0" w:after="0" w:line="240" w:lineRule="auto"/>
      </w:pPr>
      <w:r>
        <w:separator/>
      </w:r>
    </w:p>
  </w:endnote>
  <w:endnote w:type="continuationSeparator" w:id="0">
    <w:p w14:paraId="03AB1914" w14:textId="77777777" w:rsidR="007C47AB" w:rsidRDefault="007C47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3E363" w14:textId="77777777" w:rsidR="00C278FF" w:rsidRPr="005C2CAD" w:rsidRDefault="00DA55F2" w:rsidP="008E7D5A">
    <w:pPr>
      <w:pStyle w:val="Zpat"/>
      <w:rPr>
        <w:sz w:val="18"/>
      </w:rPr>
    </w:pPr>
    <w:r w:rsidRPr="005C2CAD">
      <w:rPr>
        <w:sz w:val="18"/>
      </w:rPr>
      <w:fldChar w:fldCharType="begin"/>
    </w:r>
    <w:r w:rsidRPr="005C2CAD">
      <w:rPr>
        <w:sz w:val="18"/>
      </w:rPr>
      <w:instrText xml:space="preserve"> PAGE   \* MERGEFORMAT </w:instrText>
    </w:r>
    <w:r w:rsidRPr="005C2CAD">
      <w:rPr>
        <w:sz w:val="18"/>
      </w:rPr>
      <w:fldChar w:fldCharType="separate"/>
    </w:r>
    <w:r w:rsidR="00580732">
      <w:rPr>
        <w:noProof/>
        <w:sz w:val="18"/>
      </w:rPr>
      <w:t>16</w:t>
    </w:r>
    <w:r w:rsidRPr="005C2CAD">
      <w:rPr>
        <w:sz w:val="18"/>
      </w:rPr>
      <w:fldChar w:fldCharType="end"/>
    </w:r>
  </w:p>
  <w:p w14:paraId="15E73126" w14:textId="77777777" w:rsidR="00C278FF" w:rsidRDefault="007C47AB" w:rsidP="008E7D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B4AF7" w14:textId="77777777" w:rsidR="007C47AB" w:rsidRDefault="007C47AB">
      <w:pPr>
        <w:spacing w:before="0" w:after="0" w:line="240" w:lineRule="auto"/>
      </w:pPr>
      <w:r>
        <w:separator/>
      </w:r>
    </w:p>
  </w:footnote>
  <w:footnote w:type="continuationSeparator" w:id="0">
    <w:p w14:paraId="33846BB3" w14:textId="77777777" w:rsidR="007C47AB" w:rsidRDefault="007C47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F2F88" w14:textId="77777777" w:rsidR="00C278FF" w:rsidRDefault="007C47AB" w:rsidP="004E3344">
    <w:pPr>
      <w:pStyle w:val="Zhlav"/>
    </w:pPr>
  </w:p>
  <w:p w14:paraId="44EF299B" w14:textId="77777777" w:rsidR="00C278FF" w:rsidRDefault="007C47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12CC4510"/>
    <w:multiLevelType w:val="hybridMultilevel"/>
    <w:tmpl w:val="56A8BFC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097FC7"/>
    <w:multiLevelType w:val="hybridMultilevel"/>
    <w:tmpl w:val="97C28AC2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D54631"/>
    <w:multiLevelType w:val="hybridMultilevel"/>
    <w:tmpl w:val="6290CC64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3343E8"/>
    <w:multiLevelType w:val="hybridMultilevel"/>
    <w:tmpl w:val="BC9657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4562EB"/>
    <w:multiLevelType w:val="hybridMultilevel"/>
    <w:tmpl w:val="1124D57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D87A43"/>
    <w:multiLevelType w:val="hybridMultilevel"/>
    <w:tmpl w:val="2DDA7750"/>
    <w:lvl w:ilvl="0" w:tplc="AEDA77E4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84" w:hanging="360"/>
      </w:pPr>
    </w:lvl>
    <w:lvl w:ilvl="2" w:tplc="0405001B" w:tentative="1">
      <w:start w:val="1"/>
      <w:numFmt w:val="lowerRoman"/>
      <w:lvlText w:val="%3."/>
      <w:lvlJc w:val="right"/>
      <w:pPr>
        <w:ind w:left="3204" w:hanging="180"/>
      </w:pPr>
    </w:lvl>
    <w:lvl w:ilvl="3" w:tplc="59C67E9A">
      <w:start w:val="1"/>
      <w:numFmt w:val="lowerRoman"/>
      <w:lvlText w:val="(%4)"/>
      <w:lvlJc w:val="left"/>
      <w:pPr>
        <w:ind w:left="3924" w:hanging="360"/>
      </w:pPr>
      <w:rPr>
        <w:rFonts w:ascii="Calibri" w:eastAsia="Times New Roman" w:hAnsi="Calibri" w:cs="Times New Roman"/>
      </w:rPr>
    </w:lvl>
    <w:lvl w:ilvl="4" w:tplc="04050019" w:tentative="1">
      <w:start w:val="1"/>
      <w:numFmt w:val="lowerLetter"/>
      <w:lvlText w:val="%5."/>
      <w:lvlJc w:val="left"/>
      <w:pPr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7">
    <w:nsid w:val="2BC019C5"/>
    <w:multiLevelType w:val="hybridMultilevel"/>
    <w:tmpl w:val="8F5890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3D2361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16152"/>
    <w:multiLevelType w:val="hybridMultilevel"/>
    <w:tmpl w:val="1124D57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29C7ADC"/>
    <w:multiLevelType w:val="multilevel"/>
    <w:tmpl w:val="2536D938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276"/>
        </w:tabs>
        <w:ind w:left="1276" w:hanging="113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1">
    <w:nsid w:val="52D90A4D"/>
    <w:multiLevelType w:val="hybridMultilevel"/>
    <w:tmpl w:val="5E6608EE"/>
    <w:lvl w:ilvl="0" w:tplc="DD80FC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7716F"/>
    <w:multiLevelType w:val="multilevel"/>
    <w:tmpl w:val="5D4C86F2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trike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C21199C"/>
    <w:multiLevelType w:val="hybridMultilevel"/>
    <w:tmpl w:val="F09EA44A"/>
    <w:lvl w:ilvl="0" w:tplc="16869134">
      <w:start w:val="1"/>
      <w:numFmt w:val="lowerRoman"/>
      <w:lvlText w:val="(%1)"/>
      <w:lvlJc w:val="left"/>
      <w:pPr>
        <w:ind w:left="151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334BF"/>
    <w:multiLevelType w:val="multilevel"/>
    <w:tmpl w:val="80BC13C2"/>
    <w:lvl w:ilvl="0">
      <w:start w:val="13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0"/>
  </w:num>
  <w:num w:numId="18">
    <w:abstractNumId w:val="8"/>
  </w:num>
  <w:num w:numId="19">
    <w:abstractNumId w:val="10"/>
  </w:num>
  <w:num w:numId="20">
    <w:abstractNumId w:val="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1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F2"/>
    <w:rsid w:val="00023526"/>
    <w:rsid w:val="00083DEB"/>
    <w:rsid w:val="001D4DBA"/>
    <w:rsid w:val="00493C7D"/>
    <w:rsid w:val="00580732"/>
    <w:rsid w:val="005F166D"/>
    <w:rsid w:val="00742261"/>
    <w:rsid w:val="007C47AB"/>
    <w:rsid w:val="007F2284"/>
    <w:rsid w:val="00A725F9"/>
    <w:rsid w:val="00D872D9"/>
    <w:rsid w:val="00D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5F2"/>
    <w:pPr>
      <w:spacing w:before="60" w:after="60" w:line="276" w:lineRule="auto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55F2"/>
    <w:pPr>
      <w:keepNext/>
      <w:numPr>
        <w:numId w:val="1"/>
      </w:numPr>
      <w:spacing w:before="240"/>
      <w:outlineLvl w:val="0"/>
    </w:pPr>
    <w:rPr>
      <w:b/>
      <w:sz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DA55F2"/>
    <w:pPr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DA55F2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link w:val="Nadpis7Char"/>
    <w:unhideWhenUsed/>
    <w:qFormat/>
    <w:rsid w:val="00DA55F2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55F2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A55F2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A55F2"/>
    <w:rPr>
      <w:rFonts w:ascii="Calibri" w:eastAsia="Times New Roman" w:hAnsi="Calibri" w:cs="Times New Roman"/>
      <w:iCs/>
      <w:szCs w:val="26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DA55F2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A55F2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rsid w:val="00DA55F2"/>
    <w:rPr>
      <w:rFonts w:ascii="Calibri" w:eastAsia="Lucida Sans Unicode" w:hAnsi="Calibri" w:cs="Times New Roman"/>
      <w:kern w:val="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55F2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DA55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55F2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5F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DA55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55F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DA5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A55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">
    <w:basedOn w:val="Normln"/>
    <w:next w:val="Normln"/>
    <w:qFormat/>
    <w:rsid w:val="00DA55F2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paragraph" w:customStyle="1" w:styleId="Zkladntext31">
    <w:name w:val="Základní text 31"/>
    <w:basedOn w:val="Normln"/>
    <w:rsid w:val="00DA55F2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DA55F2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DA55F2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A55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A55F2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A55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DA55F2"/>
    <w:rPr>
      <w:color w:val="0000FF"/>
      <w:u w:val="single"/>
    </w:rPr>
  </w:style>
  <w:style w:type="paragraph" w:styleId="Revize">
    <w:name w:val="Revision"/>
    <w:hidden/>
    <w:uiPriority w:val="99"/>
    <w:semiHidden/>
    <w:rsid w:val="00D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A55F2"/>
    <w:pPr>
      <w:spacing w:before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A55F2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DA55F2"/>
    <w:pPr>
      <w:numPr>
        <w:numId w:val="2"/>
      </w:numPr>
    </w:pPr>
    <w:rPr>
      <w:rFonts w:ascii="Times New Roman" w:hAnsi="Times New Roman"/>
      <w:lang w:val="x-none" w:eastAsia="x-none"/>
    </w:rPr>
  </w:style>
  <w:style w:type="character" w:customStyle="1" w:styleId="Odrazka1Char">
    <w:name w:val="Odrazka 1 Char"/>
    <w:link w:val="Odrazka1"/>
    <w:rsid w:val="00DA55F2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DA55F2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DA55F2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qFormat/>
    <w:rsid w:val="00DA55F2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DA55F2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lnek">
    <w:name w:val="Článek"/>
    <w:basedOn w:val="Nadpis1"/>
    <w:rsid w:val="00DA55F2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DA55F2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  <w:lang w:val="x-none" w:eastAsia="x-none"/>
    </w:rPr>
  </w:style>
  <w:style w:type="character" w:customStyle="1" w:styleId="Odstavec2Char">
    <w:name w:val="Odstavec 2 Char"/>
    <w:link w:val="Odstavec2"/>
    <w:rsid w:val="00DA55F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rsid w:val="00DA55F2"/>
    <w:pPr>
      <w:spacing w:before="0" w:after="120" w:line="240" w:lineRule="auto"/>
      <w:ind w:left="283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55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A55F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A55F2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hps">
    <w:name w:val="hps"/>
    <w:uiPriority w:val="99"/>
    <w:rsid w:val="00DA55F2"/>
  </w:style>
  <w:style w:type="character" w:customStyle="1" w:styleId="PodtitulChar">
    <w:name w:val="Podtitul Char"/>
    <w:link w:val="Podtitul"/>
    <w:rsid w:val="00DA55F2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DA55F2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DA55F2"/>
    <w:pPr>
      <w:numPr>
        <w:numId w:val="17"/>
      </w:numPr>
      <w:tabs>
        <w:tab w:val="clear" w:pos="927"/>
        <w:tab w:val="left" w:pos="851"/>
      </w:tabs>
    </w:pPr>
  </w:style>
  <w:style w:type="character" w:styleId="Zvraznn">
    <w:name w:val="Emphasis"/>
    <w:basedOn w:val="Standardnpsmoodstavce"/>
    <w:uiPriority w:val="20"/>
    <w:qFormat/>
    <w:rsid w:val="00DA55F2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DA55F2"/>
    <w:pPr>
      <w:numPr>
        <w:ilvl w:val="1"/>
      </w:numPr>
      <w:spacing w:after="160"/>
      <w:ind w:left="709"/>
    </w:pPr>
    <w:rPr>
      <w:rFonts w:ascii="Cambria" w:eastAsiaTheme="minorHAnsi" w:hAnsi="Cambria" w:cstheme="minorBidi"/>
      <w:kern w:val="1"/>
      <w:sz w:val="24"/>
      <w:lang w:eastAsia="ar-SA"/>
    </w:rPr>
  </w:style>
  <w:style w:type="character" w:customStyle="1" w:styleId="PodnadpisChar">
    <w:name w:val="Podnadpis Char"/>
    <w:basedOn w:val="Standardnpsmoodstavce"/>
    <w:uiPriority w:val="11"/>
    <w:rsid w:val="00DA55F2"/>
    <w:rPr>
      <w:rFonts w:eastAsiaTheme="minorEastAsia"/>
      <w:color w:val="5A5A5A" w:themeColor="text1" w:themeTint="A5"/>
      <w:spacing w:val="15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5F2"/>
    <w:pPr>
      <w:spacing w:before="60" w:after="60" w:line="276" w:lineRule="auto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55F2"/>
    <w:pPr>
      <w:keepNext/>
      <w:numPr>
        <w:numId w:val="1"/>
      </w:numPr>
      <w:spacing w:before="240"/>
      <w:outlineLvl w:val="0"/>
    </w:pPr>
    <w:rPr>
      <w:b/>
      <w:sz w:val="24"/>
      <w:lang w:val="x-none" w:eastAsia="x-none"/>
    </w:rPr>
  </w:style>
  <w:style w:type="paragraph" w:styleId="Nadpis2">
    <w:name w:val="heading 2"/>
    <w:basedOn w:val="Nadpis1"/>
    <w:next w:val="Normln"/>
    <w:link w:val="Nadpis2Char"/>
    <w:qFormat/>
    <w:rsid w:val="00DA55F2"/>
    <w:pPr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DA55F2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link w:val="Nadpis7Char"/>
    <w:unhideWhenUsed/>
    <w:qFormat/>
    <w:rsid w:val="00DA55F2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55F2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A55F2"/>
    <w:rPr>
      <w:rFonts w:ascii="Calibri" w:eastAsia="Times New Roman" w:hAnsi="Calibri" w:cs="Times New Roman"/>
      <w:bCs/>
      <w:iCs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A55F2"/>
    <w:rPr>
      <w:rFonts w:ascii="Calibri" w:eastAsia="Times New Roman" w:hAnsi="Calibri" w:cs="Times New Roman"/>
      <w:iCs/>
      <w:szCs w:val="26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DA55F2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A55F2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ZkladntextChar">
    <w:name w:val="Základní text Char"/>
    <w:basedOn w:val="Standardnpsmoodstavce"/>
    <w:link w:val="Zkladntext"/>
    <w:rsid w:val="00DA55F2"/>
    <w:rPr>
      <w:rFonts w:ascii="Calibri" w:eastAsia="Lucida Sans Unicode" w:hAnsi="Calibri" w:cs="Times New Roman"/>
      <w:kern w:val="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55F2"/>
    <w:pPr>
      <w:ind w:left="708"/>
    </w:pPr>
    <w:rPr>
      <w:rFonts w:eastAsia="Lucida Sans Unicode"/>
    </w:rPr>
  </w:style>
  <w:style w:type="character" w:styleId="Odkaznakoment">
    <w:name w:val="annotation reference"/>
    <w:semiHidden/>
    <w:rsid w:val="00DA55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55F2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5F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DA55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55F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DA5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A55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">
    <w:basedOn w:val="Normln"/>
    <w:next w:val="Normln"/>
    <w:qFormat/>
    <w:rsid w:val="00DA55F2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paragraph" w:customStyle="1" w:styleId="Zkladntext31">
    <w:name w:val="Základní text 31"/>
    <w:basedOn w:val="Normln"/>
    <w:rsid w:val="00DA55F2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DA55F2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DA55F2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A55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A55F2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A55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DA55F2"/>
    <w:rPr>
      <w:color w:val="0000FF"/>
      <w:u w:val="single"/>
    </w:rPr>
  </w:style>
  <w:style w:type="paragraph" w:styleId="Revize">
    <w:name w:val="Revision"/>
    <w:hidden/>
    <w:uiPriority w:val="99"/>
    <w:semiHidden/>
    <w:rsid w:val="00D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A55F2"/>
    <w:pPr>
      <w:spacing w:before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A55F2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DA55F2"/>
    <w:pPr>
      <w:numPr>
        <w:numId w:val="2"/>
      </w:numPr>
    </w:pPr>
    <w:rPr>
      <w:rFonts w:ascii="Times New Roman" w:hAnsi="Times New Roman"/>
      <w:lang w:val="x-none" w:eastAsia="x-none"/>
    </w:rPr>
  </w:style>
  <w:style w:type="character" w:customStyle="1" w:styleId="Odrazka1Char">
    <w:name w:val="Odrazka 1 Char"/>
    <w:link w:val="Odrazka1"/>
    <w:rsid w:val="00DA55F2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DA55F2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DA55F2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qFormat/>
    <w:rsid w:val="00DA55F2"/>
    <w:pPr>
      <w:numPr>
        <w:ilvl w:val="2"/>
      </w:numPr>
    </w:pPr>
  </w:style>
  <w:style w:type="character" w:customStyle="1" w:styleId="Odrazka3Char">
    <w:name w:val="Odrazka 3 Char"/>
    <w:basedOn w:val="Odrazka2Char"/>
    <w:link w:val="Odrazka3"/>
    <w:rsid w:val="00DA55F2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lnek">
    <w:name w:val="Článek"/>
    <w:basedOn w:val="Nadpis1"/>
    <w:rsid w:val="00DA55F2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DA55F2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  <w:lang w:val="x-none" w:eastAsia="x-none"/>
    </w:rPr>
  </w:style>
  <w:style w:type="character" w:customStyle="1" w:styleId="Odstavec2Char">
    <w:name w:val="Odstavec 2 Char"/>
    <w:link w:val="Odstavec2"/>
    <w:rsid w:val="00DA55F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rsid w:val="00DA55F2"/>
    <w:pPr>
      <w:spacing w:before="0" w:after="120" w:line="240" w:lineRule="auto"/>
      <w:ind w:left="283"/>
      <w:jc w:val="left"/>
    </w:pPr>
    <w:rPr>
      <w:rFonts w:ascii="Arial" w:hAnsi="Arial"/>
      <w:sz w:val="20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55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A55F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A55F2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hps">
    <w:name w:val="hps"/>
    <w:uiPriority w:val="99"/>
    <w:rsid w:val="00DA55F2"/>
  </w:style>
  <w:style w:type="character" w:customStyle="1" w:styleId="PodtitulChar">
    <w:name w:val="Podtitul Char"/>
    <w:link w:val="Podtitul"/>
    <w:rsid w:val="00DA55F2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DA55F2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DA55F2"/>
    <w:pPr>
      <w:numPr>
        <w:numId w:val="17"/>
      </w:numPr>
      <w:tabs>
        <w:tab w:val="clear" w:pos="927"/>
        <w:tab w:val="left" w:pos="851"/>
      </w:tabs>
    </w:pPr>
  </w:style>
  <w:style w:type="character" w:styleId="Zvraznn">
    <w:name w:val="Emphasis"/>
    <w:basedOn w:val="Standardnpsmoodstavce"/>
    <w:uiPriority w:val="20"/>
    <w:qFormat/>
    <w:rsid w:val="00DA55F2"/>
    <w:rPr>
      <w:i/>
      <w:iCs/>
    </w:rPr>
  </w:style>
  <w:style w:type="paragraph" w:styleId="Podtitul">
    <w:name w:val="Subtitle"/>
    <w:basedOn w:val="Normln"/>
    <w:next w:val="Normln"/>
    <w:link w:val="PodtitulChar"/>
    <w:qFormat/>
    <w:rsid w:val="00DA55F2"/>
    <w:pPr>
      <w:numPr>
        <w:ilvl w:val="1"/>
      </w:numPr>
      <w:spacing w:after="160"/>
      <w:ind w:left="709"/>
    </w:pPr>
    <w:rPr>
      <w:rFonts w:ascii="Cambria" w:eastAsiaTheme="minorHAnsi" w:hAnsi="Cambria" w:cstheme="minorBidi"/>
      <w:kern w:val="1"/>
      <w:sz w:val="24"/>
      <w:lang w:eastAsia="ar-SA"/>
    </w:rPr>
  </w:style>
  <w:style w:type="character" w:customStyle="1" w:styleId="PodnadpisChar">
    <w:name w:val="Podnadpis Char"/>
    <w:basedOn w:val="Standardnpsmoodstavce"/>
    <w:uiPriority w:val="11"/>
    <w:rsid w:val="00DA55F2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C79A-BC73-4554-B95E-708B6A69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4408</Words>
  <Characters>26010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Vítovjáková</dc:creator>
  <cp:lastModifiedBy>Kovacova Dagmar</cp:lastModifiedBy>
  <cp:revision>3</cp:revision>
  <cp:lastPrinted>2020-01-10T09:18:00Z</cp:lastPrinted>
  <dcterms:created xsi:type="dcterms:W3CDTF">2020-02-11T14:54:00Z</dcterms:created>
  <dcterms:modified xsi:type="dcterms:W3CDTF">2020-02-11T15:13:00Z</dcterms:modified>
</cp:coreProperties>
</file>