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D832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4B52D833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B52D834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4B52D835" w14:textId="77777777" w:rsidR="00726B26" w:rsidRDefault="00726B26" w:rsidP="00726B26"/>
    <w:p w14:paraId="4B52D836" w14:textId="33CE1F63" w:rsidR="00726B26" w:rsidRPr="00E108CF" w:rsidRDefault="00E108CF" w:rsidP="00726B26">
      <w:pPr>
        <w:rPr>
          <w:b/>
        </w:rPr>
      </w:pPr>
      <w:proofErr w:type="spellStart"/>
      <w:r w:rsidRPr="00E108CF">
        <w:rPr>
          <w:b/>
        </w:rPr>
        <w:t>Lohmann</w:t>
      </w:r>
      <w:proofErr w:type="spellEnd"/>
      <w:r w:rsidRPr="00E108CF">
        <w:rPr>
          <w:b/>
        </w:rPr>
        <w:t xml:space="preserve"> &amp; </w:t>
      </w:r>
      <w:proofErr w:type="spellStart"/>
      <w:r w:rsidRPr="00E108CF">
        <w:rPr>
          <w:b/>
        </w:rPr>
        <w:t>Rauscher</w:t>
      </w:r>
      <w:proofErr w:type="spellEnd"/>
      <w:r w:rsidRPr="00E108CF">
        <w:rPr>
          <w:b/>
        </w:rPr>
        <w:t>, s.r.o.</w:t>
      </w:r>
    </w:p>
    <w:p w14:paraId="4B52D837" w14:textId="363E75AE" w:rsidR="00726B26" w:rsidRPr="00E108CF" w:rsidRDefault="00726B26" w:rsidP="00726B26">
      <w:r w:rsidRPr="00E108CF">
        <w:t xml:space="preserve">IČ: </w:t>
      </w:r>
      <w:r w:rsidR="00E108CF" w:rsidRPr="00E108CF">
        <w:t>18825869</w:t>
      </w:r>
    </w:p>
    <w:p w14:paraId="4B52D838" w14:textId="2B5968D8" w:rsidR="00726B26" w:rsidRPr="00E108CF" w:rsidRDefault="00726B26" w:rsidP="00726B26">
      <w:r w:rsidRPr="00E108CF">
        <w:t xml:space="preserve">DIČ: </w:t>
      </w:r>
      <w:r w:rsidR="00E108CF" w:rsidRPr="00E108CF">
        <w:t>CZ18825869</w:t>
      </w:r>
    </w:p>
    <w:p w14:paraId="4B52D839" w14:textId="3CA54252" w:rsidR="00726B26" w:rsidRPr="00E108CF" w:rsidRDefault="00726B26" w:rsidP="00726B26">
      <w:r w:rsidRPr="00E108CF">
        <w:t xml:space="preserve">se sídlem:  </w:t>
      </w:r>
      <w:r w:rsidR="00E108CF" w:rsidRPr="00E108CF">
        <w:t>Bučovická 256, 684 01 Slavkov u Brna</w:t>
      </w:r>
    </w:p>
    <w:p w14:paraId="4B52D83A" w14:textId="12C3C7FD" w:rsidR="00726B26" w:rsidRPr="00E108CF" w:rsidRDefault="00726B26" w:rsidP="00726B26">
      <w:r w:rsidRPr="00E108CF">
        <w:t xml:space="preserve">zastoupena: </w:t>
      </w:r>
      <w:proofErr w:type="spellStart"/>
      <w:r w:rsidR="00182CAE">
        <w:t>xxxxxxxxxxxxxxx</w:t>
      </w:r>
      <w:proofErr w:type="spellEnd"/>
      <w:r w:rsidR="00E108CF" w:rsidRPr="00E108CF">
        <w:t>, prokuristy</w:t>
      </w:r>
    </w:p>
    <w:p w14:paraId="4B52D83B" w14:textId="13DBDFEA" w:rsidR="00726B26" w:rsidRPr="00E108CF" w:rsidRDefault="00726B26" w:rsidP="00726B26">
      <w:r w:rsidRPr="00E108CF">
        <w:t xml:space="preserve">bankovní spojení: </w:t>
      </w:r>
      <w:proofErr w:type="spellStart"/>
      <w:r w:rsidR="00E108CF" w:rsidRPr="00E108CF">
        <w:t>UniCredit</w:t>
      </w:r>
      <w:proofErr w:type="spellEnd"/>
      <w:r w:rsidR="00E108CF" w:rsidRPr="00E108CF">
        <w:t xml:space="preserve"> Bank Czech Republic, a.s. </w:t>
      </w:r>
    </w:p>
    <w:p w14:paraId="4B52D83C" w14:textId="12BA65B1" w:rsidR="00726B26" w:rsidRPr="00E108CF" w:rsidRDefault="00726B26" w:rsidP="00726B26">
      <w:r w:rsidRPr="00E108CF">
        <w:t xml:space="preserve">číslo účtu: </w:t>
      </w:r>
      <w:r w:rsidR="00E108CF" w:rsidRPr="00E108CF">
        <w:t>1726694501/2700</w:t>
      </w:r>
    </w:p>
    <w:p w14:paraId="4B52D83E" w14:textId="5718BF7F" w:rsidR="00726B26" w:rsidRPr="00E108CF" w:rsidRDefault="00726B26" w:rsidP="00726B26">
      <w:pPr>
        <w:rPr>
          <w:rStyle w:val="platne1"/>
        </w:rPr>
      </w:pPr>
      <w:r w:rsidRPr="00E108CF">
        <w:t xml:space="preserve">zapsána v obchodním rejstříku vedeném </w:t>
      </w:r>
      <w:r w:rsidR="00E108CF" w:rsidRPr="00E108CF">
        <w:t xml:space="preserve">Krajským </w:t>
      </w:r>
      <w:r w:rsidRPr="00E108CF">
        <w:t>soudem v</w:t>
      </w:r>
      <w:r w:rsidR="00E108CF" w:rsidRPr="00E108CF">
        <w:t xml:space="preserve"> Brně, </w:t>
      </w:r>
      <w:r w:rsidRPr="00E108CF">
        <w:t xml:space="preserve">oddíl </w:t>
      </w:r>
      <w:r w:rsidR="00E108CF" w:rsidRPr="00E108CF">
        <w:t xml:space="preserve">C, </w:t>
      </w:r>
      <w:r w:rsidRPr="00E108CF">
        <w:t>vložka</w:t>
      </w:r>
      <w:r w:rsidR="00E108CF" w:rsidRPr="00E108CF">
        <w:t xml:space="preserve"> 2944</w:t>
      </w:r>
    </w:p>
    <w:p w14:paraId="4B52D83F" w14:textId="77777777" w:rsidR="00726B26" w:rsidRPr="00726B26" w:rsidRDefault="00726B26" w:rsidP="00726B26">
      <w:pPr>
        <w:rPr>
          <w:rStyle w:val="platne1"/>
        </w:rPr>
      </w:pPr>
      <w:r w:rsidRPr="00E108CF">
        <w:rPr>
          <w:rStyle w:val="platne1"/>
        </w:rPr>
        <w:t>jako prodávající</w:t>
      </w:r>
      <w:r w:rsidR="001B5F9C" w:rsidRPr="00E108CF">
        <w:rPr>
          <w:rStyle w:val="platne1"/>
        </w:rPr>
        <w:t>m</w:t>
      </w:r>
      <w:r w:rsidRPr="00E108CF">
        <w:rPr>
          <w:rStyle w:val="platne1"/>
        </w:rPr>
        <w:t xml:space="preserve"> (dále jen „</w:t>
      </w:r>
      <w:r w:rsidRPr="00E108CF">
        <w:rPr>
          <w:rStyle w:val="platne1"/>
          <w:b/>
        </w:rPr>
        <w:t>Prodávající</w:t>
      </w:r>
      <w:r w:rsidRPr="00E108CF">
        <w:rPr>
          <w:rStyle w:val="platne1"/>
        </w:rPr>
        <w:t>“) na straně jedné</w:t>
      </w:r>
    </w:p>
    <w:p w14:paraId="4B52D840" w14:textId="77777777" w:rsidR="00726B26" w:rsidRPr="002B77A6" w:rsidRDefault="00726B26" w:rsidP="00726B26">
      <w:pPr>
        <w:rPr>
          <w:rStyle w:val="platne1"/>
        </w:rPr>
      </w:pPr>
    </w:p>
    <w:p w14:paraId="4B52D841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B52D842" w14:textId="77777777" w:rsidR="00726B26" w:rsidRPr="002B77A6" w:rsidRDefault="00726B26" w:rsidP="00726B26">
      <w:pPr>
        <w:rPr>
          <w:rStyle w:val="platne1"/>
        </w:rPr>
      </w:pPr>
    </w:p>
    <w:p w14:paraId="4B52D84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4B52D844" w14:textId="77777777" w:rsidR="00726B26" w:rsidRPr="002B77A6" w:rsidRDefault="00726B26" w:rsidP="00726B26">
      <w:r w:rsidRPr="002B77A6">
        <w:t>IČ: 65269705</w:t>
      </w:r>
    </w:p>
    <w:p w14:paraId="4B52D845" w14:textId="77777777" w:rsidR="00726B26" w:rsidRPr="002B77A6" w:rsidRDefault="00726B26" w:rsidP="00726B26">
      <w:r w:rsidRPr="002B77A6">
        <w:t>DIČ: CZ65269705</w:t>
      </w:r>
    </w:p>
    <w:p w14:paraId="4B52D846" w14:textId="77777777" w:rsidR="00726B26" w:rsidRPr="002B77A6" w:rsidRDefault="00726B26" w:rsidP="00726B26">
      <w:r w:rsidRPr="002B77A6">
        <w:t xml:space="preserve">se sídlem: Brno, Jihlavská 20, PSČ 625 00 </w:t>
      </w:r>
    </w:p>
    <w:p w14:paraId="4B52D847" w14:textId="4248E347" w:rsidR="00726B26" w:rsidRPr="002B77A6" w:rsidRDefault="00726B26" w:rsidP="00726B26">
      <w:r>
        <w:t>zastoupena</w:t>
      </w:r>
      <w:r w:rsidR="00925CAD">
        <w:t xml:space="preserve">: </w:t>
      </w:r>
      <w:r w:rsidR="00182CAE">
        <w:rPr>
          <w:sz w:val="23"/>
          <w:szCs w:val="23"/>
        </w:rPr>
        <w:t>xxxxxxxxxxxxx,</w:t>
      </w:r>
      <w:r w:rsidR="00925CAD">
        <w:rPr>
          <w:sz w:val="23"/>
          <w:szCs w:val="23"/>
        </w:rPr>
        <w:t xml:space="preserve"> ředitelem</w:t>
      </w:r>
    </w:p>
    <w:p w14:paraId="4B52D848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4B52D849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4B52D84A" w14:textId="77777777" w:rsidR="00726B26" w:rsidRDefault="00726B26" w:rsidP="00726B26"/>
    <w:p w14:paraId="4B52D84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B52D84C" w14:textId="77777777" w:rsidR="00726B26" w:rsidRPr="002B77A6" w:rsidRDefault="00726B26" w:rsidP="00726B26">
      <w:pPr>
        <w:rPr>
          <w:rStyle w:val="platne1"/>
        </w:rPr>
      </w:pPr>
    </w:p>
    <w:p w14:paraId="4B52D84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B52D84E" w14:textId="77777777" w:rsidR="00726B26" w:rsidRPr="002B77A6" w:rsidRDefault="00726B26" w:rsidP="00726B26">
      <w:pPr>
        <w:rPr>
          <w:rStyle w:val="platne1"/>
        </w:rPr>
      </w:pPr>
    </w:p>
    <w:p w14:paraId="4B52D84F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4B52D851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B52D852" w14:textId="77777777" w:rsidR="00726B26" w:rsidRPr="002B77A6" w:rsidRDefault="00726B26" w:rsidP="00726B26">
      <w:pPr>
        <w:jc w:val="center"/>
        <w:rPr>
          <w:b/>
          <w:bCs/>
        </w:rPr>
      </w:pPr>
    </w:p>
    <w:p w14:paraId="4B52D853" w14:textId="4CDE753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676A7D" w:rsidRPr="00C53B42">
        <w:rPr>
          <w:b/>
        </w:rPr>
        <w:t>Speciální rukavice, část č</w:t>
      </w:r>
      <w:r w:rsidR="00676A7D" w:rsidRPr="00A01796">
        <w:rPr>
          <w:b/>
        </w:rPr>
        <w:t>.</w:t>
      </w:r>
      <w:r w:rsidR="00A01796" w:rsidRPr="00A01796">
        <w:rPr>
          <w:b/>
        </w:rPr>
        <w:t xml:space="preserve"> </w:t>
      </w:r>
      <w:r w:rsidR="002F7587">
        <w:rPr>
          <w:b/>
        </w:rPr>
        <w:t>3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4B52D854" w14:textId="77777777" w:rsidR="00014CFB" w:rsidRDefault="00014CFB" w:rsidP="00014CFB">
      <w:pPr>
        <w:jc w:val="center"/>
        <w:rPr>
          <w:b/>
          <w:bCs/>
        </w:rPr>
      </w:pPr>
    </w:p>
    <w:p w14:paraId="4B52D855" w14:textId="77777777" w:rsidR="00014CFB" w:rsidRDefault="00014CFB" w:rsidP="00014CFB">
      <w:pPr>
        <w:pStyle w:val="Nadpis1"/>
      </w:pPr>
      <w:r>
        <w:t>Předmět smlouvy</w:t>
      </w:r>
    </w:p>
    <w:p w14:paraId="4B52D856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4B52D857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4B52D85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9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4B52D85B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lastRenderedPageBreak/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4B52D85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4B52D85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F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4B52D860" w14:textId="77777777" w:rsidR="00014CFB" w:rsidRDefault="00014CFB" w:rsidP="00014CFB">
      <w:pPr>
        <w:jc w:val="center"/>
        <w:rPr>
          <w:b/>
          <w:bCs/>
        </w:rPr>
      </w:pPr>
    </w:p>
    <w:p w14:paraId="4B52D861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4B52D862" w14:textId="77777777" w:rsidR="00014CFB" w:rsidRPr="002B77A6" w:rsidRDefault="00014CFB" w:rsidP="00014CFB">
      <w:pPr>
        <w:jc w:val="center"/>
        <w:rPr>
          <w:b/>
          <w:bCs/>
        </w:rPr>
      </w:pPr>
    </w:p>
    <w:p w14:paraId="4B52D863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4B52D864" w14:textId="1801AECF" w:rsidR="00014CFB" w:rsidRDefault="00014CFB" w:rsidP="00014CFB">
      <w:pPr>
        <w:pStyle w:val="Psmenoodstavce"/>
      </w:pPr>
      <w:r>
        <w:t xml:space="preserve">e-mailem na </w:t>
      </w:r>
      <w:r w:rsidRPr="00A01796">
        <w:t xml:space="preserve">adresu </w:t>
      </w:r>
      <w:proofErr w:type="spellStart"/>
      <w:proofErr w:type="gramStart"/>
      <w:r w:rsidR="00182CAE">
        <w:t>xxxxxxxxxxxx</w:t>
      </w:r>
      <w:proofErr w:type="spellEnd"/>
      <w:r w:rsidR="00A01796" w:rsidRPr="00A01796">
        <w:t xml:space="preserve"> </w:t>
      </w:r>
      <w:r w:rsidRPr="00A01796">
        <w:t>;</w:t>
      </w:r>
      <w:proofErr w:type="gramEnd"/>
    </w:p>
    <w:p w14:paraId="4B52D865" w14:textId="5BFA731C" w:rsidR="00014CFB" w:rsidRPr="00A01796" w:rsidRDefault="00014CFB" w:rsidP="00014CFB">
      <w:pPr>
        <w:pStyle w:val="Psmenoodstavce"/>
      </w:pPr>
      <w:r w:rsidRPr="00A01796">
        <w:t xml:space="preserve">faxem na telefonní číslo </w:t>
      </w:r>
      <w:proofErr w:type="spellStart"/>
      <w:r w:rsidR="00182CAE">
        <w:t>xxxxxxxxxxx</w:t>
      </w:r>
      <w:proofErr w:type="spellEnd"/>
    </w:p>
    <w:p w14:paraId="4B52D86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8" w14:textId="2134CD46" w:rsidR="00014CFB" w:rsidRPr="00A01796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proofErr w:type="spellStart"/>
      <w:r w:rsidR="00182CAE">
        <w:t>xxxxxxxxxx</w:t>
      </w:r>
      <w:proofErr w:type="spellEnd"/>
      <w:r w:rsidRPr="00A01796">
        <w:t xml:space="preserve">. </w:t>
      </w:r>
    </w:p>
    <w:p w14:paraId="4B52D86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A" w14:textId="65D03C46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55962">
        <w:t xml:space="preserve"> </w:t>
      </w:r>
      <w:r w:rsidR="00182CAE">
        <w:t>xxxxxxxxxxxxx</w:t>
      </w:r>
      <w:r w:rsidRPr="00C53B42">
        <w:t>.</w:t>
      </w:r>
    </w:p>
    <w:p w14:paraId="4B52D86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C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4B52D86D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4B52D86E" w14:textId="77777777" w:rsidR="00014CFB" w:rsidRDefault="00014CFB" w:rsidP="00014CFB">
      <w:pPr>
        <w:pStyle w:val="Psmenoodstavce"/>
      </w:pPr>
      <w:r>
        <w:t>množství a druhy Zboží;</w:t>
      </w:r>
    </w:p>
    <w:p w14:paraId="4B52D86F" w14:textId="77777777" w:rsidR="00014CFB" w:rsidRDefault="00014CFB" w:rsidP="00014CFB">
      <w:pPr>
        <w:pStyle w:val="Psmenoodstavce"/>
      </w:pPr>
      <w:r>
        <w:t>místo dodání.</w:t>
      </w:r>
    </w:p>
    <w:p w14:paraId="4B52D870" w14:textId="77777777" w:rsidR="00BE451F" w:rsidRPr="002B77A6" w:rsidRDefault="00BE451F" w:rsidP="000C1FD1">
      <w:pPr>
        <w:jc w:val="center"/>
        <w:rPr>
          <w:b/>
          <w:bCs/>
        </w:rPr>
      </w:pPr>
    </w:p>
    <w:p w14:paraId="4B52D871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4B52D87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3" w14:textId="77777777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14:paraId="4B52D87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5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4B52D87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7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B52D87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9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4B52D87A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4B52D87B" w14:textId="77777777" w:rsidR="00EA4C8B" w:rsidRDefault="00EA4C8B" w:rsidP="00EA4C8B">
      <w:pPr>
        <w:pStyle w:val="Psmenoodstavce"/>
      </w:pPr>
      <w:r>
        <w:t>evidenční číslo Dodacího listu;</w:t>
      </w:r>
    </w:p>
    <w:p w14:paraId="4B52D87C" w14:textId="77777777" w:rsidR="00806564" w:rsidRDefault="00806564" w:rsidP="00806564">
      <w:pPr>
        <w:pStyle w:val="Psmenoodstavce"/>
      </w:pPr>
      <w:r>
        <w:lastRenderedPageBreak/>
        <w:t>evidenční číslo veřejné zakázky dle Věstníku veřejných zakázek a není-li takové číslo, pak číslo této smlouvy dle číslování Kupujícího;</w:t>
      </w:r>
    </w:p>
    <w:p w14:paraId="4B52D87D" w14:textId="77777777" w:rsidR="00EA4C8B" w:rsidRDefault="00EA4C8B" w:rsidP="00EA4C8B">
      <w:pPr>
        <w:pStyle w:val="Psmenoodstavce"/>
      </w:pPr>
      <w:r>
        <w:t>datum uskutečnění dodávky;</w:t>
      </w:r>
    </w:p>
    <w:p w14:paraId="4B52D87E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4B52D87F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4B52D880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4B52D881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4B52D882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4B52D883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84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4B52D88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4B52D88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B52D88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4B52D889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52D88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4B52D88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D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4B52D8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F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4B52D89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1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B52D89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3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B52D895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4B52D89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B52D897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4B52D8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9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4B52D89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B" w14:textId="7777777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4B52D89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0841A5A" w14:textId="77777777" w:rsidR="00C9190B" w:rsidRDefault="00C9190B" w:rsidP="00C9190B">
      <w:pPr>
        <w:pStyle w:val="Odstavecsmlouvy"/>
      </w:pPr>
      <w:bookmarkStart w:id="9" w:name="_Ref13486689"/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1C296B">
        <w:rPr>
          <w:b/>
        </w:rPr>
        <w:t xml:space="preserve">současně se </w:t>
      </w:r>
      <w:r>
        <w:rPr>
          <w:b/>
        </w:rPr>
        <w:t xml:space="preserve">tím </w:t>
      </w:r>
      <w:r w:rsidRPr="001C296B">
        <w:rPr>
          <w:b/>
        </w:rPr>
        <w:t>tato úhrada snížila pod tuto jednotkovou kupní cenu</w:t>
      </w:r>
      <w:r>
        <w:t xml:space="preserve">, je Kupující oprávněn požadovat snížení této jednotkové kupní ceny tak, že tato </w:t>
      </w:r>
      <w:r w:rsidRPr="002C69B1">
        <w:rPr>
          <w:b/>
          <w:bCs/>
        </w:rPr>
        <w:t>kupní cena se snižuje na tuto výši úhrady</w:t>
      </w:r>
      <w:r>
        <w:t xml:space="preserve"> Všeobecné zdravotní pojišťovny. Prodávající je povinen v takovém případě na výzvu Kupujícího uzavřít dodatek k této Smlouvě, jehož předmětem bude toto snížení jednotkové kupní ceny položky Zboží.</w:t>
      </w:r>
      <w:bookmarkEnd w:id="9"/>
    </w:p>
    <w:p w14:paraId="06F3AB8A" w14:textId="77777777" w:rsidR="00C9190B" w:rsidRDefault="00C9190B" w:rsidP="00C9190B">
      <w:pPr>
        <w:pStyle w:val="Odstavecsmlouvy"/>
        <w:numPr>
          <w:ilvl w:val="0"/>
          <w:numId w:val="0"/>
        </w:numPr>
        <w:ind w:left="567"/>
      </w:pPr>
    </w:p>
    <w:p w14:paraId="4D08937D" w14:textId="77777777" w:rsidR="00C9190B" w:rsidRDefault="00C9190B" w:rsidP="00C9190B">
      <w:pPr>
        <w:pStyle w:val="Odstavecsmlouvy"/>
      </w:pPr>
      <w:bookmarkStart w:id="10" w:name="_Ref13486690"/>
      <w:r>
        <w:t>V</w:t>
      </w:r>
      <w:r w:rsidRPr="001E4F33">
        <w:t xml:space="preserve"> </w:t>
      </w:r>
      <w:r>
        <w:t xml:space="preserve">případě, že </w:t>
      </w:r>
      <w:r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C63592">
        <w:rPr>
          <w:b/>
        </w:rPr>
        <w:t xml:space="preserve">výše této úhrady </w:t>
      </w:r>
      <w:r>
        <w:rPr>
          <w:b/>
        </w:rPr>
        <w:t>byla před tímto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je Kupující oprávněn požadovat snížení této jednotkové kupní ceny tak</w:t>
      </w:r>
      <w:r w:rsidRPr="001E4F33">
        <w:t xml:space="preserve">, že tato kupní cena se </w:t>
      </w:r>
      <w:r w:rsidRPr="00C63592">
        <w:rPr>
          <w:b/>
        </w:rPr>
        <w:t>snižuje o částku, o kterou se snížila tato úhrada</w:t>
      </w:r>
      <w:r w:rsidRPr="001E4F33">
        <w:t xml:space="preserve"> Všeobecné zdravotní pojišťovny</w:t>
      </w:r>
      <w:r>
        <w:t>. Prodávající je povinen v takovém případě na výzvu Kupujícího uzavřít dodatek k této Smlouvě, jehož předmětem bude toto snížení jednotkové kupní ceny položky Zboží.</w:t>
      </w:r>
      <w:bookmarkEnd w:id="10"/>
    </w:p>
    <w:p w14:paraId="5D0F11C1" w14:textId="77777777" w:rsidR="00C9190B" w:rsidRDefault="00C9190B" w:rsidP="00C9190B">
      <w:pPr>
        <w:pStyle w:val="Odstavecsmlouvy"/>
        <w:numPr>
          <w:ilvl w:val="0"/>
          <w:numId w:val="0"/>
        </w:numPr>
        <w:ind w:left="567"/>
      </w:pPr>
    </w:p>
    <w:p w14:paraId="2628EFCF" w14:textId="4D37D0C9" w:rsidR="00C9190B" w:rsidRDefault="00C9190B" w:rsidP="00C9190B">
      <w:pPr>
        <w:pStyle w:val="Odstavecsmlouvy"/>
      </w:pPr>
      <w:r>
        <w:t xml:space="preserve">Pro vyloučení pochybností se uvádí, že příslušná jednotková kupní cena je dle </w:t>
      </w:r>
      <w:proofErr w:type="gramStart"/>
      <w:r>
        <w:t xml:space="preserve">odst. </w:t>
      </w:r>
      <w:r>
        <w:fldChar w:fldCharType="begin"/>
      </w:r>
      <w:r>
        <w:instrText xml:space="preserve"> REF _Ref13486689 \n \h </w:instrText>
      </w:r>
      <w:r>
        <w:fldChar w:fldCharType="separate"/>
      </w:r>
      <w:r w:rsidR="00A732E8">
        <w:t>V.4</w:t>
      </w:r>
      <w:r>
        <w:fldChar w:fldCharType="end"/>
      </w:r>
      <w:r>
        <w:t>, resp.</w:t>
      </w:r>
      <w:proofErr w:type="gramEnd"/>
      <w:r>
        <w:t xml:space="preserve"> </w:t>
      </w:r>
      <w:r>
        <w:fldChar w:fldCharType="begin"/>
      </w:r>
      <w:r>
        <w:instrText xml:space="preserve"> REF _Ref13486690 \n \h </w:instrText>
      </w:r>
      <w:r>
        <w:fldChar w:fldCharType="separate"/>
      </w:r>
      <w:r w:rsidR="00A732E8">
        <w:t>V.5</w:t>
      </w:r>
      <w:r>
        <w:fldChar w:fldCharType="end"/>
      </w:r>
      <w:r>
        <w:t xml:space="preserve"> této smlouvy snížena i bez uzavření dodatku k této smlouvě, tj. již okamžikem snížení úhrady ze strany Všeobecné zdravotní pojišťovny.</w:t>
      </w:r>
    </w:p>
    <w:p w14:paraId="4B52D89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F" w14:textId="77777777" w:rsidR="000C1FD1" w:rsidRDefault="000C1FD1" w:rsidP="000C1FD1">
      <w:pPr>
        <w:pStyle w:val="Nadpis3"/>
      </w:pPr>
      <w:r>
        <w:t>Platební podmínky</w:t>
      </w:r>
    </w:p>
    <w:p w14:paraId="4B52D8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1" w14:textId="49707705" w:rsidR="000C1FD1" w:rsidRPr="0015583C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 xml:space="preserve">Prodávajícím a doručených Kupujícímu, a </w:t>
      </w:r>
      <w:r w:rsidRPr="0015583C">
        <w:t>to</w:t>
      </w:r>
      <w:r w:rsidR="0015583C" w:rsidRPr="0015583C">
        <w:t xml:space="preserve"> </w:t>
      </w:r>
      <w:r w:rsidRPr="0015583C">
        <w:t xml:space="preserve">k jednotlivým </w:t>
      </w:r>
      <w:r w:rsidR="0015583C" w:rsidRPr="0015583C">
        <w:t>o</w:t>
      </w:r>
      <w:r w:rsidRPr="0015583C">
        <w:t>bjednávkám</w:t>
      </w:r>
      <w:r w:rsidR="0015583C" w:rsidRPr="0015583C">
        <w:t>.</w:t>
      </w:r>
      <w:r w:rsidRPr="0015583C">
        <w:t xml:space="preserve"> </w:t>
      </w:r>
    </w:p>
    <w:p w14:paraId="4B52D8A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4B52D8A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B52D8A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4B52D8A7" w14:textId="77777777" w:rsidR="000C1FD1" w:rsidRDefault="000C1FD1" w:rsidP="000C1FD1">
      <w:pPr>
        <w:pStyle w:val="Psmenoodstavce"/>
      </w:pPr>
      <w:r>
        <w:t>evidenční číslo daňového dokladu;</w:t>
      </w:r>
    </w:p>
    <w:p w14:paraId="4B52D8A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B52D8A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4B52D8AA" w14:textId="77777777" w:rsidR="000C1FD1" w:rsidRDefault="000C1FD1" w:rsidP="000C1FD1">
      <w:pPr>
        <w:pStyle w:val="Psmenoodstavce"/>
      </w:pPr>
      <w:r>
        <w:lastRenderedPageBreak/>
        <w:t>datum uskutečnění zdanitelného plnění;</w:t>
      </w:r>
    </w:p>
    <w:p w14:paraId="4B52D8AB" w14:textId="77777777" w:rsidR="000C1FD1" w:rsidRDefault="000C1FD1" w:rsidP="000C1FD1">
      <w:pPr>
        <w:pStyle w:val="Psmenoodstavce"/>
      </w:pPr>
      <w:r>
        <w:t>datum splatnosti;</w:t>
      </w:r>
    </w:p>
    <w:p w14:paraId="4B52D8A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4B52D8AD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4B52D8AE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4B52D8AF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4B52D8B0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B52D8B1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B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3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4B52D8B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B52D8B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4B52D8B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9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B52D8BA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B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B52D8BC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D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4B52D8BE" w14:textId="77777777" w:rsidR="00EE6269" w:rsidRPr="002B77A6" w:rsidRDefault="00EE6269" w:rsidP="000C1FD1">
      <w:pPr>
        <w:rPr>
          <w:b/>
          <w:bCs/>
        </w:rPr>
      </w:pPr>
    </w:p>
    <w:bookmarkEnd w:id="0"/>
    <w:p w14:paraId="4B52D8BF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4B52D8C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B52D8C1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4B52D8C2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3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4B52D8C4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5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4B52D8C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7" w14:textId="78B963A3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</w:t>
      </w:r>
      <w:r w:rsidR="00C53B42">
        <w:rPr>
          <w:b/>
        </w:rPr>
        <w:t>inimálně 50</w:t>
      </w:r>
      <w:r w:rsidRPr="00CD098E">
        <w:rPr>
          <w:b/>
        </w:rPr>
        <w:t xml:space="preserve">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lastRenderedPageBreak/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B52D8C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9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B52D8C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B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4B52D8CC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D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52D8CE" w14:textId="77777777" w:rsidR="00726B26" w:rsidRPr="002B77A6" w:rsidRDefault="00726B26" w:rsidP="00726B26">
      <w:pPr>
        <w:jc w:val="center"/>
        <w:rPr>
          <w:b/>
          <w:bCs/>
        </w:rPr>
      </w:pPr>
    </w:p>
    <w:p w14:paraId="4B52D8CF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B52D8D0" w14:textId="77777777" w:rsidR="00726B26" w:rsidRPr="002B77A6" w:rsidRDefault="00726B26" w:rsidP="00726B26">
      <w:pPr>
        <w:jc w:val="center"/>
        <w:rPr>
          <w:b/>
          <w:bCs/>
        </w:rPr>
      </w:pPr>
    </w:p>
    <w:p w14:paraId="4B52D8D1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B52D8D2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3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4B52D8D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52D8D6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D7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4B52D8D8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D9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B52D8DA" w14:textId="7E924CCB" w:rsidR="00EE6269" w:rsidRDefault="00EE6269" w:rsidP="00726B26">
      <w:pPr>
        <w:jc w:val="center"/>
        <w:rPr>
          <w:b/>
          <w:bCs/>
        </w:rPr>
      </w:pPr>
    </w:p>
    <w:p w14:paraId="4B52D8DB" w14:textId="77777777" w:rsidR="00726B26" w:rsidRDefault="00726B26" w:rsidP="00C92C8B">
      <w:pPr>
        <w:pStyle w:val="Nadpis1"/>
      </w:pPr>
      <w:r w:rsidRPr="002B77A6">
        <w:t>Závěrečná ujednání</w:t>
      </w:r>
    </w:p>
    <w:p w14:paraId="4B52D8DC" w14:textId="77777777" w:rsidR="00726B26" w:rsidRPr="002B77A6" w:rsidRDefault="00726B26" w:rsidP="00726B26">
      <w:pPr>
        <w:jc w:val="center"/>
        <w:rPr>
          <w:b/>
          <w:bCs/>
        </w:rPr>
      </w:pPr>
    </w:p>
    <w:p w14:paraId="4B52D8DD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B52D8D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B52D8DF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>je uzavřena na dobu</w:t>
      </w:r>
      <w:r w:rsidR="00855962">
        <w:t xml:space="preserve"> </w:t>
      </w:r>
      <w:r w:rsidR="00D423D8">
        <w:t>4</w:t>
      </w:r>
      <w:r w:rsidR="00754D50" w:rsidRPr="00855962">
        <w:rPr>
          <w:b/>
        </w:rPr>
        <w:t xml:space="preserve"> let</w:t>
      </w:r>
      <w:r w:rsidR="00CE3F06" w:rsidRPr="00855962">
        <w:rPr>
          <w:b/>
        </w:rPr>
        <w:t xml:space="preserve"> ode dne nabytí účinnosti této smlouvy</w:t>
      </w:r>
      <w:r w:rsidRPr="009F5A27">
        <w:t>.</w:t>
      </w:r>
    </w:p>
    <w:p w14:paraId="4B52D8E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E1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4B52D8E2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4B52D8E3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B52D8E4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B52D8E5" w14:textId="77777777" w:rsidR="00C92C8B" w:rsidRDefault="00B945BB" w:rsidP="009F5A27">
      <w:pPr>
        <w:pStyle w:val="Odstavecsmlouvy"/>
      </w:pPr>
      <w:r>
        <w:lastRenderedPageBreak/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B52D8E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7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4B52D8E8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E9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4B52D8EA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B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4B52D8E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75F71DA" w14:textId="77777777" w:rsidR="00C9190B" w:rsidRDefault="00726B26" w:rsidP="00C9190B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C9190B">
        <w:t xml:space="preserve"> Kupující si jakožto Zadavatel Veřejné zakázky v Zadávací dokumentaci vyhradil změny závazku z této smlouvy.</w:t>
      </w:r>
    </w:p>
    <w:p w14:paraId="4B52D8ED" w14:textId="77D8130B" w:rsidR="001D71E3" w:rsidRDefault="001D71E3" w:rsidP="00C9190B">
      <w:pPr>
        <w:pStyle w:val="Odstavecsmlouvy"/>
        <w:numPr>
          <w:ilvl w:val="0"/>
          <w:numId w:val="0"/>
        </w:numPr>
        <w:ind w:left="567"/>
      </w:pPr>
    </w:p>
    <w:p w14:paraId="4B52D8EF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855962">
        <w:rPr>
          <w:snapToGrid w:val="0"/>
        </w:rPr>
        <w:t xml:space="preserve">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>Prodávající obdrží jedno vyhotovení a Kupující obdrž</w:t>
      </w:r>
      <w:r w:rsidR="00F26758">
        <w:rPr>
          <w:snapToGrid w:val="0"/>
        </w:rPr>
        <w:t>í</w:t>
      </w:r>
      <w:r w:rsidR="00855962">
        <w:rPr>
          <w:snapToGrid w:val="0"/>
        </w:rPr>
        <w:t xml:space="preserve"> 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</w:p>
    <w:p w14:paraId="4B52D8F0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4B52D8F1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4B52D8F2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4B52D8F3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F4" w14:textId="6A5C60BA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4F7BC19" w14:textId="77777777" w:rsidR="00AC255A" w:rsidRPr="001D71E3" w:rsidRDefault="00AC255A" w:rsidP="00AC255A">
      <w:pPr>
        <w:pStyle w:val="Odstavecsmlouvy"/>
        <w:numPr>
          <w:ilvl w:val="0"/>
          <w:numId w:val="0"/>
        </w:numPr>
        <w:ind w:left="567"/>
      </w:pPr>
    </w:p>
    <w:tbl>
      <w:tblPr>
        <w:tblW w:w="9606" w:type="dxa"/>
        <w:tblInd w:w="567" w:type="dxa"/>
        <w:tblLook w:val="04A0" w:firstRow="1" w:lastRow="0" w:firstColumn="1" w:lastColumn="0" w:noHBand="0" w:noVBand="1"/>
      </w:tblPr>
      <w:tblGrid>
        <w:gridCol w:w="4965"/>
        <w:gridCol w:w="246"/>
        <w:gridCol w:w="213"/>
        <w:gridCol w:w="401"/>
        <w:gridCol w:w="3497"/>
        <w:gridCol w:w="284"/>
      </w:tblGrid>
      <w:tr w:rsidR="00AC255A" w:rsidRPr="00D722DC" w14:paraId="4B52D8F9" w14:textId="77777777" w:rsidTr="00650FFE">
        <w:trPr>
          <w:gridAfter w:val="1"/>
          <w:wAfter w:w="284" w:type="dxa"/>
        </w:trPr>
        <w:tc>
          <w:tcPr>
            <w:tcW w:w="4965" w:type="dxa"/>
            <w:shd w:val="clear" w:color="auto" w:fill="auto"/>
          </w:tcPr>
          <w:p w14:paraId="4B52D8F6" w14:textId="139C0010" w:rsidR="00AC255A" w:rsidRPr="00D722DC" w:rsidRDefault="00AC255A" w:rsidP="00182CA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before="120"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Slavkově u Brna </w:t>
            </w:r>
            <w:r w:rsidRPr="00D722DC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  <w:shd w:val="clear" w:color="auto" w:fill="auto"/>
          </w:tcPr>
          <w:p w14:paraId="4B52D8F7" w14:textId="77777777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14:paraId="4B52D8F8" w14:textId="15C56DB0" w:rsidR="00AC255A" w:rsidRPr="00D722DC" w:rsidRDefault="00AC255A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before="120"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AC255A" w:rsidRPr="00D722DC" w14:paraId="4B52D902" w14:textId="77777777" w:rsidTr="00650FFE">
        <w:trPr>
          <w:gridAfter w:val="1"/>
          <w:wAfter w:w="284" w:type="dxa"/>
        </w:trPr>
        <w:tc>
          <w:tcPr>
            <w:tcW w:w="4965" w:type="dxa"/>
            <w:shd w:val="clear" w:color="auto" w:fill="auto"/>
          </w:tcPr>
          <w:p w14:paraId="520DC3DD" w14:textId="77777777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751FE7B3" w14:textId="7EABA991" w:rsidR="00AC255A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1A952593" w14:textId="66CF42A7" w:rsidR="00650FFE" w:rsidRDefault="00650FFE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383D0119" w14:textId="77777777" w:rsidR="00650FFE" w:rsidRDefault="00650FFE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1E7E2BA1" w14:textId="77777777" w:rsidR="00650FFE" w:rsidRDefault="00650FFE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AC9C979" w14:textId="77777777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4B52D8FF" w14:textId="5A430CA2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ind w:right="3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246" w:type="dxa"/>
            <w:shd w:val="clear" w:color="auto" w:fill="auto"/>
          </w:tcPr>
          <w:p w14:paraId="4B52D900" w14:textId="77777777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D940F2" w14:textId="77777777" w:rsidR="00AC255A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B52D901" w14:textId="2D9F35A2" w:rsidR="00650FFE" w:rsidRPr="00D722DC" w:rsidRDefault="00650FFE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AC255A" w:rsidRPr="00D722DC" w14:paraId="4B52D909" w14:textId="77777777" w:rsidTr="00650FFE">
        <w:tc>
          <w:tcPr>
            <w:tcW w:w="5424" w:type="dxa"/>
            <w:gridSpan w:val="3"/>
            <w:shd w:val="clear" w:color="auto" w:fill="auto"/>
          </w:tcPr>
          <w:p w14:paraId="4FB303A4" w14:textId="77777777" w:rsidR="00AC255A" w:rsidRPr="00A77ECB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0"/>
              </w:tabs>
              <w:spacing w:after="0" w:line="280" w:lineRule="atLeast"/>
              <w:ind w:right="1067"/>
              <w:jc w:val="center"/>
              <w:rPr>
                <w:b/>
                <w:sz w:val="22"/>
                <w:szCs w:val="22"/>
              </w:rPr>
            </w:pPr>
            <w:proofErr w:type="spellStart"/>
            <w:r w:rsidRPr="00A77ECB">
              <w:rPr>
                <w:b/>
                <w:sz w:val="22"/>
                <w:szCs w:val="22"/>
              </w:rPr>
              <w:t>Lohmann</w:t>
            </w:r>
            <w:proofErr w:type="spellEnd"/>
            <w:r w:rsidRPr="00A77ECB">
              <w:rPr>
                <w:b/>
                <w:sz w:val="22"/>
                <w:szCs w:val="22"/>
              </w:rPr>
              <w:t xml:space="preserve"> &amp; </w:t>
            </w:r>
            <w:proofErr w:type="spellStart"/>
            <w:r w:rsidRPr="00A77ECB">
              <w:rPr>
                <w:b/>
                <w:sz w:val="22"/>
                <w:szCs w:val="22"/>
              </w:rPr>
              <w:t>Rauscher</w:t>
            </w:r>
            <w:proofErr w:type="spellEnd"/>
            <w:r w:rsidRPr="00A77ECB">
              <w:rPr>
                <w:b/>
                <w:sz w:val="22"/>
                <w:szCs w:val="22"/>
              </w:rPr>
              <w:t>, s.r.o.</w:t>
            </w:r>
          </w:p>
          <w:p w14:paraId="219F8984" w14:textId="3E5BA257" w:rsidR="00AC255A" w:rsidRDefault="00182CAE" w:rsidP="00AC255A">
            <w:pPr>
              <w:pStyle w:val="slovn"/>
              <w:numPr>
                <w:ilvl w:val="0"/>
                <w:numId w:val="0"/>
              </w:numPr>
              <w:tabs>
                <w:tab w:val="num" w:pos="0"/>
              </w:tabs>
              <w:spacing w:after="0" w:line="280" w:lineRule="atLeast"/>
              <w:ind w:right="10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</w:t>
            </w:r>
            <w:proofErr w:type="spellEnd"/>
          </w:p>
          <w:p w14:paraId="4B52D904" w14:textId="006B45C1" w:rsidR="00AC255A" w:rsidRPr="00A77ECB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0"/>
              </w:tabs>
              <w:spacing w:after="0" w:line="280" w:lineRule="atLeast"/>
              <w:ind w:right="1067"/>
              <w:jc w:val="center"/>
              <w:rPr>
                <w:sz w:val="22"/>
                <w:szCs w:val="22"/>
              </w:rPr>
            </w:pPr>
            <w:r w:rsidRPr="00A77ECB">
              <w:rPr>
                <w:sz w:val="22"/>
                <w:szCs w:val="22"/>
              </w:rPr>
              <w:t>prokuristé</w:t>
            </w:r>
          </w:p>
        </w:tc>
        <w:tc>
          <w:tcPr>
            <w:tcW w:w="401" w:type="dxa"/>
            <w:shd w:val="clear" w:color="auto" w:fill="auto"/>
          </w:tcPr>
          <w:p w14:paraId="4B52D905" w14:textId="77777777" w:rsidR="00AC255A" w:rsidRPr="00A77ECB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5FA474" w14:textId="77777777" w:rsidR="00AC255A" w:rsidRPr="00A77ECB" w:rsidRDefault="00AC255A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A77ECB">
              <w:rPr>
                <w:b/>
                <w:sz w:val="22"/>
                <w:szCs w:val="22"/>
              </w:rPr>
              <w:t>Fakultní nemocnice Brno</w:t>
            </w:r>
          </w:p>
          <w:p w14:paraId="4B419975" w14:textId="77777777" w:rsidR="00182CAE" w:rsidRDefault="00182CAE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xxxxxxxxxxxx</w:t>
            </w:r>
            <w:proofErr w:type="spellEnd"/>
            <w:r w:rsidR="00AC255A" w:rsidRPr="009B596A">
              <w:rPr>
                <w:sz w:val="22"/>
                <w:szCs w:val="22"/>
              </w:rPr>
              <w:t>,</w:t>
            </w:r>
            <w:r w:rsidR="00AC255A" w:rsidRPr="00D722DC">
              <w:rPr>
                <w:sz w:val="22"/>
                <w:szCs w:val="22"/>
              </w:rPr>
              <w:t xml:space="preserve"> </w:t>
            </w:r>
          </w:p>
          <w:p w14:paraId="2634B77B" w14:textId="2EA90AFA" w:rsidR="00AC255A" w:rsidRDefault="00AC255A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11" w:name="_GoBack"/>
            <w:bookmarkEnd w:id="11"/>
            <w:r w:rsidRPr="00D722DC">
              <w:rPr>
                <w:sz w:val="22"/>
                <w:szCs w:val="22"/>
              </w:rPr>
              <w:t>ředitel</w:t>
            </w:r>
          </w:p>
          <w:p w14:paraId="2C75A303" w14:textId="77777777" w:rsidR="00650FFE" w:rsidRPr="00D722DC" w:rsidRDefault="00650FFE" w:rsidP="00650F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4B52D908" w14:textId="77777777" w:rsidR="00AC255A" w:rsidRPr="00D722DC" w:rsidRDefault="00AC255A" w:rsidP="00AC25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0BE42118" w14:textId="77777777" w:rsidR="00650FFE" w:rsidRDefault="00650FFE" w:rsidP="007E416F">
      <w:pPr>
        <w:jc w:val="center"/>
        <w:rPr>
          <w:b/>
        </w:rPr>
        <w:sectPr w:rsidR="00650FFE" w:rsidSect="00650FFE">
          <w:footerReference w:type="default" r:id="rId14"/>
          <w:footerReference w:type="first" r:id="rId15"/>
          <w:pgSz w:w="11906" w:h="16838"/>
          <w:pgMar w:top="1361" w:right="924" w:bottom="1361" w:left="902" w:header="709" w:footer="709" w:gutter="0"/>
          <w:cols w:space="708"/>
          <w:titlePg/>
          <w:docGrid w:linePitch="360"/>
        </w:sectPr>
      </w:pPr>
    </w:p>
    <w:p w14:paraId="4B52D90B" w14:textId="74967BB9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4B52D90C" w14:textId="77777777" w:rsidR="007E416F" w:rsidRPr="000729CF" w:rsidRDefault="007E416F" w:rsidP="007E416F">
      <w:pPr>
        <w:jc w:val="center"/>
        <w:rPr>
          <w:b/>
        </w:rPr>
      </w:pPr>
    </w:p>
    <w:p w14:paraId="4B52D90D" w14:textId="0D12664A" w:rsidR="007E416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15EAE879" w14:textId="77777777" w:rsidR="00972E8F" w:rsidRPr="000729CF" w:rsidRDefault="00972E8F" w:rsidP="00972E8F">
      <w:pPr>
        <w:ind w:left="-567"/>
        <w:jc w:val="center"/>
        <w:rPr>
          <w:b/>
        </w:rPr>
      </w:pPr>
    </w:p>
    <w:p w14:paraId="4B52D910" w14:textId="2DE1D4ED" w:rsidR="00AA34DF" w:rsidRDefault="00EE393F" w:rsidP="00023008">
      <w:r>
        <w:t xml:space="preserve"> </w:t>
      </w:r>
    </w:p>
    <w:p w14:paraId="435FE831" w14:textId="38BB64EB" w:rsidR="008E0FDA" w:rsidRDefault="008E0FDA" w:rsidP="00023008"/>
    <w:p w14:paraId="081B551B" w14:textId="1B9C9619" w:rsidR="00F47652" w:rsidRDefault="00F47652" w:rsidP="00023008"/>
    <w:tbl>
      <w:tblPr>
        <w:tblW w:w="13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03"/>
        <w:gridCol w:w="1140"/>
        <w:gridCol w:w="993"/>
        <w:gridCol w:w="1701"/>
        <w:gridCol w:w="1701"/>
        <w:gridCol w:w="1134"/>
        <w:gridCol w:w="1134"/>
        <w:gridCol w:w="992"/>
        <w:gridCol w:w="1417"/>
      </w:tblGrid>
      <w:tr w:rsidR="00054E5A" w:rsidRPr="00EE393F" w14:paraId="66635B25" w14:textId="77777777" w:rsidTr="00054E5A">
        <w:trPr>
          <w:trHeight w:val="99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B6461" w14:textId="67A765A5" w:rsidR="00054E5A" w:rsidRPr="00253F49" w:rsidRDefault="00054E5A" w:rsidP="00054E5A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Část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30A10" w14:textId="1A8BF7BA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Název nabízeného zboží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5C974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Katalogové číslo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DE1F1D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Cena za 1 pár v Kč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5C694F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Cena za 1 pár v Kč s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40EA5F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Výše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BFCED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Sazba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2F5B4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Kód VZP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B98E" w14:textId="77777777" w:rsidR="00054E5A" w:rsidRPr="00253F49" w:rsidRDefault="00054E5A" w:rsidP="002F1162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</w:pPr>
            <w:r w:rsidRPr="00253F49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Třída míry rizika</w:t>
            </w:r>
          </w:p>
        </w:tc>
      </w:tr>
      <w:tr w:rsidR="001A17CC" w:rsidRPr="00EE393F" w14:paraId="25ECB8D6" w14:textId="77777777" w:rsidTr="00054E5A">
        <w:trPr>
          <w:trHeight w:val="70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3B6" w14:textId="6456BCA1" w:rsidR="001A17CC" w:rsidRPr="00EE393F" w:rsidRDefault="001A17CC" w:rsidP="00054E5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D20" w14:textId="78368D7D" w:rsidR="001A17CC" w:rsidRPr="00EE393F" w:rsidRDefault="001A17CC" w:rsidP="002F1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Sempermed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®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S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upreme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plus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10308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5,5</w:t>
            </w:r>
          </w:p>
          <w:p w14:paraId="6AAE1D00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6</w:t>
            </w:r>
          </w:p>
          <w:p w14:paraId="349B73B3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6,5</w:t>
            </w:r>
          </w:p>
          <w:p w14:paraId="4AB266AE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7</w:t>
            </w:r>
          </w:p>
          <w:p w14:paraId="3919F415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7,5</w:t>
            </w:r>
          </w:p>
          <w:p w14:paraId="33B59F6C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8</w:t>
            </w:r>
          </w:p>
          <w:p w14:paraId="59B1CB3F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8,5</w:t>
            </w:r>
          </w:p>
          <w:p w14:paraId="487971B8" w14:textId="14CF2800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vel 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DBD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34 650</w:t>
            </w:r>
          </w:p>
          <w:p w14:paraId="6E8E4E26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34 651</w:t>
            </w:r>
          </w:p>
          <w:p w14:paraId="6458F69F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34 652</w:t>
            </w:r>
          </w:p>
          <w:p w14:paraId="43FA247A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34 653</w:t>
            </w:r>
          </w:p>
          <w:p w14:paraId="6E5639AE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34 654</w:t>
            </w:r>
          </w:p>
          <w:p w14:paraId="7CEFAE7C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34 655</w:t>
            </w:r>
          </w:p>
          <w:p w14:paraId="1205C901" w14:textId="77777777" w:rsidR="001A17CC" w:rsidRDefault="001A17CC" w:rsidP="00017EE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34 656</w:t>
            </w:r>
          </w:p>
          <w:p w14:paraId="2F350132" w14:textId="02FCEBE1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34 657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EF0" w14:textId="77777777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7,50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E382" w14:textId="77777777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9,08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E685" w14:textId="77777777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1,58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C32" w14:textId="77777777" w:rsidR="001A17CC" w:rsidRPr="00EE393F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6A0" w14:textId="77777777" w:rsidR="001A17CC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1782" w14:textId="77777777" w:rsidR="001A17CC" w:rsidRDefault="001A17CC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IIa</w:t>
            </w:r>
            <w:proofErr w:type="spellEnd"/>
          </w:p>
        </w:tc>
      </w:tr>
    </w:tbl>
    <w:p w14:paraId="057B9EB8" w14:textId="77777777" w:rsidR="00F47652" w:rsidRDefault="00F47652" w:rsidP="00F47652">
      <w:r>
        <w:t xml:space="preserve"> </w:t>
      </w:r>
    </w:p>
    <w:p w14:paraId="7284BC6D" w14:textId="77777777" w:rsidR="00F47652" w:rsidRDefault="00F47652" w:rsidP="00F47652"/>
    <w:tbl>
      <w:tblPr>
        <w:tblW w:w="13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992"/>
        <w:gridCol w:w="1362"/>
        <w:gridCol w:w="1701"/>
        <w:gridCol w:w="1418"/>
        <w:gridCol w:w="1417"/>
        <w:gridCol w:w="851"/>
        <w:gridCol w:w="1275"/>
      </w:tblGrid>
      <w:tr w:rsidR="00F47652" w:rsidRPr="00EE393F" w14:paraId="39A188E4" w14:textId="77777777" w:rsidTr="002F1162">
        <w:trPr>
          <w:trHeight w:val="1111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D9BA7" w14:textId="77777777" w:rsidR="00F47652" w:rsidRPr="00EE393F" w:rsidRDefault="00F47652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Předpokl</w:t>
            </w:r>
            <w:proofErr w:type="spellEnd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. odběr za 1 rok v párech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951D2" w14:textId="77777777" w:rsidR="00F47652" w:rsidRPr="00EE393F" w:rsidRDefault="00F47652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Ce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n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 za 1 rok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v Kč 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bez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4E4AA" w14:textId="77777777" w:rsidR="00F47652" w:rsidRPr="00EE393F" w:rsidRDefault="00F47652" w:rsidP="002F116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Ceza</w:t>
            </w:r>
            <w:proofErr w:type="spellEnd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za 1 rok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v Kč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s DPH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545DE" w14:textId="77777777" w:rsidR="00F47652" w:rsidRPr="00EE393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Sazba DPH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63602" w14:textId="77777777" w:rsidR="00F47652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Výše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72B4D4" w14:textId="77777777" w:rsidR="00F47652" w:rsidRPr="00EE393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Předpokl</w:t>
            </w:r>
            <w:proofErr w:type="spellEnd"/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. odběr za 4 roky v párech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901B81" w14:textId="77777777" w:rsidR="00F47652" w:rsidRPr="00EE393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Cena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za 4 roky v Kč bez DPH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7C12AF" w14:textId="77777777" w:rsidR="00F47652" w:rsidRPr="00EE393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Cena</w:t>
            </w: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za 4 roky v Kč s DPH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E58FDA" w14:textId="77777777" w:rsidR="00F47652" w:rsidRPr="00AB674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AB674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Sazba DPH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CC7497" w14:textId="77777777" w:rsidR="00F47652" w:rsidRPr="00EE393F" w:rsidRDefault="00F47652" w:rsidP="002F116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Výše DPH</w:t>
            </w:r>
          </w:p>
        </w:tc>
      </w:tr>
      <w:tr w:rsidR="00F47652" w:rsidRPr="00EE393F" w14:paraId="2C8960F9" w14:textId="77777777" w:rsidTr="002F1162">
        <w:trPr>
          <w:trHeight w:val="702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9F9" w14:textId="6178DFE5" w:rsidR="00F47652" w:rsidRPr="00EE393F" w:rsidRDefault="00F47652" w:rsidP="00F4765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7</w:t>
            </w:r>
            <w:r w:rsidR="00FB5176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272" w14:textId="159C9307" w:rsidR="00F47652" w:rsidRPr="00EE393F" w:rsidRDefault="00F47652" w:rsidP="00F4765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53 625,00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3A13" w14:textId="37BAB436" w:rsidR="00F47652" w:rsidRPr="00EE393F" w:rsidRDefault="00F47652" w:rsidP="00F4765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64 886,25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ABB8" w14:textId="77777777" w:rsidR="00F47652" w:rsidRPr="00EE393F" w:rsidRDefault="00F47652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769E4" w14:textId="3A058E32" w:rsidR="00F47652" w:rsidRDefault="00054E5A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11 261,25</w:t>
            </w:r>
            <w:r w:rsidR="00F47652"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B62492" w14:textId="7532361F" w:rsidR="00F47652" w:rsidRPr="00EE393F" w:rsidRDefault="00F47652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28</w:t>
            </w:r>
            <w:r w:rsidR="00FB5176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FA5DF95" w14:textId="5C4FF87C" w:rsidR="00F47652" w:rsidRPr="00EE393F" w:rsidRDefault="00F47652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214 500,00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97F62B9" w14:textId="2D64FD6A" w:rsidR="00F47652" w:rsidRPr="00EE393F" w:rsidRDefault="00F47652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259 545,00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6FB15F8" w14:textId="77777777" w:rsidR="00F47652" w:rsidRPr="00AB674F" w:rsidRDefault="00F47652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 w:rsidRPr="00AB674F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869EDE" w14:textId="721E1A3F" w:rsidR="00F47652" w:rsidRPr="00EE393F" w:rsidRDefault="00054E5A" w:rsidP="00F47652">
            <w:pPr>
              <w:spacing w:line="240" w:lineRule="auto"/>
              <w:ind w:right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45 045,00</w:t>
            </w:r>
            <w:r w:rsidR="00F47652" w:rsidRPr="00EE393F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Kč</w:t>
            </w:r>
          </w:p>
        </w:tc>
      </w:tr>
    </w:tbl>
    <w:p w14:paraId="2D59FE62" w14:textId="77777777" w:rsidR="00F47652" w:rsidRDefault="00F47652" w:rsidP="00F47652"/>
    <w:sectPr w:rsidR="00F47652" w:rsidSect="00650FFE">
      <w:pgSz w:w="16838" w:h="11906" w:orient="landscape"/>
      <w:pgMar w:top="902" w:right="1361" w:bottom="92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D914" w14:textId="77777777" w:rsidR="00C963E5" w:rsidRDefault="00C963E5" w:rsidP="006337DC">
      <w:r>
        <w:separator/>
      </w:r>
    </w:p>
  </w:endnote>
  <w:endnote w:type="continuationSeparator" w:id="0">
    <w:p w14:paraId="4B52D915" w14:textId="77777777" w:rsidR="00C963E5" w:rsidRDefault="00C963E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6" w14:textId="77777777" w:rsidR="00C963E5" w:rsidRPr="00150F89" w:rsidRDefault="00C963E5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82CAE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4B52D917" w14:textId="77777777" w:rsidR="00C963E5" w:rsidRDefault="00C963E5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8" w14:textId="77777777" w:rsidR="00C963E5" w:rsidRDefault="00C963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2CAE">
      <w:rPr>
        <w:noProof/>
      </w:rPr>
      <w:t>8</w:t>
    </w:r>
    <w:r>
      <w:fldChar w:fldCharType="end"/>
    </w:r>
  </w:p>
  <w:p w14:paraId="4B52D919" w14:textId="77777777" w:rsidR="00C963E5" w:rsidRDefault="00C963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2D912" w14:textId="77777777" w:rsidR="00C963E5" w:rsidRDefault="00C963E5" w:rsidP="006337DC">
      <w:r>
        <w:separator/>
      </w:r>
    </w:p>
  </w:footnote>
  <w:footnote w:type="continuationSeparator" w:id="0">
    <w:p w14:paraId="4B52D913" w14:textId="77777777" w:rsidR="00C963E5" w:rsidRDefault="00C963E5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4E5A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5583C"/>
    <w:rsid w:val="001604EA"/>
    <w:rsid w:val="001673D6"/>
    <w:rsid w:val="00182CAE"/>
    <w:rsid w:val="00183B7C"/>
    <w:rsid w:val="00195882"/>
    <w:rsid w:val="001976E5"/>
    <w:rsid w:val="001A17CC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016D"/>
    <w:rsid w:val="002E1C03"/>
    <w:rsid w:val="002E1D0C"/>
    <w:rsid w:val="002E4D60"/>
    <w:rsid w:val="002E5DF3"/>
    <w:rsid w:val="002E5DFE"/>
    <w:rsid w:val="002F4739"/>
    <w:rsid w:val="002F7587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D760E"/>
    <w:rsid w:val="003E07C3"/>
    <w:rsid w:val="003E1703"/>
    <w:rsid w:val="003E1948"/>
    <w:rsid w:val="003E311E"/>
    <w:rsid w:val="003E3823"/>
    <w:rsid w:val="003E5B53"/>
    <w:rsid w:val="003E7476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0FFE"/>
    <w:rsid w:val="00657357"/>
    <w:rsid w:val="006714E5"/>
    <w:rsid w:val="00674566"/>
    <w:rsid w:val="00676A7D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62"/>
    <w:rsid w:val="008559D7"/>
    <w:rsid w:val="00862350"/>
    <w:rsid w:val="00862EBA"/>
    <w:rsid w:val="00863E04"/>
    <w:rsid w:val="00870AAC"/>
    <w:rsid w:val="0087360F"/>
    <w:rsid w:val="00875B50"/>
    <w:rsid w:val="00875E6A"/>
    <w:rsid w:val="0087780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6AF"/>
    <w:rsid w:val="008B2B91"/>
    <w:rsid w:val="008B5825"/>
    <w:rsid w:val="008B732B"/>
    <w:rsid w:val="008C06CE"/>
    <w:rsid w:val="008C3784"/>
    <w:rsid w:val="008D185D"/>
    <w:rsid w:val="008E0FDA"/>
    <w:rsid w:val="008F06D4"/>
    <w:rsid w:val="008F3B32"/>
    <w:rsid w:val="008F5E25"/>
    <w:rsid w:val="008F658D"/>
    <w:rsid w:val="0092320E"/>
    <w:rsid w:val="00925CAD"/>
    <w:rsid w:val="00926B15"/>
    <w:rsid w:val="00933C96"/>
    <w:rsid w:val="009349D0"/>
    <w:rsid w:val="009364A6"/>
    <w:rsid w:val="00941D28"/>
    <w:rsid w:val="00942669"/>
    <w:rsid w:val="009436C7"/>
    <w:rsid w:val="00945D74"/>
    <w:rsid w:val="00950039"/>
    <w:rsid w:val="00960B1F"/>
    <w:rsid w:val="00972E8F"/>
    <w:rsid w:val="00973208"/>
    <w:rsid w:val="00973861"/>
    <w:rsid w:val="0097477E"/>
    <w:rsid w:val="009811BA"/>
    <w:rsid w:val="00982C4A"/>
    <w:rsid w:val="00984C16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1796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732E8"/>
    <w:rsid w:val="00A77ECB"/>
    <w:rsid w:val="00A83813"/>
    <w:rsid w:val="00A907EE"/>
    <w:rsid w:val="00A93935"/>
    <w:rsid w:val="00A9396A"/>
    <w:rsid w:val="00A93C3D"/>
    <w:rsid w:val="00A966E9"/>
    <w:rsid w:val="00AA34DF"/>
    <w:rsid w:val="00AC255A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5F58"/>
    <w:rsid w:val="00C27EF4"/>
    <w:rsid w:val="00C3213D"/>
    <w:rsid w:val="00C36C12"/>
    <w:rsid w:val="00C37DD2"/>
    <w:rsid w:val="00C506AF"/>
    <w:rsid w:val="00C53B42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190B"/>
    <w:rsid w:val="00C92C8B"/>
    <w:rsid w:val="00C93040"/>
    <w:rsid w:val="00C9577D"/>
    <w:rsid w:val="00C963E5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23D8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08CF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314"/>
    <w:rsid w:val="00EB2D15"/>
    <w:rsid w:val="00EB3860"/>
    <w:rsid w:val="00EC330C"/>
    <w:rsid w:val="00EC6A23"/>
    <w:rsid w:val="00ED0547"/>
    <w:rsid w:val="00ED22CB"/>
    <w:rsid w:val="00ED4756"/>
    <w:rsid w:val="00EE393F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6758"/>
    <w:rsid w:val="00F30651"/>
    <w:rsid w:val="00F43EC4"/>
    <w:rsid w:val="00F45871"/>
    <w:rsid w:val="00F45BDE"/>
    <w:rsid w:val="00F47652"/>
    <w:rsid w:val="00F51C8E"/>
    <w:rsid w:val="00F55E3B"/>
    <w:rsid w:val="00F56AB7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B5176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B52D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17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1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0682321240844AAAE2CEDEEC35572" ma:contentTypeVersion="3" ma:contentTypeDescription="Vytvoří nový dokument" ma:contentTypeScope="" ma:versionID="3cb15d95fca71743c7028ba8197b9e5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2DWAXVAW3MHF-1200266458-11</_dlc_DocId>
    <_dlc_DocIdUrl xmlns="a7e37686-00e6-405d-9032-d05dd3ba55a9">
      <Url>http://vis.fnbrno.cz/c012/WebVZVZ/_layouts/15/DocIdRedir.aspx?ID=2DWAXVAW3MHF-1200266458-11</Url>
      <Description>2DWAXVAW3MHF-1200266458-11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5371-74FE-444F-AAC3-176C0984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7e37686-00e6-405d-9032-d05dd3ba55a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744454F-21D9-4A56-B0BC-2171B1AA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3273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Oškrdalová Tereza</cp:lastModifiedBy>
  <cp:revision>20</cp:revision>
  <cp:lastPrinted>2019-10-23T06:34:00Z</cp:lastPrinted>
  <dcterms:created xsi:type="dcterms:W3CDTF">2019-06-26T07:06:00Z</dcterms:created>
  <dcterms:modified xsi:type="dcterms:W3CDTF">2020-02-10T11:36:00Z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53bb6787-4a57-4482-9f26-d4df8792b113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0x01010027D0682321240844AAAE2CEDEEC35572</vt:lpwstr>
  </property>
</Properties>
</file>