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80"/>
      </w:tblGrid>
      <w:tr w:rsidR="009A5BCC" w:rsidTr="001C679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9A5BCC" w:rsidRPr="00FF4A20" w:rsidRDefault="005F54FC" w:rsidP="00D133F0">
            <w:pPr>
              <w:jc w:val="center"/>
              <w:rPr>
                <w:rFonts w:ascii="Calibri" w:hAnsi="Calibri"/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 xml:space="preserve">DODATEK Č. 1 </w:t>
            </w:r>
            <w:r w:rsidR="00321950">
              <w:rPr>
                <w:rFonts w:ascii="Calibri" w:hAnsi="Calibri"/>
                <w:b/>
                <w:sz w:val="20"/>
                <w:szCs w:val="20"/>
              </w:rPr>
              <w:t xml:space="preserve">K PŘÍLOZE Č. 7 </w:t>
            </w:r>
            <w:r w:rsidR="00D133F0">
              <w:rPr>
                <w:rFonts w:ascii="Calibri" w:hAnsi="Calibri"/>
                <w:b/>
                <w:sz w:val="20"/>
                <w:szCs w:val="20"/>
              </w:rPr>
              <w:t>SMLOUVY</w:t>
            </w:r>
            <w:r w:rsidR="00AD1798">
              <w:rPr>
                <w:rFonts w:ascii="Calibri" w:hAnsi="Calibri"/>
                <w:b/>
                <w:sz w:val="20"/>
                <w:szCs w:val="20"/>
              </w:rPr>
              <w:t xml:space="preserve"> RS534/2017/MG „</w:t>
            </w:r>
            <w:r w:rsidR="00321950">
              <w:rPr>
                <w:rFonts w:ascii="Calibri" w:hAnsi="Calibri"/>
                <w:b/>
                <w:caps/>
                <w:sz w:val="20"/>
                <w:szCs w:val="20"/>
              </w:rPr>
              <w:t>NÁJEMNÍ SMLOUVA</w:t>
            </w:r>
            <w:r w:rsidR="00F87DE9">
              <w:rPr>
                <w:rFonts w:ascii="Calibri" w:hAnsi="Calibri"/>
                <w:b/>
                <w:caps/>
                <w:sz w:val="20"/>
              </w:rPr>
              <w:t>“</w:t>
            </w:r>
          </w:p>
        </w:tc>
      </w:tr>
    </w:tbl>
    <w:p w:rsidR="009A5BCC" w:rsidRPr="005F54FC" w:rsidRDefault="009A5BCC" w:rsidP="005F54FC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>(dále v textu pouze jako „</w:t>
      </w:r>
      <w:r w:rsidR="005F54FC">
        <w:rPr>
          <w:rFonts w:ascii="Calibri" w:hAnsi="Calibri"/>
          <w:b/>
          <w:sz w:val="16"/>
          <w:szCs w:val="16"/>
        </w:rPr>
        <w:t>dodatek</w:t>
      </w:r>
      <w:r>
        <w:rPr>
          <w:rFonts w:ascii="Calibri" w:hAnsi="Calibri"/>
          <w:sz w:val="16"/>
          <w:szCs w:val="16"/>
        </w:rPr>
        <w:t>“)</w:t>
      </w:r>
    </w:p>
    <w:p w:rsidR="009A5BCC" w:rsidRDefault="009A5BCC" w:rsidP="009A5BCC">
      <w:pPr>
        <w:jc w:val="center"/>
        <w:rPr>
          <w:rFonts w:ascii="Calibri" w:hAnsi="Calibri"/>
          <w:sz w:val="16"/>
          <w:szCs w:val="16"/>
        </w:rPr>
      </w:pPr>
    </w:p>
    <w:p w:rsidR="009A5BCC" w:rsidRDefault="00636272" w:rsidP="009A5BCC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uzavřený</w:t>
      </w:r>
      <w:r w:rsidR="009A5BCC">
        <w:rPr>
          <w:rFonts w:ascii="Calibri" w:hAnsi="Calibri"/>
          <w:sz w:val="16"/>
          <w:szCs w:val="16"/>
        </w:rPr>
        <w:t xml:space="preserve"> dle příslušných ustanovení zákona č. 89/2012 Sb., občanského zákoníku, v platném znění (dále </w:t>
      </w:r>
      <w:r>
        <w:rPr>
          <w:rFonts w:ascii="Calibri" w:hAnsi="Calibri"/>
          <w:sz w:val="16"/>
          <w:szCs w:val="16"/>
        </w:rPr>
        <w:t>jen</w:t>
      </w:r>
      <w:r w:rsidR="009A5BCC">
        <w:rPr>
          <w:rFonts w:ascii="Calibri" w:hAnsi="Calibri"/>
          <w:sz w:val="16"/>
          <w:szCs w:val="16"/>
        </w:rPr>
        <w:t xml:space="preserve"> „občanský zákoník“)</w:t>
      </w:r>
    </w:p>
    <w:p w:rsidR="009A5BCC" w:rsidRDefault="009A5BCC" w:rsidP="009A5BCC">
      <w:pPr>
        <w:jc w:val="center"/>
        <w:rPr>
          <w:rFonts w:ascii="Calibri" w:hAnsi="Calibri"/>
          <w:sz w:val="16"/>
          <w:szCs w:val="16"/>
        </w:rPr>
      </w:pPr>
    </w:p>
    <w:p w:rsidR="009A5BCC" w:rsidRDefault="009A5BCC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smluvní strany:</w:t>
      </w:r>
    </w:p>
    <w:p w:rsidR="0052001C" w:rsidRDefault="0052001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Moravská galerie v Brně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Sídl</w:t>
      </w:r>
      <w:r w:rsidR="00087FD4">
        <w:rPr>
          <w:rFonts w:ascii="Calibri" w:hAnsi="Calibri"/>
          <w:sz w:val="20"/>
          <w:szCs w:val="20"/>
        </w:rPr>
        <w:t xml:space="preserve">o: </w:t>
      </w:r>
      <w:r>
        <w:rPr>
          <w:rFonts w:ascii="Calibri" w:hAnsi="Calibri"/>
          <w:sz w:val="20"/>
          <w:szCs w:val="20"/>
        </w:rPr>
        <w:t xml:space="preserve">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Husova 535/18, 662 26 Brno</w:t>
      </w:r>
    </w:p>
    <w:p w:rsidR="00087FD4" w:rsidRDefault="00087FD4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Statutární zástupce: </w:t>
      </w:r>
      <w:r>
        <w:rPr>
          <w:rFonts w:ascii="Calibri" w:hAnsi="Calibri"/>
          <w:sz w:val="20"/>
          <w:szCs w:val="20"/>
        </w:rPr>
        <w:tab/>
        <w:t>Mgr. Jan Press, ředitel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00094871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CZ</w:t>
      </w:r>
      <w:r>
        <w:rPr>
          <w:rFonts w:ascii="Calibri" w:hAnsi="Calibri"/>
          <w:bCs/>
          <w:sz w:val="20"/>
          <w:szCs w:val="20"/>
        </w:rPr>
        <w:t>00094871</w:t>
      </w:r>
    </w:p>
    <w:p w:rsidR="009A5BCC" w:rsidRDefault="00087FD4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info@moravska-galerie.cz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 straně jedné a dále v textu jen jako „</w:t>
      </w:r>
      <w:r w:rsidR="00167C7C">
        <w:rPr>
          <w:rFonts w:ascii="Calibri" w:hAnsi="Calibri"/>
          <w:b/>
          <w:sz w:val="20"/>
          <w:szCs w:val="20"/>
        </w:rPr>
        <w:t>Pronajimatel</w:t>
      </w:r>
      <w:r>
        <w:rPr>
          <w:rFonts w:ascii="Calibri" w:hAnsi="Calibri"/>
          <w:b/>
          <w:sz w:val="20"/>
          <w:szCs w:val="20"/>
        </w:rPr>
        <w:t>“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BD5335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IPO – STAR s. r. o.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Sídl</w:t>
      </w:r>
      <w:r w:rsidR="00087FD4">
        <w:rPr>
          <w:rFonts w:ascii="Calibri" w:hAnsi="Calibri"/>
          <w:sz w:val="20"/>
          <w:szCs w:val="20"/>
        </w:rPr>
        <w:t>o: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BD5335">
        <w:rPr>
          <w:rFonts w:ascii="Calibri" w:hAnsi="Calibri"/>
          <w:sz w:val="20"/>
          <w:szCs w:val="20"/>
        </w:rPr>
        <w:t>Hynaisova 692/13, 709 00 Ostrava – Mariánské Hory</w:t>
      </w:r>
    </w:p>
    <w:p w:rsidR="00087FD4" w:rsidRDefault="00087FD4" w:rsidP="00087FD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Statutární zástupce: </w:t>
      </w:r>
      <w:r>
        <w:rPr>
          <w:rFonts w:ascii="Calibri" w:hAnsi="Calibri"/>
          <w:sz w:val="20"/>
          <w:szCs w:val="20"/>
        </w:rPr>
        <w:tab/>
        <w:t>Ing. Radim Nováček, jednatel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BD5335">
        <w:rPr>
          <w:rFonts w:ascii="Calibri" w:hAnsi="Calibri"/>
          <w:bCs/>
          <w:sz w:val="20"/>
          <w:szCs w:val="20"/>
        </w:rPr>
        <w:t>60778156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9176EE">
        <w:rPr>
          <w:rFonts w:ascii="Calibri" w:hAnsi="Calibri"/>
          <w:sz w:val="20"/>
          <w:szCs w:val="20"/>
        </w:rPr>
        <w:t>CZ60778156</w:t>
      </w:r>
    </w:p>
    <w:p w:rsidR="00087FD4" w:rsidRDefault="00087FD4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sekretariat@ipo.eu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 straně druhé a dále v textu jen jako „</w:t>
      </w:r>
      <w:r w:rsidR="00167C7C">
        <w:rPr>
          <w:rFonts w:ascii="Calibri" w:hAnsi="Calibri"/>
          <w:b/>
          <w:sz w:val="20"/>
          <w:szCs w:val="20"/>
        </w:rPr>
        <w:t>Nájemce</w:t>
      </w:r>
      <w:r>
        <w:rPr>
          <w:rFonts w:ascii="Calibri" w:hAnsi="Calibri"/>
          <w:b/>
          <w:sz w:val="20"/>
          <w:szCs w:val="20"/>
        </w:rPr>
        <w:t>“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</w:p>
    <w:p w:rsidR="005F54FC" w:rsidRDefault="005F54F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 odvoláním na </w:t>
      </w:r>
      <w:r w:rsidR="00167C7C">
        <w:rPr>
          <w:rFonts w:ascii="Calibri" w:hAnsi="Calibri"/>
          <w:sz w:val="20"/>
          <w:szCs w:val="20"/>
        </w:rPr>
        <w:t>změny uvedené v d</w:t>
      </w:r>
      <w:r w:rsidR="005A58FE">
        <w:rPr>
          <w:rFonts w:ascii="Calibri" w:hAnsi="Calibri"/>
          <w:sz w:val="20"/>
          <w:szCs w:val="20"/>
        </w:rPr>
        <w:t>odatku č. 463/2019/MG</w:t>
      </w:r>
      <w:r w:rsidR="00167C7C">
        <w:rPr>
          <w:rFonts w:ascii="Calibri" w:hAnsi="Calibri"/>
          <w:sz w:val="20"/>
          <w:szCs w:val="20"/>
        </w:rPr>
        <w:t xml:space="preserve"> Smlo</w:t>
      </w:r>
      <w:r w:rsidR="00BF683F">
        <w:rPr>
          <w:rFonts w:ascii="Calibri" w:hAnsi="Calibri"/>
          <w:sz w:val="20"/>
          <w:szCs w:val="20"/>
        </w:rPr>
        <w:t>u</w:t>
      </w:r>
      <w:r w:rsidR="00167C7C">
        <w:rPr>
          <w:rFonts w:ascii="Calibri" w:hAnsi="Calibri"/>
          <w:sz w:val="20"/>
          <w:szCs w:val="20"/>
        </w:rPr>
        <w:t>vy o poskytování služeb uzavírají smluvní strany po vzájemné dohodě tento</w:t>
      </w:r>
      <w:r>
        <w:rPr>
          <w:rFonts w:ascii="Calibri" w:hAnsi="Calibri"/>
          <w:sz w:val="20"/>
          <w:szCs w:val="20"/>
        </w:rPr>
        <w:t>:</w:t>
      </w:r>
    </w:p>
    <w:p w:rsidR="005F54FC" w:rsidRDefault="005F54FC" w:rsidP="009A5BCC">
      <w:pPr>
        <w:jc w:val="both"/>
        <w:rPr>
          <w:rFonts w:ascii="Calibri" w:hAnsi="Calibri"/>
          <w:sz w:val="20"/>
          <w:szCs w:val="20"/>
        </w:rPr>
      </w:pPr>
    </w:p>
    <w:p w:rsidR="005F54FC" w:rsidRPr="005F54FC" w:rsidRDefault="005F54FC" w:rsidP="005F54FC">
      <w:pPr>
        <w:jc w:val="center"/>
        <w:rPr>
          <w:rFonts w:ascii="Calibri" w:hAnsi="Calibri"/>
          <w:b/>
          <w:bCs/>
          <w:sz w:val="20"/>
          <w:szCs w:val="20"/>
        </w:rPr>
      </w:pPr>
      <w:r w:rsidRPr="005F54FC">
        <w:rPr>
          <w:rFonts w:ascii="Calibri" w:hAnsi="Calibri"/>
          <w:b/>
          <w:bCs/>
          <w:sz w:val="20"/>
          <w:szCs w:val="20"/>
        </w:rPr>
        <w:t>dodatek č. 1</w:t>
      </w:r>
      <w:r>
        <w:rPr>
          <w:rFonts w:ascii="Calibri" w:hAnsi="Calibri"/>
          <w:b/>
          <w:bCs/>
          <w:sz w:val="20"/>
          <w:szCs w:val="20"/>
        </w:rPr>
        <w:t>.</w:t>
      </w:r>
    </w:p>
    <w:p w:rsidR="005F54FC" w:rsidRDefault="005F54FC" w:rsidP="009A5BCC">
      <w:pPr>
        <w:jc w:val="both"/>
        <w:rPr>
          <w:rFonts w:ascii="Calibri" w:hAnsi="Calibri"/>
          <w:sz w:val="20"/>
          <w:szCs w:val="20"/>
        </w:rPr>
      </w:pPr>
    </w:p>
    <w:p w:rsidR="009A5BCC" w:rsidRDefault="005F54F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9A5BCC" w:rsidRDefault="009A5BCC" w:rsidP="009A5BCC">
      <w:pPr>
        <w:jc w:val="both"/>
        <w:rPr>
          <w:rFonts w:ascii="Calibri" w:hAnsi="Calibri"/>
          <w:b/>
          <w:sz w:val="20"/>
          <w:szCs w:val="20"/>
        </w:rPr>
      </w:pPr>
    </w:p>
    <w:p w:rsidR="009A5BCC" w:rsidRDefault="00636272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Článek </w:t>
      </w:r>
      <w:r w:rsidR="009A5BCC">
        <w:rPr>
          <w:rFonts w:ascii="Calibri" w:hAnsi="Calibri"/>
          <w:b/>
          <w:sz w:val="20"/>
          <w:szCs w:val="20"/>
        </w:rPr>
        <w:t>I.</w:t>
      </w:r>
    </w:p>
    <w:p w:rsidR="009A5BCC" w:rsidRDefault="005F54FC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Úvodní ustanovení</w:t>
      </w:r>
    </w:p>
    <w:p w:rsidR="0052001C" w:rsidRDefault="0052001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E675CC" w:rsidRDefault="005F54FC" w:rsidP="00BF683F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Smluvní strany uzavřely dne 28. 12. 2017 </w:t>
      </w:r>
      <w:r w:rsidR="00E675CC">
        <w:rPr>
          <w:rFonts w:ascii="Calibri" w:hAnsi="Calibri"/>
          <w:sz w:val="20"/>
          <w:szCs w:val="20"/>
        </w:rPr>
        <w:t>„</w:t>
      </w:r>
      <w:r w:rsidR="0089499B">
        <w:rPr>
          <w:rFonts w:ascii="Calibri" w:hAnsi="Calibri"/>
          <w:sz w:val="20"/>
          <w:szCs w:val="20"/>
        </w:rPr>
        <w:t>Nájemní smlouvu</w:t>
      </w:r>
      <w:r w:rsidR="00E675CC">
        <w:rPr>
          <w:rFonts w:ascii="Calibri" w:hAnsi="Calibri"/>
          <w:sz w:val="20"/>
          <w:szCs w:val="20"/>
        </w:rPr>
        <w:t>“</w:t>
      </w:r>
      <w:r w:rsidR="00636272">
        <w:rPr>
          <w:rFonts w:ascii="Calibri" w:hAnsi="Calibri"/>
          <w:sz w:val="20"/>
          <w:szCs w:val="20"/>
        </w:rPr>
        <w:t xml:space="preserve"> (dále jen „smlouva“)</w:t>
      </w:r>
      <w:r w:rsidR="00E675CC">
        <w:rPr>
          <w:rFonts w:ascii="Calibri" w:hAnsi="Calibri"/>
          <w:sz w:val="20"/>
          <w:szCs w:val="20"/>
        </w:rPr>
        <w:t xml:space="preserve">, </w:t>
      </w:r>
      <w:r w:rsidR="00167C7C">
        <w:rPr>
          <w:rFonts w:ascii="Calibri" w:hAnsi="Calibri"/>
          <w:sz w:val="20"/>
          <w:szCs w:val="20"/>
        </w:rPr>
        <w:t xml:space="preserve">na </w:t>
      </w:r>
      <w:r w:rsidR="00E675CC">
        <w:rPr>
          <w:rFonts w:ascii="Calibri" w:hAnsi="Calibri"/>
          <w:sz w:val="20"/>
          <w:szCs w:val="20"/>
        </w:rPr>
        <w:t xml:space="preserve">jejímž </w:t>
      </w:r>
      <w:r w:rsidR="00167C7C">
        <w:rPr>
          <w:rFonts w:ascii="Calibri" w:hAnsi="Calibri"/>
          <w:sz w:val="20"/>
          <w:szCs w:val="20"/>
        </w:rPr>
        <w:t xml:space="preserve">základě se </w:t>
      </w:r>
      <w:r w:rsidR="00167C7C" w:rsidRPr="00167C7C">
        <w:rPr>
          <w:rFonts w:ascii="Calibri" w:hAnsi="Calibri"/>
          <w:sz w:val="20"/>
          <w:szCs w:val="20"/>
        </w:rPr>
        <w:t xml:space="preserve">Pronajímatel zavazuje přenechat Nájemci předmět nájmu </w:t>
      </w:r>
      <w:r w:rsidR="00167C7C" w:rsidRPr="00167C7C">
        <w:rPr>
          <w:rFonts w:ascii="Calibri" w:hAnsi="Calibri"/>
          <w:sz w:val="20"/>
          <w:szCs w:val="20"/>
        </w:rPr>
        <w:br/>
        <w:t>k dočasnému užívání a Nájemce se zavazuje platit za to Pronajímateli nájemné</w:t>
      </w:r>
      <w:r w:rsidR="00167C7C">
        <w:rPr>
          <w:rFonts w:ascii="Calibri" w:hAnsi="Calibri"/>
          <w:sz w:val="20"/>
          <w:szCs w:val="20"/>
        </w:rPr>
        <w:t>.</w:t>
      </w:r>
    </w:p>
    <w:p w:rsidR="00E675CC" w:rsidRDefault="00E675CC" w:rsidP="009A5BCC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Smluvní strany se dohodly </w:t>
      </w:r>
      <w:r w:rsidR="00636272">
        <w:rPr>
          <w:rFonts w:ascii="Calibri" w:hAnsi="Calibri"/>
          <w:sz w:val="20"/>
          <w:szCs w:val="20"/>
        </w:rPr>
        <w:t>na uzavření tohoto dodatku č. 1, kterým se shora uvedená smlouva mění způsobem a v rozsahu uvedeném v článku II. tohoto dodatku.</w:t>
      </w:r>
    </w:p>
    <w:p w:rsidR="00636272" w:rsidRDefault="00636272" w:rsidP="00636272">
      <w:pPr>
        <w:jc w:val="both"/>
        <w:rPr>
          <w:rFonts w:ascii="Calibri" w:hAnsi="Calibri"/>
          <w:sz w:val="20"/>
          <w:szCs w:val="20"/>
        </w:rPr>
      </w:pPr>
    </w:p>
    <w:p w:rsidR="00636272" w:rsidRDefault="00636272" w:rsidP="00636272">
      <w:pPr>
        <w:jc w:val="both"/>
        <w:rPr>
          <w:rFonts w:ascii="Calibri" w:hAnsi="Calibri"/>
          <w:sz w:val="20"/>
          <w:szCs w:val="20"/>
        </w:rPr>
      </w:pPr>
    </w:p>
    <w:p w:rsidR="00636272" w:rsidRPr="00636272" w:rsidRDefault="00636272" w:rsidP="00636272">
      <w:pPr>
        <w:jc w:val="both"/>
        <w:rPr>
          <w:rFonts w:ascii="Calibri" w:hAnsi="Calibri"/>
          <w:sz w:val="20"/>
          <w:szCs w:val="20"/>
        </w:rPr>
      </w:pPr>
    </w:p>
    <w:p w:rsidR="009A5BCC" w:rsidRDefault="009A5BC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9A5BCC" w:rsidRDefault="00636272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Článek </w:t>
      </w:r>
      <w:r w:rsidR="009A5BCC">
        <w:rPr>
          <w:rFonts w:ascii="Calibri" w:hAnsi="Calibri"/>
          <w:b/>
          <w:sz w:val="20"/>
          <w:szCs w:val="20"/>
        </w:rPr>
        <w:t>II.</w:t>
      </w:r>
    </w:p>
    <w:p w:rsidR="009A5BCC" w:rsidRDefault="00636272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Předmět dodatku</w:t>
      </w:r>
    </w:p>
    <w:p w:rsidR="00DE3B9A" w:rsidRDefault="00DE3B9A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52001C" w:rsidRDefault="00DE3B9A" w:rsidP="00BF68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1. </w:t>
      </w:r>
      <w:r>
        <w:rPr>
          <w:rFonts w:ascii="Calibri" w:hAnsi="Calibri"/>
          <w:b/>
          <w:sz w:val="20"/>
          <w:szCs w:val="20"/>
        </w:rPr>
        <w:tab/>
      </w:r>
      <w:r w:rsidR="00321950">
        <w:rPr>
          <w:rFonts w:ascii="Calibri" w:hAnsi="Calibri"/>
          <w:b/>
          <w:sz w:val="20"/>
          <w:szCs w:val="20"/>
        </w:rPr>
        <w:t>Č</w:t>
      </w:r>
      <w:r>
        <w:rPr>
          <w:rFonts w:ascii="Calibri" w:hAnsi="Calibri"/>
          <w:sz w:val="20"/>
          <w:szCs w:val="20"/>
        </w:rPr>
        <w:t>lánku III</w:t>
      </w:r>
      <w:r w:rsidR="00BF683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Předmět a účel nájmu </w:t>
      </w:r>
      <w:r w:rsidR="00321950">
        <w:rPr>
          <w:rFonts w:ascii="Calibri" w:hAnsi="Calibri"/>
          <w:sz w:val="20"/>
          <w:szCs w:val="20"/>
        </w:rPr>
        <w:t>se odstavce III.1 a III.2.</w:t>
      </w:r>
      <w:r>
        <w:rPr>
          <w:rFonts w:ascii="Calibri" w:hAnsi="Calibri"/>
          <w:sz w:val="20"/>
          <w:szCs w:val="20"/>
        </w:rPr>
        <w:t>se ruší a nahrazuj</w:t>
      </w:r>
      <w:r w:rsidR="00321950">
        <w:rPr>
          <w:rFonts w:ascii="Calibri" w:hAnsi="Calibri"/>
          <w:sz w:val="20"/>
          <w:szCs w:val="20"/>
        </w:rPr>
        <w:t>í</w:t>
      </w:r>
      <w:r>
        <w:rPr>
          <w:rFonts w:ascii="Calibri" w:hAnsi="Calibri"/>
          <w:sz w:val="20"/>
          <w:szCs w:val="20"/>
        </w:rPr>
        <w:t xml:space="preserve"> se nov</w:t>
      </w:r>
      <w:r w:rsidR="00321950">
        <w:rPr>
          <w:rFonts w:ascii="Calibri" w:hAnsi="Calibri"/>
          <w:sz w:val="20"/>
          <w:szCs w:val="20"/>
        </w:rPr>
        <w:t>ě</w:t>
      </w:r>
      <w:r>
        <w:rPr>
          <w:rFonts w:ascii="Calibri" w:hAnsi="Calibri"/>
          <w:sz w:val="20"/>
          <w:szCs w:val="20"/>
        </w:rPr>
        <w:t xml:space="preserve"> ve znění:</w:t>
      </w: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1"/>
          <w:numId w:val="14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eastAsia="en-US"/>
        </w:rPr>
      </w:pPr>
    </w:p>
    <w:p w:rsidR="00321950" w:rsidRPr="00BF683F" w:rsidRDefault="00321950" w:rsidP="00321950">
      <w:pPr>
        <w:pStyle w:val="Nadpis3"/>
        <w:ind w:left="0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 xml:space="preserve">Pronajímatel prohlašuje, že má mimo jiné právo hospodaření k následujícím nemovitostem v majetku ČR zapsaným v katastru nemovitostí Katastrálním úřadem pro Jihomoravský kraj, Katastrální pracoviště Brno-město, jmenovitě se pak jedná o: </w:t>
      </w:r>
    </w:p>
    <w:p w:rsidR="00321950" w:rsidRPr="00BF683F" w:rsidRDefault="00321950" w:rsidP="00321950">
      <w:pPr>
        <w:pStyle w:val="Nadpis3"/>
        <w:numPr>
          <w:ilvl w:val="2"/>
          <w:numId w:val="15"/>
        </w:numPr>
        <w:spacing w:before="0" w:after="0"/>
        <w:ind w:left="284" w:hanging="284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>budovu č. p. 535, která je součástí pozemku parc. č. 591, zastavěná plocha a nádvoří, vše zapsáno na LV č. 61 pro k. ú. Město Brno, obec Brno, okres Brno- město (dále také jen jako „Budova Pražákova paláce“);</w:t>
      </w:r>
    </w:p>
    <w:p w:rsidR="00321950" w:rsidRPr="00BF683F" w:rsidRDefault="00321950" w:rsidP="00321950">
      <w:pPr>
        <w:pStyle w:val="Nadpis3"/>
        <w:numPr>
          <w:ilvl w:val="2"/>
          <w:numId w:val="15"/>
        </w:numPr>
        <w:spacing w:before="0" w:after="0"/>
        <w:ind w:left="284" w:hanging="284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>budovu č. p. 1, která je součástí pozemku parc. č. 1, zastavěná plocha a nádvoří, vše zapsáno na LV č. 325 pro k. ú. Město Brno, obec Brno, okres Brno- město (dále také jen jako „Budova Místodržitelského paláce“);</w:t>
      </w:r>
    </w:p>
    <w:p w:rsidR="00321950" w:rsidRPr="00BF683F" w:rsidRDefault="00321950" w:rsidP="00321950">
      <w:pPr>
        <w:pStyle w:val="Nadpis3"/>
        <w:numPr>
          <w:ilvl w:val="2"/>
          <w:numId w:val="15"/>
        </w:numPr>
        <w:spacing w:before="0" w:after="0"/>
        <w:ind w:left="284" w:hanging="284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lastRenderedPageBreak/>
        <w:t>budovu č. p. 2209, která je součástí pozemku parc. č. 228/11, zastavěná plocha a nádvoří, vše zapsáno na LV č. 6673 pro k. ú. Řečkovice, obec Brno, okres Brno- město (dále také jen jako „Budova depozitáře v Řečkovicích“).</w:t>
      </w:r>
    </w:p>
    <w:p w:rsidR="00321950" w:rsidRPr="00BF683F" w:rsidRDefault="00321950" w:rsidP="00321950">
      <w:pPr>
        <w:pStyle w:val="Nadpis3"/>
        <w:ind w:left="0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 xml:space="preserve">Pronajímatel touto Smlouvou přenechává nájemci do nájmu: </w:t>
      </w:r>
    </w:p>
    <w:p w:rsidR="00321950" w:rsidRPr="00BF683F" w:rsidRDefault="00321950" w:rsidP="00321950">
      <w:pPr>
        <w:pStyle w:val="Nadpis3"/>
        <w:numPr>
          <w:ilvl w:val="2"/>
          <w:numId w:val="16"/>
        </w:numPr>
        <w:spacing w:before="0" w:after="0"/>
        <w:ind w:left="284" w:hanging="284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>část místnosti č. S209 (šatna) ve 2. podzemním podlaží o výměře 2 m</w:t>
      </w:r>
      <w:r w:rsidRPr="00BF683F">
        <w:rPr>
          <w:rFonts w:ascii="Calibri" w:hAnsi="Calibri" w:cs="Calibri"/>
          <w:sz w:val="20"/>
          <w:vertAlign w:val="superscript"/>
        </w:rPr>
        <w:t>2</w:t>
      </w:r>
      <w:r w:rsidRPr="00BF683F">
        <w:rPr>
          <w:rFonts w:ascii="Calibri" w:hAnsi="Calibri" w:cs="Calibri"/>
          <w:sz w:val="20"/>
        </w:rPr>
        <w:t xml:space="preserve"> a místnost č. 529 (úklidová komora) v 5. nadzemním podlaží o výměře 1 m</w:t>
      </w:r>
      <w:r w:rsidRPr="00BF683F">
        <w:rPr>
          <w:rFonts w:ascii="Calibri" w:hAnsi="Calibri" w:cs="Calibri"/>
          <w:sz w:val="20"/>
          <w:vertAlign w:val="superscript"/>
        </w:rPr>
        <w:t>2</w:t>
      </w:r>
      <w:r w:rsidRPr="00BF683F">
        <w:rPr>
          <w:rFonts w:ascii="Calibri" w:hAnsi="Calibri" w:cs="Calibri"/>
          <w:sz w:val="20"/>
        </w:rPr>
        <w:t xml:space="preserve"> Budovy Pražákova paláce, tak jak jsou vymezeny v náčrtu (barevně vyšrafováno), který je nedílnou součástí této Smlouvy </w:t>
      </w:r>
      <w:r w:rsidRPr="00BF683F">
        <w:rPr>
          <w:rFonts w:ascii="Calibri" w:hAnsi="Calibri" w:cs="Calibri"/>
          <w:sz w:val="20"/>
        </w:rPr>
        <w:br/>
        <w:t xml:space="preserve">a tvoří její přílohu č. 1 (takto specifikované prostory dále také jen jako „předmět nájmu 1“), </w:t>
      </w:r>
    </w:p>
    <w:p w:rsidR="00321950" w:rsidRPr="00BF683F" w:rsidRDefault="00321950" w:rsidP="00321950">
      <w:pPr>
        <w:pStyle w:val="Nadpis3"/>
        <w:numPr>
          <w:ilvl w:val="2"/>
          <w:numId w:val="16"/>
        </w:numPr>
        <w:spacing w:before="0" w:after="0"/>
        <w:ind w:left="284" w:hanging="284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>část místnosti č. 134 (šatna) v 1. nadzemním podlaží o výměře 2 m</w:t>
      </w:r>
      <w:r w:rsidRPr="00BF683F">
        <w:rPr>
          <w:rFonts w:ascii="Calibri" w:hAnsi="Calibri" w:cs="Calibri"/>
          <w:sz w:val="20"/>
          <w:vertAlign w:val="superscript"/>
        </w:rPr>
        <w:t>2</w:t>
      </w:r>
      <w:r w:rsidRPr="00BF683F">
        <w:rPr>
          <w:rFonts w:ascii="Calibri" w:hAnsi="Calibri" w:cs="Calibri"/>
          <w:sz w:val="20"/>
        </w:rPr>
        <w:t>, místnost č. 203 (úklidová komora) v 2. nadzemním podlaží o výměře 2 m</w:t>
      </w:r>
      <w:r w:rsidRPr="00BF683F">
        <w:rPr>
          <w:rFonts w:ascii="Calibri" w:hAnsi="Calibri" w:cs="Calibri"/>
          <w:sz w:val="20"/>
          <w:vertAlign w:val="superscript"/>
        </w:rPr>
        <w:t>2</w:t>
      </w:r>
      <w:r w:rsidRPr="00BF683F">
        <w:rPr>
          <w:rFonts w:ascii="Calibri" w:hAnsi="Calibri" w:cs="Calibri"/>
          <w:sz w:val="20"/>
        </w:rPr>
        <w:t xml:space="preserve"> a místnost č. 302 (úklidová komora) v 3. nadzemním podlaží o výměře 4 m</w:t>
      </w:r>
      <w:r w:rsidRPr="00BF683F">
        <w:rPr>
          <w:rFonts w:ascii="Calibri" w:hAnsi="Calibri" w:cs="Calibri"/>
          <w:sz w:val="20"/>
          <w:vertAlign w:val="superscript"/>
        </w:rPr>
        <w:t>2</w:t>
      </w:r>
      <w:r w:rsidRPr="00BF683F">
        <w:rPr>
          <w:rFonts w:ascii="Calibri" w:hAnsi="Calibri" w:cs="Calibri"/>
          <w:sz w:val="20"/>
        </w:rPr>
        <w:t xml:space="preserve"> Budovy Místodržitelského paláce, tak jak jsou vymezeny </w:t>
      </w:r>
      <w:r w:rsidRPr="00BF683F">
        <w:rPr>
          <w:rFonts w:ascii="Calibri" w:hAnsi="Calibri" w:cs="Calibri"/>
          <w:sz w:val="20"/>
        </w:rPr>
        <w:br/>
        <w:t>v náčrtu (barevně vyšrafováno), který je nedílnou součástí této Smlouvy a tvoří její přílohu č. 3 (takto specifikované prostory dále také jen jako „předmět nájmu 3“),</w:t>
      </w:r>
    </w:p>
    <w:p w:rsidR="00321950" w:rsidRPr="00BF683F" w:rsidRDefault="00321950" w:rsidP="00321950">
      <w:pPr>
        <w:pStyle w:val="Nadpis3"/>
        <w:numPr>
          <w:ilvl w:val="2"/>
          <w:numId w:val="16"/>
        </w:numPr>
        <w:spacing w:before="0" w:after="0"/>
        <w:ind w:left="284" w:hanging="284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>část místnosti č. 112 (šatna) v 1. nadzemním podlaží o výměře 1 m</w:t>
      </w:r>
      <w:r w:rsidRPr="00BF683F">
        <w:rPr>
          <w:rFonts w:ascii="Calibri" w:hAnsi="Calibri" w:cs="Calibri"/>
          <w:sz w:val="20"/>
          <w:vertAlign w:val="superscript"/>
        </w:rPr>
        <w:t>2</w:t>
      </w:r>
      <w:r w:rsidRPr="00BF683F">
        <w:rPr>
          <w:rFonts w:ascii="Calibri" w:hAnsi="Calibri" w:cs="Calibri"/>
          <w:sz w:val="20"/>
        </w:rPr>
        <w:t xml:space="preserve"> a část místnosti č. 118 (úklidová komora) v 1. nadzemním podlaží o výměře 4,5 m</w:t>
      </w:r>
      <w:r w:rsidRPr="00BF683F">
        <w:rPr>
          <w:rFonts w:ascii="Calibri" w:hAnsi="Calibri" w:cs="Calibri"/>
          <w:sz w:val="20"/>
          <w:vertAlign w:val="superscript"/>
        </w:rPr>
        <w:t>2</w:t>
      </w:r>
      <w:r w:rsidRPr="00BF683F">
        <w:rPr>
          <w:rFonts w:ascii="Calibri" w:hAnsi="Calibri" w:cs="Calibri"/>
          <w:sz w:val="20"/>
        </w:rPr>
        <w:t xml:space="preserve"> Budovy depozitáře </w:t>
      </w:r>
      <w:r w:rsidRPr="00BF683F">
        <w:rPr>
          <w:rFonts w:ascii="Calibri" w:hAnsi="Calibri" w:cs="Calibri"/>
          <w:sz w:val="20"/>
        </w:rPr>
        <w:br/>
        <w:t>v Řečkovicích, tak jak jsou vymezeny v náčrtu (barevně vyšrafováno), který je nedílnou součástí této Smlouvy a tvoří její přílohu č. 4 (takto specifikované prostory dále také jen jako „předmět nájmu 4“);</w:t>
      </w:r>
    </w:p>
    <w:p w:rsidR="00321950" w:rsidRDefault="00321950" w:rsidP="00BF683F">
      <w:pPr>
        <w:rPr>
          <w:rFonts w:ascii="Calibri" w:hAnsi="Calibri"/>
          <w:b/>
          <w:sz w:val="20"/>
          <w:szCs w:val="20"/>
        </w:rPr>
      </w:pPr>
    </w:p>
    <w:p w:rsidR="00321950" w:rsidRDefault="00321950" w:rsidP="00BF68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2.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V článku V. </w:t>
      </w:r>
      <w:r w:rsidRPr="00321950">
        <w:rPr>
          <w:rFonts w:ascii="Calibri" w:hAnsi="Calibri"/>
          <w:sz w:val="20"/>
          <w:szCs w:val="20"/>
        </w:rPr>
        <w:t>Výše a splatnost nájemného a služeb</w:t>
      </w:r>
      <w:r>
        <w:rPr>
          <w:rFonts w:ascii="Calibri" w:hAnsi="Calibri"/>
          <w:sz w:val="20"/>
          <w:szCs w:val="20"/>
        </w:rPr>
        <w:t xml:space="preserve"> se odstavce V.1. a V.4.</w:t>
      </w:r>
      <w:r w:rsidR="00B86846">
        <w:rPr>
          <w:rFonts w:ascii="Calibri" w:hAnsi="Calibri"/>
          <w:sz w:val="20"/>
          <w:szCs w:val="20"/>
        </w:rPr>
        <w:t>a V.5.</w:t>
      </w:r>
      <w:r>
        <w:rPr>
          <w:rFonts w:ascii="Calibri" w:hAnsi="Calibri"/>
          <w:sz w:val="20"/>
          <w:szCs w:val="20"/>
        </w:rPr>
        <w:t xml:space="preserve"> ruší a nahrazuje se novým ve znění:</w:t>
      </w:r>
    </w:p>
    <w:p w:rsidR="00321950" w:rsidRPr="00321950" w:rsidRDefault="00321950" w:rsidP="00BF683F">
      <w:pPr>
        <w:rPr>
          <w:rFonts w:ascii="Calibri" w:hAnsi="Calibri"/>
          <w:sz w:val="20"/>
          <w:szCs w:val="20"/>
        </w:rPr>
      </w:pPr>
    </w:p>
    <w:p w:rsidR="00321950" w:rsidRPr="00BF683F" w:rsidRDefault="00321950" w:rsidP="00BF683F">
      <w:pPr>
        <w:rPr>
          <w:rFonts w:ascii="Calibri" w:hAnsi="Calibri"/>
          <w:sz w:val="20"/>
          <w:szCs w:val="20"/>
        </w:rPr>
      </w:pPr>
      <w:r w:rsidRPr="00BF683F">
        <w:rPr>
          <w:rFonts w:ascii="Calibri" w:hAnsi="Calibri"/>
          <w:sz w:val="20"/>
          <w:szCs w:val="20"/>
        </w:rPr>
        <w:t>V.1.</w:t>
      </w:r>
      <w:r w:rsidRPr="00BF683F">
        <w:rPr>
          <w:rFonts w:ascii="Calibri" w:hAnsi="Calibri"/>
          <w:sz w:val="20"/>
          <w:szCs w:val="20"/>
        </w:rPr>
        <w:tab/>
        <w:t>Výše nájemného je stanovena dohodou obou smluvních stran ve výši 1.619,- Kč měsíčně. V případě, že nájemce je plátcem daně z přidané hodnoty, je pronajímatel za předpokladu, je-li i on v rozhodné době plátcem DPH, oprávněn k výše dohodnutému nájemnému, připočíst daň z přidané hodnoty v zákonné výši.</w:t>
      </w:r>
    </w:p>
    <w:p w:rsidR="00321950" w:rsidRPr="00BF683F" w:rsidRDefault="00321950" w:rsidP="00BF683F">
      <w:pPr>
        <w:rPr>
          <w:rFonts w:ascii="Calibri" w:hAnsi="Calibri"/>
          <w:sz w:val="20"/>
          <w:szCs w:val="20"/>
        </w:rPr>
      </w:pPr>
    </w:p>
    <w:p w:rsidR="00321950" w:rsidRPr="00BF683F" w:rsidRDefault="00321950" w:rsidP="00BF683F">
      <w:pPr>
        <w:rPr>
          <w:rFonts w:ascii="Calibri" w:hAnsi="Calibri"/>
          <w:sz w:val="20"/>
          <w:szCs w:val="20"/>
        </w:rPr>
      </w:pPr>
      <w:r w:rsidRPr="00BF683F">
        <w:rPr>
          <w:rFonts w:ascii="Calibri" w:hAnsi="Calibri"/>
          <w:sz w:val="20"/>
          <w:szCs w:val="20"/>
        </w:rPr>
        <w:t>V.4.</w:t>
      </w:r>
      <w:r w:rsidRPr="00BF683F">
        <w:rPr>
          <w:rFonts w:ascii="Calibri" w:hAnsi="Calibri"/>
          <w:sz w:val="20"/>
          <w:szCs w:val="20"/>
        </w:rPr>
        <w:tab/>
        <w:t>Náklady na služby se zavazuje nájemce platit pronajímateli tak, že paušál za elektrickou energii je ve výši 56,- Kč měsíčně bez DPH a paušál za dodávku vody ve výši 44,- Kč měsíčně bez DPH. Pronajímatel je oprávněn k nákladům na služby připočíst daň z přidané hodnoty v zákonné výši. Platby jsou splatné spolu s běžným nájemným a nájemce je povinen je hradit stejným způsobem jako nájemné. Pronajímatel je oprávněn jednostranně zvýšit zálohové platby tak, aby jejich výše odpovídala skutečným měsíčním nákladům na služby zjištěným z posledního vyúčtování provedeného před takovým zvýšením. Zvýšení je účinné od kalendářního měsíce následujícího po měsíci, ve kterém bylo pronajímatelem nájemci písemně oznámeno.</w:t>
      </w:r>
    </w:p>
    <w:p w:rsidR="00321950" w:rsidRDefault="00321950" w:rsidP="00BF683F">
      <w:pPr>
        <w:rPr>
          <w:rFonts w:ascii="Calibri" w:hAnsi="Calibri"/>
          <w:b/>
          <w:sz w:val="20"/>
          <w:szCs w:val="20"/>
        </w:rPr>
      </w:pPr>
    </w:p>
    <w:p w:rsidR="00B86846" w:rsidRPr="00B86846" w:rsidRDefault="00B86846" w:rsidP="00BF683F">
      <w:pPr>
        <w:rPr>
          <w:rFonts w:ascii="Calibri" w:hAnsi="Calibri"/>
          <w:sz w:val="20"/>
          <w:szCs w:val="20"/>
        </w:rPr>
      </w:pPr>
      <w:r w:rsidRPr="00B86846">
        <w:rPr>
          <w:rFonts w:ascii="Calibri" w:hAnsi="Calibri"/>
          <w:b/>
          <w:sz w:val="20"/>
          <w:szCs w:val="20"/>
        </w:rPr>
        <w:t>V.5.</w:t>
      </w:r>
      <w:r w:rsidRPr="00B86846">
        <w:rPr>
          <w:rFonts w:ascii="Calibri" w:hAnsi="Calibri"/>
          <w:b/>
          <w:sz w:val="20"/>
          <w:szCs w:val="20"/>
        </w:rPr>
        <w:tab/>
      </w:r>
      <w:r w:rsidRPr="00B86846">
        <w:rPr>
          <w:rFonts w:ascii="Calibri" w:hAnsi="Calibri"/>
          <w:sz w:val="20"/>
          <w:szCs w:val="20"/>
        </w:rPr>
        <w:t xml:space="preserve">Nájemce složí nejpozději do 3 dnů od uzavření této Smlouvy jistotu ve výši 1.619,- Kč (slovy: </w:t>
      </w:r>
      <w:r w:rsidR="005A58FE">
        <w:rPr>
          <w:rFonts w:ascii="Calibri" w:hAnsi="Calibri"/>
          <w:sz w:val="20"/>
          <w:szCs w:val="20"/>
        </w:rPr>
        <w:t xml:space="preserve">jeden </w:t>
      </w:r>
      <w:r w:rsidR="00C07803">
        <w:rPr>
          <w:rFonts w:ascii="Calibri" w:hAnsi="Calibri"/>
          <w:sz w:val="20"/>
          <w:szCs w:val="20"/>
        </w:rPr>
        <w:t>tisíc</w:t>
      </w:r>
      <w:r w:rsidR="005A58FE">
        <w:rPr>
          <w:rFonts w:ascii="Calibri" w:hAnsi="Calibri"/>
          <w:sz w:val="20"/>
          <w:szCs w:val="20"/>
        </w:rPr>
        <w:t xml:space="preserve"> </w:t>
      </w:r>
      <w:r w:rsidRPr="00B86846">
        <w:rPr>
          <w:rFonts w:ascii="Calibri" w:hAnsi="Calibri"/>
          <w:sz w:val="20"/>
          <w:szCs w:val="20"/>
        </w:rPr>
        <w:t xml:space="preserve"> </w:t>
      </w:r>
      <w:r w:rsidR="00C07803">
        <w:rPr>
          <w:rFonts w:ascii="Calibri" w:hAnsi="Calibri"/>
          <w:sz w:val="20"/>
          <w:szCs w:val="20"/>
        </w:rPr>
        <w:t xml:space="preserve">šest set </w:t>
      </w:r>
      <w:r w:rsidRPr="00B86846">
        <w:rPr>
          <w:rFonts w:ascii="Calibri" w:hAnsi="Calibri"/>
          <w:sz w:val="20"/>
          <w:szCs w:val="20"/>
        </w:rPr>
        <w:t xml:space="preserve"> </w:t>
      </w:r>
      <w:r w:rsidR="00C07803">
        <w:rPr>
          <w:rFonts w:ascii="Calibri" w:hAnsi="Calibri"/>
          <w:sz w:val="20"/>
          <w:szCs w:val="20"/>
        </w:rPr>
        <w:t>devatenáct</w:t>
      </w:r>
      <w:r w:rsidRPr="00B86846">
        <w:rPr>
          <w:rFonts w:ascii="Calibri" w:hAnsi="Calibri"/>
          <w:sz w:val="20"/>
          <w:szCs w:val="20"/>
        </w:rPr>
        <w:t xml:space="preserve"> korun českých) k rukám pronajímatele. Pronajímatel je oprávněn ze složené jistoty uhradit dlužné nájemné, náklady na služby s nájmem spojené, případné sankce vyplývající z této Smlouvy či obecně závazných předpisů popř. škodu, kterou nájemce pronajímateli způsobí. V případě skončení nájmu je pronajímatel povinen složenou jistotu, respektive její část zbývající po započtení všech pohledávek pronajímatele vůči nájemci vzniklých v souvislosti s touto Smlouvou (zejména pohledávek na zaplacení dlužného nájemného, záloh, smluvních pokut a pohledávek na náhradu škody) vrátit nejpozději v den skončení nájmu.</w:t>
      </w:r>
    </w:p>
    <w:p w:rsidR="00DE3B9A" w:rsidRDefault="00DE3B9A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087FD4" w:rsidRDefault="00321950" w:rsidP="009A5BCC">
      <w:pPr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="009A5BCC">
        <w:rPr>
          <w:rFonts w:ascii="Calibri" w:hAnsi="Calibri"/>
          <w:b/>
          <w:sz w:val="20"/>
          <w:szCs w:val="20"/>
        </w:rPr>
        <w:t xml:space="preserve">. </w:t>
      </w:r>
      <w:r w:rsidR="009A5BCC">
        <w:rPr>
          <w:rFonts w:ascii="Calibri" w:hAnsi="Calibri"/>
          <w:sz w:val="20"/>
          <w:szCs w:val="20"/>
        </w:rPr>
        <w:tab/>
      </w:r>
      <w:r w:rsidR="00636272">
        <w:rPr>
          <w:rFonts w:ascii="Calibri" w:hAnsi="Calibri"/>
          <w:sz w:val="20"/>
          <w:szCs w:val="20"/>
        </w:rPr>
        <w:t xml:space="preserve">V článku </w:t>
      </w:r>
      <w:r w:rsidR="00BA4D84">
        <w:rPr>
          <w:rFonts w:ascii="Calibri" w:hAnsi="Calibri"/>
          <w:sz w:val="20"/>
          <w:szCs w:val="20"/>
        </w:rPr>
        <w:t>V</w:t>
      </w:r>
      <w:r w:rsidR="0042767B">
        <w:rPr>
          <w:rFonts w:ascii="Calibri" w:hAnsi="Calibri"/>
          <w:sz w:val="20"/>
          <w:szCs w:val="20"/>
        </w:rPr>
        <w:t>III</w:t>
      </w:r>
      <w:r w:rsidR="00636272">
        <w:rPr>
          <w:rFonts w:ascii="Calibri" w:hAnsi="Calibri"/>
          <w:sz w:val="20"/>
          <w:szCs w:val="20"/>
        </w:rPr>
        <w:t xml:space="preserve">. </w:t>
      </w:r>
      <w:r w:rsidR="00BA4D84">
        <w:rPr>
          <w:rFonts w:ascii="Calibri" w:hAnsi="Calibri"/>
          <w:sz w:val="20"/>
          <w:szCs w:val="20"/>
        </w:rPr>
        <w:t xml:space="preserve">Doba trvání nájmu </w:t>
      </w:r>
      <w:r w:rsidR="00636272">
        <w:rPr>
          <w:rFonts w:ascii="Calibri" w:hAnsi="Calibri"/>
          <w:sz w:val="20"/>
          <w:szCs w:val="20"/>
        </w:rPr>
        <w:t>se odstav</w:t>
      </w:r>
      <w:r w:rsidR="001D493B">
        <w:rPr>
          <w:rFonts w:ascii="Calibri" w:hAnsi="Calibri"/>
          <w:sz w:val="20"/>
          <w:szCs w:val="20"/>
        </w:rPr>
        <w:t>ec</w:t>
      </w:r>
      <w:r w:rsidR="00BA4D84">
        <w:rPr>
          <w:rFonts w:ascii="Calibri" w:hAnsi="Calibri"/>
          <w:sz w:val="20"/>
          <w:szCs w:val="20"/>
        </w:rPr>
        <w:t xml:space="preserve"> VIII.2.</w:t>
      </w:r>
      <w:r w:rsidR="00636272">
        <w:rPr>
          <w:rFonts w:ascii="Calibri" w:hAnsi="Calibri"/>
          <w:sz w:val="20"/>
          <w:szCs w:val="20"/>
        </w:rPr>
        <w:t xml:space="preserve"> ruší a nahrazuje se novým ve znění: </w:t>
      </w: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0"/>
          <w:numId w:val="14"/>
        </w:numPr>
        <w:pBdr>
          <w:bottom w:val="single" w:sz="12" w:space="1" w:color="FF0000"/>
        </w:pBdr>
        <w:spacing w:before="240" w:after="60" w:line="276" w:lineRule="auto"/>
        <w:ind w:left="0"/>
        <w:contextualSpacing w:val="0"/>
        <w:jc w:val="center"/>
        <w:outlineLvl w:val="0"/>
        <w:rPr>
          <w:rFonts w:ascii="Cambria" w:hAnsi="Cambria"/>
          <w:b/>
          <w:bCs/>
          <w:vanish/>
          <w:kern w:val="32"/>
          <w:sz w:val="28"/>
          <w:szCs w:val="32"/>
          <w:lang w:eastAsia="en-US"/>
        </w:rPr>
      </w:pPr>
    </w:p>
    <w:p w:rsidR="00321950" w:rsidRPr="00321950" w:rsidRDefault="00321950" w:rsidP="00321950">
      <w:pPr>
        <w:pStyle w:val="Odstavecseseznamem"/>
        <w:keepNext/>
        <w:numPr>
          <w:ilvl w:val="1"/>
          <w:numId w:val="14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eastAsia="en-US"/>
        </w:rPr>
      </w:pPr>
    </w:p>
    <w:p w:rsidR="00321950" w:rsidRPr="00321950" w:rsidRDefault="00321950" w:rsidP="00321950">
      <w:pPr>
        <w:pStyle w:val="Odstavecseseznamem"/>
        <w:numPr>
          <w:ilvl w:val="2"/>
          <w:numId w:val="14"/>
        </w:numPr>
        <w:spacing w:before="240" w:after="60" w:line="276" w:lineRule="auto"/>
        <w:contextualSpacing w:val="0"/>
        <w:jc w:val="both"/>
        <w:outlineLvl w:val="2"/>
        <w:rPr>
          <w:rFonts w:ascii="Cambria" w:hAnsi="Cambria"/>
          <w:bCs/>
          <w:vanish/>
          <w:sz w:val="22"/>
          <w:lang w:eastAsia="en-US"/>
        </w:rPr>
      </w:pPr>
    </w:p>
    <w:p w:rsidR="00EA1F42" w:rsidRPr="00BF683F" w:rsidRDefault="00EA1F42" w:rsidP="00321950">
      <w:pPr>
        <w:pStyle w:val="Nadpis3"/>
        <w:ind w:left="0"/>
        <w:rPr>
          <w:rFonts w:ascii="Calibri" w:hAnsi="Calibri" w:cs="Calibri"/>
          <w:sz w:val="20"/>
        </w:rPr>
      </w:pPr>
      <w:r w:rsidRPr="00BF683F">
        <w:rPr>
          <w:rFonts w:ascii="Calibri" w:hAnsi="Calibri" w:cs="Calibri"/>
          <w:sz w:val="20"/>
        </w:rPr>
        <w:t>Tato Smlouva se uzavírá na dobu určitou, a to od počátku účinnosti této Smlouvy</w:t>
      </w:r>
      <w:r w:rsidRPr="00BF683F" w:rsidDel="004916A7">
        <w:rPr>
          <w:rFonts w:ascii="Calibri" w:hAnsi="Calibri" w:cs="Calibri"/>
          <w:sz w:val="20"/>
        </w:rPr>
        <w:t xml:space="preserve"> </w:t>
      </w:r>
      <w:r w:rsidRPr="00BF683F">
        <w:rPr>
          <w:rFonts w:ascii="Calibri" w:hAnsi="Calibri" w:cs="Calibri"/>
          <w:sz w:val="20"/>
        </w:rPr>
        <w:t>v délce trvání dle čl. II  odst. 2 Dodatku č. 1</w:t>
      </w:r>
      <w:r w:rsidR="0033542A">
        <w:rPr>
          <w:rFonts w:ascii="Calibri" w:hAnsi="Calibri" w:cs="Calibri"/>
          <w:sz w:val="20"/>
        </w:rPr>
        <w:t xml:space="preserve"> D463/2019/MG</w:t>
      </w:r>
      <w:r w:rsidRPr="00BF683F">
        <w:rPr>
          <w:rFonts w:ascii="Calibri" w:hAnsi="Calibri" w:cs="Calibri"/>
          <w:sz w:val="20"/>
        </w:rPr>
        <w:t xml:space="preserve"> Smlouvy hlavní, tj. doba trvání této Smlouvy skončí nejpozději uplynutím doby trvání Dodatku č. 1</w:t>
      </w:r>
      <w:r w:rsidR="0033542A">
        <w:rPr>
          <w:rFonts w:ascii="Calibri" w:hAnsi="Calibri" w:cs="Calibri"/>
          <w:sz w:val="20"/>
        </w:rPr>
        <w:t xml:space="preserve"> D463/2019/MG</w:t>
      </w:r>
      <w:r w:rsidRPr="00BF683F">
        <w:rPr>
          <w:rFonts w:ascii="Calibri" w:hAnsi="Calibri" w:cs="Calibri"/>
          <w:sz w:val="20"/>
        </w:rPr>
        <w:t xml:space="preserve"> Smlouvy hlavní, na jejímž trvání je tato Smlouva závislá</w:t>
      </w:r>
    </w:p>
    <w:p w:rsidR="0042767B" w:rsidRDefault="0042767B" w:rsidP="00F750D0">
      <w:pPr>
        <w:jc w:val="both"/>
        <w:rPr>
          <w:rFonts w:ascii="Calibri" w:hAnsi="Calibri"/>
          <w:sz w:val="20"/>
          <w:szCs w:val="20"/>
        </w:rPr>
      </w:pPr>
    </w:p>
    <w:p w:rsidR="009A5BCC" w:rsidRDefault="009A5BCC" w:rsidP="009A5BCC">
      <w:pPr>
        <w:rPr>
          <w:rFonts w:ascii="Calibri" w:hAnsi="Calibri"/>
          <w:b/>
          <w:sz w:val="20"/>
          <w:szCs w:val="20"/>
        </w:rPr>
      </w:pPr>
    </w:p>
    <w:p w:rsidR="00162595" w:rsidRDefault="00162595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162595" w:rsidRDefault="00162595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162595" w:rsidRDefault="00162595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9A5BCC" w:rsidRDefault="00F750D0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Článek </w:t>
      </w:r>
      <w:r w:rsidR="009A5BCC">
        <w:rPr>
          <w:rFonts w:ascii="Calibri" w:hAnsi="Calibri"/>
          <w:b/>
          <w:sz w:val="20"/>
          <w:szCs w:val="20"/>
        </w:rPr>
        <w:t>III.</w:t>
      </w:r>
    </w:p>
    <w:p w:rsidR="009A5BCC" w:rsidRDefault="00F750D0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Závěrečná ustanovení</w:t>
      </w:r>
    </w:p>
    <w:p w:rsidR="0052001C" w:rsidRDefault="0052001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F750D0" w:rsidRDefault="00F750D0" w:rsidP="009A5BC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Ostatní ujednání smlouvy, která nejsou tímto </w:t>
      </w:r>
      <w:r w:rsidR="0033542A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odatkem č. 1 dotčena, zůstávají beze změny.</w:t>
      </w:r>
    </w:p>
    <w:p w:rsidR="009A5BCC" w:rsidRDefault="00F750D0" w:rsidP="009A5BC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Dodatek č. 1 je vyhotoven </w:t>
      </w:r>
      <w:r w:rsidRPr="003E1443">
        <w:rPr>
          <w:rFonts w:asciiTheme="minorHAnsi" w:hAnsiTheme="minorHAnsi" w:cs="Arial"/>
          <w:sz w:val="20"/>
          <w:szCs w:val="20"/>
        </w:rPr>
        <w:t xml:space="preserve">ve 4 stejnopisech s platností originálu, z nichž dva obdrží </w:t>
      </w:r>
      <w:r>
        <w:rPr>
          <w:rFonts w:asciiTheme="minorHAnsi" w:hAnsiTheme="minorHAnsi" w:cs="Arial"/>
          <w:sz w:val="20"/>
          <w:szCs w:val="20"/>
        </w:rPr>
        <w:t>o</w:t>
      </w:r>
      <w:r w:rsidRPr="003E1443">
        <w:rPr>
          <w:rFonts w:asciiTheme="minorHAnsi" w:hAnsiTheme="minorHAnsi" w:cs="Arial"/>
          <w:sz w:val="20"/>
          <w:szCs w:val="20"/>
        </w:rPr>
        <w:t xml:space="preserve">bjednatel a dva </w:t>
      </w:r>
      <w:r w:rsidR="00337707">
        <w:rPr>
          <w:rFonts w:asciiTheme="minorHAnsi" w:hAnsiTheme="minorHAnsi" w:cs="Arial"/>
          <w:sz w:val="20"/>
          <w:szCs w:val="20"/>
        </w:rPr>
        <w:t>poskytovatel</w:t>
      </w:r>
      <w:r w:rsidRPr="003E1443">
        <w:rPr>
          <w:rFonts w:asciiTheme="minorHAnsi" w:hAnsiTheme="minorHAnsi" w:cs="Arial"/>
          <w:sz w:val="20"/>
          <w:szCs w:val="20"/>
        </w:rPr>
        <w:t xml:space="preserve">. </w:t>
      </w:r>
      <w:r w:rsidR="00337707">
        <w:rPr>
          <w:rFonts w:asciiTheme="minorHAnsi" w:hAnsiTheme="minorHAnsi" w:cs="Arial"/>
          <w:sz w:val="20"/>
          <w:szCs w:val="20"/>
        </w:rPr>
        <w:t xml:space="preserve">Tento dodatek </w:t>
      </w:r>
      <w:r w:rsidR="00337707">
        <w:rPr>
          <w:rFonts w:ascii="Calibri" w:hAnsi="Calibri"/>
          <w:sz w:val="20"/>
          <w:szCs w:val="20"/>
        </w:rPr>
        <w:t>nabývá platnosti a účinnosti dnem podpisu oprávněnými zástupci obou smluvních stran.</w:t>
      </w:r>
    </w:p>
    <w:p w:rsidR="00337707" w:rsidRPr="00337707" w:rsidRDefault="00337707" w:rsidP="00337707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337707">
        <w:rPr>
          <w:rFonts w:asciiTheme="minorHAnsi" w:hAnsiTheme="minorHAnsi"/>
          <w:sz w:val="20"/>
          <w:szCs w:val="20"/>
        </w:rPr>
        <w:t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</w:t>
      </w:r>
      <w:r w:rsidRPr="00337707">
        <w:rPr>
          <w:rFonts w:asciiTheme="minorHAnsi" w:hAnsiTheme="minorHAnsi" w:cs="Arial"/>
          <w:sz w:val="20"/>
          <w:szCs w:val="20"/>
        </w:rPr>
        <w:t xml:space="preserve"> </w:t>
      </w:r>
      <w:hyperlink r:id="rId8" w:history="1">
        <w:r w:rsidR="00344570" w:rsidRPr="0070637D">
          <w:rPr>
            <w:rStyle w:val="Hypertextovodkaz"/>
            <w:rFonts w:asciiTheme="minorHAnsi" w:hAnsiTheme="minorHAnsi" w:cs="Arial"/>
            <w:sz w:val="20"/>
            <w:szCs w:val="20"/>
          </w:rPr>
          <w:t>zbynek.kroca@moravska-galerie.cz</w:t>
        </w:r>
      </w:hyperlink>
      <w:r w:rsidRPr="00337707">
        <w:rPr>
          <w:rFonts w:asciiTheme="minorHAnsi" w:hAnsiTheme="minorHAnsi" w:cs="Arial"/>
          <w:sz w:val="20"/>
          <w:szCs w:val="20"/>
        </w:rPr>
        <w:t xml:space="preserve">, </w:t>
      </w:r>
      <w:hyperlink r:id="rId9" w:history="1">
        <w:r w:rsidRPr="00337707">
          <w:rPr>
            <w:rStyle w:val="Hypertextovodkaz"/>
            <w:rFonts w:asciiTheme="minorHAnsi" w:hAnsiTheme="minorHAnsi" w:cs="Arial"/>
            <w:sz w:val="20"/>
            <w:szCs w:val="20"/>
          </w:rPr>
          <w:t>sekretariat@ipo.eu</w:t>
        </w:r>
      </w:hyperlink>
      <w:r w:rsidRPr="00337707">
        <w:rPr>
          <w:rFonts w:asciiTheme="minorHAnsi" w:hAnsiTheme="minorHAnsi" w:cs="Arial"/>
          <w:sz w:val="20"/>
          <w:szCs w:val="20"/>
        </w:rPr>
        <w:t>.</w:t>
      </w:r>
    </w:p>
    <w:p w:rsidR="00337707" w:rsidRPr="001B0150" w:rsidRDefault="00337707" w:rsidP="001B015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1B0150">
        <w:rPr>
          <w:rFonts w:asciiTheme="minorHAnsi" w:hAnsiTheme="minorHAnsi"/>
          <w:sz w:val="20"/>
          <w:szCs w:val="20"/>
        </w:rPr>
        <w:t xml:space="preserve">Smluvní strany prohlašují, že </w:t>
      </w:r>
      <w:r w:rsidR="001B0150">
        <w:rPr>
          <w:rFonts w:asciiTheme="minorHAnsi" w:hAnsiTheme="minorHAnsi"/>
          <w:sz w:val="20"/>
          <w:szCs w:val="20"/>
        </w:rPr>
        <w:t xml:space="preserve">si dodatek č. 1 před jeho podpisem přečetly, s jeho </w:t>
      </w:r>
      <w:r w:rsidRPr="001B0150">
        <w:rPr>
          <w:rFonts w:asciiTheme="minorHAnsi" w:hAnsiTheme="minorHAnsi"/>
          <w:sz w:val="20"/>
          <w:szCs w:val="20"/>
        </w:rPr>
        <w:t>obsah</w:t>
      </w:r>
      <w:r w:rsidR="001B0150">
        <w:rPr>
          <w:rFonts w:asciiTheme="minorHAnsi" w:hAnsiTheme="minorHAnsi"/>
          <w:sz w:val="20"/>
          <w:szCs w:val="20"/>
        </w:rPr>
        <w:t>em souhlasí,</w:t>
      </w:r>
      <w:r w:rsidRPr="001B0150">
        <w:rPr>
          <w:rFonts w:asciiTheme="minorHAnsi" w:hAnsiTheme="minorHAnsi"/>
          <w:sz w:val="20"/>
          <w:szCs w:val="20"/>
        </w:rPr>
        <w:t xml:space="preserve"> a že </w:t>
      </w:r>
      <w:r w:rsidR="001B0150">
        <w:rPr>
          <w:rFonts w:asciiTheme="minorHAnsi" w:hAnsiTheme="minorHAnsi"/>
          <w:sz w:val="20"/>
          <w:szCs w:val="20"/>
        </w:rPr>
        <w:t>jej</w:t>
      </w:r>
      <w:r w:rsidRPr="001B0150">
        <w:rPr>
          <w:rFonts w:asciiTheme="minorHAnsi" w:hAnsiTheme="minorHAnsi"/>
          <w:sz w:val="20"/>
          <w:szCs w:val="20"/>
        </w:rPr>
        <w:t xml:space="preserve"> uzavřely na základě své </w:t>
      </w:r>
      <w:r w:rsidR="001B0150">
        <w:rPr>
          <w:rFonts w:asciiTheme="minorHAnsi" w:hAnsiTheme="minorHAnsi"/>
          <w:sz w:val="20"/>
          <w:szCs w:val="20"/>
        </w:rPr>
        <w:t xml:space="preserve">pravé a </w:t>
      </w:r>
      <w:r w:rsidRPr="001B0150">
        <w:rPr>
          <w:rFonts w:asciiTheme="minorHAnsi" w:hAnsiTheme="minorHAnsi"/>
          <w:sz w:val="20"/>
          <w:szCs w:val="20"/>
        </w:rPr>
        <w:t>svobodné vůle. Na důkaz této skutečnosti připojují své podpisy.</w:t>
      </w:r>
    </w:p>
    <w:p w:rsidR="001B0150" w:rsidRDefault="001B0150" w:rsidP="001B0150">
      <w:pPr>
        <w:jc w:val="both"/>
        <w:rPr>
          <w:rFonts w:asciiTheme="minorHAnsi" w:hAnsiTheme="minorHAnsi" w:cs="Arial"/>
          <w:sz w:val="20"/>
          <w:szCs w:val="20"/>
        </w:rPr>
      </w:pPr>
    </w:p>
    <w:p w:rsidR="00337707" w:rsidRPr="001B0150" w:rsidRDefault="00337707" w:rsidP="001B0150">
      <w:pPr>
        <w:jc w:val="both"/>
        <w:rPr>
          <w:rFonts w:ascii="Calibri" w:hAnsi="Calibri"/>
          <w:sz w:val="20"/>
          <w:szCs w:val="20"/>
        </w:rPr>
      </w:pPr>
      <w:r w:rsidRPr="001B0150">
        <w:rPr>
          <w:rFonts w:asciiTheme="minorHAnsi" w:hAnsiTheme="minorHAnsi" w:cs="Arial"/>
          <w:sz w:val="20"/>
          <w:szCs w:val="20"/>
        </w:rPr>
        <w:t xml:space="preserve"> </w:t>
      </w:r>
      <w:r w:rsidRPr="001B0150">
        <w:rPr>
          <w:rFonts w:asciiTheme="minorHAnsi" w:hAnsiTheme="minorHAnsi"/>
          <w:sz w:val="20"/>
          <w:szCs w:val="20"/>
        </w:rPr>
        <w:t xml:space="preserve">  </w:t>
      </w:r>
    </w:p>
    <w:p w:rsidR="00337707" w:rsidRDefault="00337707" w:rsidP="00F750D0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9A5BCC" w:rsidTr="001C6798">
        <w:tc>
          <w:tcPr>
            <w:tcW w:w="4321" w:type="dxa"/>
          </w:tcPr>
          <w:p w:rsidR="009A5BCC" w:rsidRDefault="00F87DE9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 Brně, dne </w:t>
            </w:r>
            <w:r w:rsidR="00A31B80">
              <w:rPr>
                <w:rFonts w:ascii="Calibri" w:hAnsi="Calibri"/>
                <w:sz w:val="20"/>
                <w:szCs w:val="20"/>
              </w:rPr>
              <w:t>30</w:t>
            </w:r>
            <w:r w:rsidR="001B0150">
              <w:rPr>
                <w:rFonts w:ascii="Calibri" w:hAnsi="Calibri"/>
                <w:sz w:val="20"/>
                <w:szCs w:val="20"/>
              </w:rPr>
              <w:t>.12.2019</w:t>
            </w:r>
          </w:p>
          <w:p w:rsidR="009A5BCC" w:rsidRPr="0074748D" w:rsidRDefault="009A5BCC" w:rsidP="001C6798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  <w:p w:rsidR="009A5BCC" w:rsidRDefault="009A5BCC" w:rsidP="001C6798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objednatel: </w:t>
            </w: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</w:t>
            </w:r>
          </w:p>
          <w:p w:rsidR="009A5BCC" w:rsidRDefault="009A5BCC" w:rsidP="001B015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Moravská galerie v Brně</w:t>
            </w:r>
          </w:p>
          <w:p w:rsidR="009A5BCC" w:rsidRDefault="009A5BCC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Jan Press, ředitel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9A5BCC" w:rsidRDefault="00403BE0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 Ostravě, dne </w:t>
            </w:r>
            <w:r w:rsidR="00A31B80">
              <w:rPr>
                <w:rFonts w:ascii="Calibri" w:hAnsi="Calibri"/>
                <w:sz w:val="20"/>
                <w:szCs w:val="20"/>
              </w:rPr>
              <w:t>30</w:t>
            </w:r>
            <w:r w:rsidR="001B0150">
              <w:rPr>
                <w:rFonts w:ascii="Calibri" w:hAnsi="Calibri"/>
                <w:sz w:val="20"/>
                <w:szCs w:val="20"/>
              </w:rPr>
              <w:t>.12.2019</w:t>
            </w: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1B0150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poskytovatel</w:t>
            </w:r>
            <w:r w:rsidR="009A5BCC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</w:t>
            </w:r>
          </w:p>
          <w:p w:rsidR="009A5BCC" w:rsidRDefault="00403BE0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IPO  - STAR s.r.o.</w:t>
            </w:r>
          </w:p>
          <w:p w:rsidR="009A5BCC" w:rsidRDefault="00403BE0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Radim Nováček, jednatel</w:t>
            </w:r>
          </w:p>
        </w:tc>
      </w:tr>
    </w:tbl>
    <w:p w:rsidR="00E64524" w:rsidRDefault="00E64524" w:rsidP="00E60CC9"/>
    <w:sectPr w:rsidR="00E64524" w:rsidSect="001C67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93" w:rsidRDefault="00CD7193" w:rsidP="00E60CC9">
      <w:r>
        <w:separator/>
      </w:r>
    </w:p>
  </w:endnote>
  <w:endnote w:type="continuationSeparator" w:id="0">
    <w:p w:rsidR="00CD7193" w:rsidRDefault="00CD7193" w:rsidP="00E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4824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6B77" w:rsidRDefault="007E6B7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53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533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E6B77" w:rsidRDefault="007E6B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93" w:rsidRDefault="00CD7193" w:rsidP="00E60CC9">
      <w:r>
        <w:separator/>
      </w:r>
    </w:p>
  </w:footnote>
  <w:footnote w:type="continuationSeparator" w:id="0">
    <w:p w:rsidR="00CD7193" w:rsidRDefault="00CD7193" w:rsidP="00E6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EB6"/>
    <w:multiLevelType w:val="hybridMultilevel"/>
    <w:tmpl w:val="866C791C"/>
    <w:lvl w:ilvl="0" w:tplc="AAA63E88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E1C"/>
    <w:multiLevelType w:val="hybridMultilevel"/>
    <w:tmpl w:val="D74CFDA8"/>
    <w:lvl w:ilvl="0" w:tplc="AD64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61DA"/>
    <w:multiLevelType w:val="hybridMultilevel"/>
    <w:tmpl w:val="11AC55D6"/>
    <w:lvl w:ilvl="0" w:tplc="6332FE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37F2"/>
    <w:multiLevelType w:val="multilevel"/>
    <w:tmpl w:val="14767ADC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269" w:firstLine="0"/>
      </w:pPr>
      <w:rPr>
        <w:rFonts w:ascii="Symbol" w:hAnsi="Symbol" w:hint="default"/>
        <w:b w:val="0"/>
        <w:i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4">
    <w:nsid w:val="37474CE9"/>
    <w:multiLevelType w:val="hybridMultilevel"/>
    <w:tmpl w:val="B42A62C4"/>
    <w:lvl w:ilvl="0" w:tplc="68BE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D4A88"/>
    <w:multiLevelType w:val="hybridMultilevel"/>
    <w:tmpl w:val="3D42618A"/>
    <w:lvl w:ilvl="0" w:tplc="F886DE6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1E8D"/>
    <w:multiLevelType w:val="hybridMultilevel"/>
    <w:tmpl w:val="AF5E410C"/>
    <w:lvl w:ilvl="0" w:tplc="AC2A594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20A9C"/>
    <w:multiLevelType w:val="multilevel"/>
    <w:tmpl w:val="FAF6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C07F8"/>
    <w:multiLevelType w:val="hybridMultilevel"/>
    <w:tmpl w:val="54C68DBA"/>
    <w:lvl w:ilvl="0" w:tplc="807A6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4275B"/>
    <w:multiLevelType w:val="multilevel"/>
    <w:tmpl w:val="14767ADC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269" w:firstLine="0"/>
      </w:pPr>
      <w:rPr>
        <w:rFonts w:ascii="Symbol" w:hAnsi="Symbol" w:hint="default"/>
        <w:b w:val="0"/>
        <w:i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0">
    <w:nsid w:val="72242E03"/>
    <w:multiLevelType w:val="hybridMultilevel"/>
    <w:tmpl w:val="738638FE"/>
    <w:lvl w:ilvl="0" w:tplc="D1F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FA37F0"/>
    <w:multiLevelType w:val="hybridMultilevel"/>
    <w:tmpl w:val="738638FE"/>
    <w:lvl w:ilvl="0" w:tplc="D1F6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07D2B"/>
    <w:multiLevelType w:val="hybridMultilevel"/>
    <w:tmpl w:val="D6B202F8"/>
    <w:lvl w:ilvl="0" w:tplc="CB7CD0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10DC1"/>
    <w:multiLevelType w:val="hybridMultilevel"/>
    <w:tmpl w:val="B06CA736"/>
    <w:lvl w:ilvl="0" w:tplc="317CD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87039"/>
    <w:multiLevelType w:val="multilevel"/>
    <w:tmpl w:val="E806BFE4"/>
    <w:lvl w:ilvl="0">
      <w:start w:val="1"/>
      <w:numFmt w:val="upperRoman"/>
      <w:pStyle w:val="Nadpis1"/>
      <w:lvlText w:val="%1."/>
      <w:lvlJc w:val="left"/>
      <w:pPr>
        <w:ind w:left="2694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decimal"/>
      <w:pStyle w:val="Nadpis3"/>
      <w:lvlText w:val="%1.%3."/>
      <w:lvlJc w:val="left"/>
      <w:pPr>
        <w:ind w:left="2269" w:firstLine="0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9"/>
    <w:rsid w:val="00007910"/>
    <w:rsid w:val="000264E1"/>
    <w:rsid w:val="00051B7C"/>
    <w:rsid w:val="00087FD4"/>
    <w:rsid w:val="00114384"/>
    <w:rsid w:val="00155A22"/>
    <w:rsid w:val="00162595"/>
    <w:rsid w:val="00167C7C"/>
    <w:rsid w:val="001B0150"/>
    <w:rsid w:val="001B2446"/>
    <w:rsid w:val="001C6798"/>
    <w:rsid w:val="001D493B"/>
    <w:rsid w:val="00217B35"/>
    <w:rsid w:val="0029109A"/>
    <w:rsid w:val="00293359"/>
    <w:rsid w:val="0030372F"/>
    <w:rsid w:val="003124BD"/>
    <w:rsid w:val="00321950"/>
    <w:rsid w:val="00321DF7"/>
    <w:rsid w:val="0033323A"/>
    <w:rsid w:val="0033542A"/>
    <w:rsid w:val="00337707"/>
    <w:rsid w:val="00344570"/>
    <w:rsid w:val="003619E0"/>
    <w:rsid w:val="003667E3"/>
    <w:rsid w:val="00385622"/>
    <w:rsid w:val="00385F50"/>
    <w:rsid w:val="0038728F"/>
    <w:rsid w:val="003D07BD"/>
    <w:rsid w:val="003F15EE"/>
    <w:rsid w:val="00403BE0"/>
    <w:rsid w:val="00405894"/>
    <w:rsid w:val="004066D2"/>
    <w:rsid w:val="00410350"/>
    <w:rsid w:val="00426BEB"/>
    <w:rsid w:val="0042767B"/>
    <w:rsid w:val="004948A8"/>
    <w:rsid w:val="0052001C"/>
    <w:rsid w:val="00576EB5"/>
    <w:rsid w:val="005771F0"/>
    <w:rsid w:val="005A58FE"/>
    <w:rsid w:val="005F4EEC"/>
    <w:rsid w:val="005F54FC"/>
    <w:rsid w:val="00636272"/>
    <w:rsid w:val="007255D6"/>
    <w:rsid w:val="0074748D"/>
    <w:rsid w:val="0076657D"/>
    <w:rsid w:val="007A1B4B"/>
    <w:rsid w:val="007E6B77"/>
    <w:rsid w:val="00830653"/>
    <w:rsid w:val="00861E1D"/>
    <w:rsid w:val="0089499B"/>
    <w:rsid w:val="008A5B9C"/>
    <w:rsid w:val="008D6E31"/>
    <w:rsid w:val="009176EE"/>
    <w:rsid w:val="00924059"/>
    <w:rsid w:val="00930B42"/>
    <w:rsid w:val="00995597"/>
    <w:rsid w:val="00997F1A"/>
    <w:rsid w:val="009A5BCC"/>
    <w:rsid w:val="009B3881"/>
    <w:rsid w:val="009F08C3"/>
    <w:rsid w:val="009F286E"/>
    <w:rsid w:val="00A31B80"/>
    <w:rsid w:val="00AD1798"/>
    <w:rsid w:val="00B86846"/>
    <w:rsid w:val="00B944F9"/>
    <w:rsid w:val="00B95174"/>
    <w:rsid w:val="00BA4D84"/>
    <w:rsid w:val="00BB5331"/>
    <w:rsid w:val="00BC65BC"/>
    <w:rsid w:val="00BD4FC2"/>
    <w:rsid w:val="00BD5335"/>
    <w:rsid w:val="00BE746F"/>
    <w:rsid w:val="00BF51FA"/>
    <w:rsid w:val="00BF683F"/>
    <w:rsid w:val="00C07803"/>
    <w:rsid w:val="00C2666D"/>
    <w:rsid w:val="00C8256E"/>
    <w:rsid w:val="00CD7193"/>
    <w:rsid w:val="00D035B4"/>
    <w:rsid w:val="00D133F0"/>
    <w:rsid w:val="00D739C8"/>
    <w:rsid w:val="00DA3D56"/>
    <w:rsid w:val="00DB5BDA"/>
    <w:rsid w:val="00DE1FE9"/>
    <w:rsid w:val="00DE3B9A"/>
    <w:rsid w:val="00DE5BB7"/>
    <w:rsid w:val="00DE7E6A"/>
    <w:rsid w:val="00DF4656"/>
    <w:rsid w:val="00E056D4"/>
    <w:rsid w:val="00E14C67"/>
    <w:rsid w:val="00E60CC9"/>
    <w:rsid w:val="00E64524"/>
    <w:rsid w:val="00E675CC"/>
    <w:rsid w:val="00EA1F42"/>
    <w:rsid w:val="00EA6F9F"/>
    <w:rsid w:val="00F750D0"/>
    <w:rsid w:val="00F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1F42"/>
    <w:pPr>
      <w:keepNext/>
      <w:numPr>
        <w:numId w:val="14"/>
      </w:numPr>
      <w:pBdr>
        <w:bottom w:val="single" w:sz="12" w:space="1" w:color="FF0000"/>
      </w:pBdr>
      <w:spacing w:before="240" w:after="60" w:line="276" w:lineRule="auto"/>
      <w:ind w:left="0"/>
      <w:jc w:val="center"/>
      <w:outlineLvl w:val="0"/>
    </w:pPr>
    <w:rPr>
      <w:rFonts w:ascii="Cambria" w:hAnsi="Cambria"/>
      <w:b/>
      <w:bC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A1F42"/>
    <w:pPr>
      <w:keepNext/>
      <w:numPr>
        <w:ilvl w:val="1"/>
        <w:numId w:val="14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EA1F42"/>
    <w:pPr>
      <w:numPr>
        <w:ilvl w:val="2"/>
        <w:numId w:val="14"/>
      </w:numPr>
      <w:spacing w:before="240" w:after="60" w:line="276" w:lineRule="auto"/>
      <w:jc w:val="both"/>
      <w:outlineLvl w:val="2"/>
    </w:pPr>
    <w:rPr>
      <w:rFonts w:ascii="Cambria" w:hAnsi="Cambria"/>
      <w:bCs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A5B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B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A5BC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B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B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BC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A1B4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FD4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5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5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1F42"/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EA1F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A1F42"/>
    <w:rPr>
      <w:rFonts w:ascii="Cambria" w:eastAsia="Times New Roman" w:hAnsi="Cambria" w:cs="Times New Roman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1F42"/>
    <w:pPr>
      <w:keepNext/>
      <w:numPr>
        <w:numId w:val="14"/>
      </w:numPr>
      <w:pBdr>
        <w:bottom w:val="single" w:sz="12" w:space="1" w:color="FF0000"/>
      </w:pBdr>
      <w:spacing w:before="240" w:after="60" w:line="276" w:lineRule="auto"/>
      <w:ind w:left="0"/>
      <w:jc w:val="center"/>
      <w:outlineLvl w:val="0"/>
    </w:pPr>
    <w:rPr>
      <w:rFonts w:ascii="Cambria" w:hAnsi="Cambria"/>
      <w:b/>
      <w:bC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A1F42"/>
    <w:pPr>
      <w:keepNext/>
      <w:numPr>
        <w:ilvl w:val="1"/>
        <w:numId w:val="14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EA1F42"/>
    <w:pPr>
      <w:numPr>
        <w:ilvl w:val="2"/>
        <w:numId w:val="14"/>
      </w:numPr>
      <w:spacing w:before="240" w:after="60" w:line="276" w:lineRule="auto"/>
      <w:jc w:val="both"/>
      <w:outlineLvl w:val="2"/>
    </w:pPr>
    <w:rPr>
      <w:rFonts w:ascii="Cambria" w:hAnsi="Cambria"/>
      <w:bCs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A5B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B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A5BC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B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B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BC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A1B4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FD4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5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5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1F42"/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EA1F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A1F42"/>
    <w:rPr>
      <w:rFonts w:ascii="Cambria" w:eastAsia="Times New Roman" w:hAnsi="Cambria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nek.kroca@moravska-galer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ipo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Kneslová Petra</cp:lastModifiedBy>
  <cp:revision>2</cp:revision>
  <cp:lastPrinted>2020-01-08T10:37:00Z</cp:lastPrinted>
  <dcterms:created xsi:type="dcterms:W3CDTF">2020-02-10T09:46:00Z</dcterms:created>
  <dcterms:modified xsi:type="dcterms:W3CDTF">2020-02-10T09:46:00Z</dcterms:modified>
</cp:coreProperties>
</file>