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F66" w:rsidRDefault="0093037D">
      <w:pPr>
        <w:spacing w:after="170"/>
      </w:pPr>
      <w:r>
        <w:rPr>
          <w:rFonts w:cs="Arial"/>
          <w:b/>
          <w:bCs/>
          <w:sz w:val="32"/>
          <w:szCs w:val="32"/>
        </w:rPr>
        <w:t>Příloha č. 1 Funkční požadavky</w:t>
      </w:r>
    </w:p>
    <w:p w:rsidR="00D27F66" w:rsidRDefault="0093037D">
      <w:pPr>
        <w:spacing w:after="170"/>
      </w:pPr>
      <w:r>
        <w:rPr>
          <w:b/>
          <w:bCs/>
          <w:sz w:val="24"/>
        </w:rPr>
        <w:t>1. Systémové požadavky</w:t>
      </w:r>
    </w:p>
    <w:tbl>
      <w:tblPr>
        <w:tblW w:w="14570" w:type="dxa"/>
        <w:tblCellMar>
          <w:left w:w="30" w:type="dxa"/>
          <w:right w:w="30" w:type="dxa"/>
        </w:tblCellMar>
        <w:tblLook w:val="04A0" w:firstRow="1" w:lastRow="0" w:firstColumn="1" w:lastColumn="0" w:noHBand="0" w:noVBand="1"/>
      </w:tblPr>
      <w:tblGrid>
        <w:gridCol w:w="791"/>
        <w:gridCol w:w="8561"/>
        <w:gridCol w:w="1250"/>
        <w:gridCol w:w="1250"/>
        <w:gridCol w:w="1416"/>
        <w:gridCol w:w="1302"/>
      </w:tblGrid>
      <w:tr w:rsidR="00D27F66">
        <w:trPr>
          <w:cantSplit/>
          <w:trHeight w:val="510"/>
          <w:tblHeader/>
        </w:trPr>
        <w:tc>
          <w:tcPr>
            <w:tcW w:w="791" w:type="dxa"/>
            <w:shd w:val="clear" w:color="auto" w:fill="auto"/>
            <w:vAlign w:val="center"/>
          </w:tcPr>
          <w:p w:rsidR="00D27F66" w:rsidRDefault="00D27F66">
            <w:pPr>
              <w:jc w:val="center"/>
              <w:rPr>
                <w:sz w:val="20"/>
                <w:szCs w:val="20"/>
              </w:rPr>
            </w:pPr>
          </w:p>
        </w:tc>
        <w:tc>
          <w:tcPr>
            <w:tcW w:w="8564" w:type="dxa"/>
            <w:tcBorders>
              <w:top w:val="single" w:sz="4" w:space="0" w:color="000000"/>
              <w:left w:val="single" w:sz="4" w:space="0" w:color="000000"/>
              <w:bottom w:val="single" w:sz="4" w:space="0" w:color="000000"/>
            </w:tcBorders>
            <w:shd w:val="clear" w:color="auto" w:fill="E6E6E6"/>
            <w:tcMar>
              <w:left w:w="0" w:type="dxa"/>
              <w:right w:w="0" w:type="dxa"/>
            </w:tcMar>
            <w:vAlign w:val="center"/>
          </w:tcPr>
          <w:p w:rsidR="00D27F66" w:rsidRDefault="0093037D">
            <w:r>
              <w:rPr>
                <w:b/>
                <w:color w:val="000000"/>
                <w:szCs w:val="22"/>
              </w:rPr>
              <w:t>Požadavek na funkcionalitu</w:t>
            </w:r>
          </w:p>
        </w:tc>
        <w:tc>
          <w:tcPr>
            <w:tcW w:w="1246" w:type="dxa"/>
            <w:tcBorders>
              <w:top w:val="single" w:sz="4" w:space="0" w:color="000000"/>
              <w:left w:val="single" w:sz="4" w:space="0" w:color="000000"/>
              <w:bottom w:val="single" w:sz="4" w:space="0" w:color="000000"/>
            </w:tcBorders>
            <w:shd w:val="clear" w:color="auto" w:fill="E6E6E6"/>
            <w:tcMar>
              <w:left w:w="0" w:type="dxa"/>
              <w:right w:w="0" w:type="dxa"/>
            </w:tcMar>
            <w:vAlign w:val="center"/>
          </w:tcPr>
          <w:p w:rsidR="00D27F66" w:rsidRDefault="0093037D">
            <w:pPr>
              <w:jc w:val="center"/>
            </w:pPr>
            <w:r>
              <w:rPr>
                <w:rFonts w:ascii="Arial Narrow" w:hAnsi="Arial Narrow"/>
                <w:b/>
                <w:sz w:val="20"/>
                <w:szCs w:val="20"/>
              </w:rPr>
              <w:t>Body významnosti funkcionality</w:t>
            </w:r>
          </w:p>
        </w:tc>
        <w:tc>
          <w:tcPr>
            <w:tcW w:w="1250" w:type="dxa"/>
            <w:tcBorders>
              <w:top w:val="single" w:sz="4" w:space="0" w:color="000000"/>
              <w:left w:val="single" w:sz="4" w:space="0" w:color="000000"/>
              <w:bottom w:val="single" w:sz="4" w:space="0" w:color="000000"/>
            </w:tcBorders>
            <w:shd w:val="clear" w:color="auto" w:fill="E6E6E6"/>
            <w:tcMar>
              <w:left w:w="0" w:type="dxa"/>
              <w:right w:w="0" w:type="dxa"/>
            </w:tcMar>
            <w:vAlign w:val="center"/>
          </w:tcPr>
          <w:p w:rsidR="00D27F66" w:rsidRDefault="0093037D">
            <w:pPr>
              <w:jc w:val="center"/>
            </w:pPr>
            <w:r>
              <w:rPr>
                <w:rFonts w:ascii="Arial Narrow" w:hAnsi="Arial Narrow"/>
                <w:b/>
                <w:sz w:val="20"/>
                <w:szCs w:val="20"/>
              </w:rPr>
              <w:t>Standardní funkcionalita</w:t>
            </w:r>
          </w:p>
        </w:tc>
        <w:tc>
          <w:tcPr>
            <w:tcW w:w="1416" w:type="dxa"/>
            <w:tcBorders>
              <w:top w:val="single" w:sz="4" w:space="0" w:color="000000"/>
              <w:left w:val="single" w:sz="4" w:space="0" w:color="000000"/>
              <w:bottom w:val="single" w:sz="4" w:space="0" w:color="000000"/>
            </w:tcBorders>
            <w:shd w:val="clear" w:color="auto" w:fill="E6E6E6"/>
            <w:tcMar>
              <w:left w:w="0" w:type="dxa"/>
              <w:right w:w="0" w:type="dxa"/>
            </w:tcMar>
            <w:vAlign w:val="center"/>
          </w:tcPr>
          <w:p w:rsidR="00D27F66" w:rsidRDefault="0093037D">
            <w:pPr>
              <w:jc w:val="center"/>
            </w:pPr>
            <w:r>
              <w:rPr>
                <w:rFonts w:ascii="Arial Narrow" w:hAnsi="Arial Narrow"/>
                <w:b/>
                <w:sz w:val="20"/>
                <w:szCs w:val="20"/>
              </w:rPr>
              <w:t>Bude doplněno / doprogramováno</w:t>
            </w:r>
          </w:p>
        </w:tc>
        <w:tc>
          <w:tcPr>
            <w:tcW w:w="1302" w:type="dxa"/>
            <w:tcBorders>
              <w:top w:val="single" w:sz="4" w:space="0" w:color="000000"/>
              <w:left w:val="single" w:sz="4" w:space="0" w:color="000000"/>
              <w:bottom w:val="single" w:sz="4" w:space="0" w:color="000000"/>
              <w:right w:val="single" w:sz="4" w:space="0" w:color="000000"/>
            </w:tcBorders>
            <w:shd w:val="clear" w:color="auto" w:fill="E6E6E6"/>
            <w:tcMar>
              <w:left w:w="0" w:type="dxa"/>
              <w:right w:w="0" w:type="dxa"/>
            </w:tcMar>
            <w:vAlign w:val="center"/>
          </w:tcPr>
          <w:p w:rsidR="00D27F66" w:rsidRDefault="0093037D">
            <w:pPr>
              <w:jc w:val="center"/>
            </w:pPr>
            <w:r>
              <w:rPr>
                <w:rFonts w:ascii="Arial Narrow" w:hAnsi="Arial Narrow"/>
                <w:b/>
                <w:sz w:val="20"/>
                <w:szCs w:val="20"/>
              </w:rPr>
              <w:t>Povinný / rozšiřující</w:t>
            </w:r>
          </w:p>
        </w:tc>
      </w:tr>
      <w:tr w:rsidR="00D27F66">
        <w:trPr>
          <w:cantSplit/>
          <w:trHeight w:val="270"/>
        </w:trPr>
        <w:tc>
          <w:tcPr>
            <w:tcW w:w="791" w:type="dxa"/>
            <w:shd w:val="clear" w:color="auto" w:fill="auto"/>
            <w:tcMar>
              <w:left w:w="28" w:type="dxa"/>
              <w:right w:w="28" w:type="dxa"/>
            </w:tcMar>
            <w:vAlign w:val="center"/>
          </w:tcPr>
          <w:p w:rsidR="00D27F66" w:rsidRDefault="00D27F66">
            <w:pPr>
              <w:jc w:val="center"/>
              <w:rPr>
                <w:sz w:val="20"/>
                <w:szCs w:val="20"/>
              </w:rPr>
            </w:pPr>
          </w:p>
        </w:tc>
        <w:tc>
          <w:tcPr>
            <w:tcW w:w="13778" w:type="dxa"/>
            <w:gridSpan w:val="5"/>
            <w:shd w:val="clear" w:color="auto" w:fill="auto"/>
            <w:tcMar>
              <w:left w:w="28" w:type="dxa"/>
              <w:right w:w="28" w:type="dxa"/>
            </w:tcMar>
            <w:vAlign w:val="center"/>
          </w:tcPr>
          <w:p w:rsidR="00D27F66" w:rsidRDefault="0093037D">
            <w:r>
              <w:rPr>
                <w:b/>
                <w:color w:val="000000"/>
                <w:sz w:val="20"/>
                <w:szCs w:val="20"/>
              </w:rPr>
              <w:t>Technické požadavky</w:t>
            </w:r>
          </w:p>
        </w:tc>
      </w:tr>
      <w:tr w:rsidR="00D27F66">
        <w:trPr>
          <w:cantSplit/>
          <w:trHeight w:val="2272"/>
        </w:trPr>
        <w:tc>
          <w:tcPr>
            <w:tcW w:w="791" w:type="dxa"/>
            <w:shd w:val="clear" w:color="auto" w:fill="auto"/>
            <w:vAlign w:val="center"/>
          </w:tcPr>
          <w:p w:rsidR="00D27F66" w:rsidRDefault="0093037D">
            <w:pPr>
              <w:jc w:val="center"/>
            </w:pPr>
            <w:r>
              <w:rPr>
                <w:sz w:val="20"/>
                <w:szCs w:val="20"/>
              </w:rPr>
              <w:t>1.1</w:t>
            </w:r>
          </w:p>
          <w:p w:rsidR="00D27F66" w:rsidRDefault="0093037D">
            <w:pPr>
              <w:jc w:val="center"/>
            </w:pPr>
            <w:r>
              <w:rPr>
                <w:sz w:val="20"/>
                <w:szCs w:val="20"/>
              </w:rPr>
              <w:t>ÚBO</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Systém je výkonově rozšiřitelný až do počtu 250 pojmenovaných uživatelů, z toho až polovina současně aktivně pracujících (concurrent user). Poměrové rozložení licencí se předpokládá v budoucnosti analogicky jako ve stávajícím systému.</w:t>
            </w:r>
            <w:r>
              <w:rPr>
                <w:color w:val="000000"/>
                <w:sz w:val="20"/>
                <w:szCs w:val="20"/>
              </w:rPr>
              <w:br/>
              <w:t>Ve stávajícím systému je následující rozdělení uživatelů a v novém systému se předpokládá rozložení analogicky:</w:t>
            </w:r>
            <w:r>
              <w:rPr>
                <w:color w:val="000000"/>
                <w:sz w:val="20"/>
                <w:szCs w:val="20"/>
              </w:rPr>
              <w:br/>
              <w:t xml:space="preserve">- Ekonomika (rozpočetnictví, finance, účetnictví, majetek, zásoby, smlouvy, objednávky, zakázky, cestovní příkazy) – cca 6 uživatelů (současně pracujících s přístupem pro  právo zápisu) </w:t>
            </w:r>
            <w:r>
              <w:rPr>
                <w:color w:val="000000"/>
                <w:sz w:val="20"/>
                <w:szCs w:val="20"/>
              </w:rPr>
              <w:br/>
              <w:t>- Mzdy a personalistika – cca 3 uživatelé (pojmenovaných i současně pracujících s přístupem pro čtení i právem zápisu), živých kmenových záznamů cca 200 (115 zaměstnanců + DPP/DPČ)</w:t>
            </w:r>
          </w:p>
          <w:p w:rsidR="00D27F66" w:rsidRDefault="0093037D">
            <w:r>
              <w:rPr>
                <w:color w:val="000000"/>
                <w:sz w:val="20"/>
                <w:szCs w:val="20"/>
              </w:rPr>
              <w:t>- Schvalovací workflow týkající se ekonomiky, personalistiky a docházky – pro všechny uživatele, tj. cca 150 uživatelů (pojmenovaných i současně pracujících s přístupem pro čtení i právem zápisu)</w:t>
            </w:r>
            <w:r>
              <w:rPr>
                <w:color w:val="000000"/>
                <w:sz w:val="20"/>
                <w:szCs w:val="20"/>
              </w:rPr>
              <w:br/>
              <w:t>- Personalizované rozhraní uživatele - pro všechny uživatele, tj. cca 150 uživatelů (pojmenovaných i současně pracujících s přístupem pro čtení).</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2272"/>
        </w:trPr>
        <w:tc>
          <w:tcPr>
            <w:tcW w:w="791" w:type="dxa"/>
            <w:shd w:val="clear" w:color="auto" w:fill="auto"/>
            <w:vAlign w:val="center"/>
          </w:tcPr>
          <w:p w:rsidR="00D27F66" w:rsidRDefault="0093037D">
            <w:pPr>
              <w:jc w:val="center"/>
            </w:pPr>
            <w:r>
              <w:rPr>
                <w:sz w:val="20"/>
                <w:szCs w:val="20"/>
              </w:rPr>
              <w:t>1.1</w:t>
            </w:r>
          </w:p>
          <w:p w:rsidR="00D27F66" w:rsidRDefault="0093037D">
            <w:pPr>
              <w:jc w:val="center"/>
            </w:pPr>
            <w:r>
              <w:rPr>
                <w:sz w:val="20"/>
                <w:szCs w:val="20"/>
              </w:rPr>
              <w:t>ARÚB</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Systém je výkonově rozšiřitelný až do počtu 150 pojmenovaných uživatelů, z toho až polovina současně aktivně pracujících (concurrent user). Poměrové rozložení licencí se předpokládá v budoucnosti analogicky jako ve stávajícím systému.</w:t>
            </w:r>
            <w:r>
              <w:rPr>
                <w:color w:val="000000"/>
                <w:sz w:val="20"/>
                <w:szCs w:val="20"/>
              </w:rPr>
              <w:br/>
              <w:t>Ve stávajícím systému je následující rozdělení uživatelů a v novém systému se předpokládá rozložení analogicky:</w:t>
            </w:r>
            <w:r>
              <w:rPr>
                <w:color w:val="000000"/>
                <w:sz w:val="20"/>
                <w:szCs w:val="20"/>
              </w:rPr>
              <w:br/>
              <w:t xml:space="preserve">- Ekonomika (rozpočetnictví, finance, účetnictví, majetek, zásoby, smlouvy, objednávky, zakázky, cestovní příkazy) – cca 5 uživatelů (současně pracujících s přístupem pro  právo zápisu) </w:t>
            </w:r>
            <w:r>
              <w:rPr>
                <w:color w:val="000000"/>
                <w:sz w:val="20"/>
                <w:szCs w:val="20"/>
              </w:rPr>
              <w:br/>
              <w:t>- Mzdy a personalistika – cca 2 uživatelé (pojmenovaných i současně pracujících s přístupem pro čtení i právem zápisu), živých kmenových záznamů cca 220 (70 zaměstnanců + DPP/DPČ)</w:t>
            </w:r>
          </w:p>
          <w:p w:rsidR="00D27F66" w:rsidRDefault="0093037D">
            <w:r>
              <w:rPr>
                <w:color w:val="000000"/>
                <w:sz w:val="20"/>
                <w:szCs w:val="20"/>
              </w:rPr>
              <w:t>- Schvalovací workflow týkající se ekonomiky, personalistiky a docházky – pro všechny uživatele, tj. cca 70 uživatelů (pojmenovaných i současně pracujících s přístupem pro čtení i právem zápisu)</w:t>
            </w:r>
            <w:r>
              <w:rPr>
                <w:color w:val="000000"/>
                <w:sz w:val="20"/>
                <w:szCs w:val="20"/>
              </w:rPr>
              <w:br/>
              <w:t>- Personalizované rozhraní uživatele - pro všechny uživatele, tj. cca 70 uživatelů (pojmenovaných i současně pracujících s přístupem pro čtení).</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2272"/>
        </w:trPr>
        <w:tc>
          <w:tcPr>
            <w:tcW w:w="791" w:type="dxa"/>
            <w:shd w:val="clear" w:color="auto" w:fill="auto"/>
            <w:vAlign w:val="center"/>
          </w:tcPr>
          <w:p w:rsidR="00D27F66" w:rsidRDefault="0093037D">
            <w:pPr>
              <w:jc w:val="center"/>
            </w:pPr>
            <w:r>
              <w:rPr>
                <w:sz w:val="20"/>
                <w:szCs w:val="20"/>
              </w:rPr>
              <w:lastRenderedPageBreak/>
              <w:t>1.1</w:t>
            </w:r>
          </w:p>
          <w:p w:rsidR="00D27F66" w:rsidRDefault="0093037D">
            <w:pPr>
              <w:jc w:val="center"/>
            </w:pPr>
            <w:r>
              <w:rPr>
                <w:sz w:val="20"/>
                <w:szCs w:val="20"/>
              </w:rPr>
              <w:t>ÚIACH</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Systém je výkonově rozšiřitelný až do počtu 100 pojmenovaných uživatelů, z toho až polovina současně aktivně pracujících (concurrent user). Poměrové rozložení licencí se předpokládá v budoucnosti analogicky jako ve stávajícím systému.</w:t>
            </w:r>
            <w:r>
              <w:rPr>
                <w:color w:val="000000"/>
                <w:sz w:val="20"/>
                <w:szCs w:val="20"/>
              </w:rPr>
              <w:br/>
              <w:t>Ve stávajícím systému je následující rozdělení uživatelů a v novém systému se předpokládá rozložení analogicky:</w:t>
            </w:r>
            <w:r>
              <w:rPr>
                <w:color w:val="000000"/>
                <w:sz w:val="20"/>
                <w:szCs w:val="20"/>
              </w:rPr>
              <w:br/>
              <w:t xml:space="preserve">- Ekonomika (rozpočetnictví, finance, účetnictví, majetek, zásoby, smlouvy, objednávky, zakázky, cestovní příkazy) – cca 3 uživatelé (současně pracující s přístupem pro  právo zápisu) </w:t>
            </w:r>
            <w:r>
              <w:rPr>
                <w:color w:val="000000"/>
                <w:sz w:val="20"/>
                <w:szCs w:val="20"/>
              </w:rPr>
              <w:br/>
              <w:t>- Mzdy a personalistika – cca 1 uživatel (pojmenovaný i současně pracující s přístupem pro čtení i právem zápisu), živých kmenových záznamů cca 100 (70 zaměstnanců + DPP/DPČ)</w:t>
            </w:r>
          </w:p>
          <w:p w:rsidR="00D27F66" w:rsidRDefault="0093037D">
            <w:r>
              <w:rPr>
                <w:color w:val="000000"/>
                <w:sz w:val="20"/>
                <w:szCs w:val="20"/>
              </w:rPr>
              <w:t>- Schvalovací workflow týkající se ekonomiky, personalistiky a docházky – pro všechny uživatele, tj. cca 70 uživatelů (pojmenovaných i současně pracujících s přístupem pro čtení i právem zápisu)</w:t>
            </w:r>
            <w:r>
              <w:rPr>
                <w:color w:val="000000"/>
                <w:sz w:val="20"/>
                <w:szCs w:val="20"/>
              </w:rPr>
              <w:br/>
              <w:t>- Personalizované rozhraní uživatele - pro všechny uživatele, tj. cca 70 uživatelů (pojmenovaných i současně pracujících s přístupem pro čtení).</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2272"/>
        </w:trPr>
        <w:tc>
          <w:tcPr>
            <w:tcW w:w="791" w:type="dxa"/>
            <w:shd w:val="clear" w:color="auto" w:fill="auto"/>
            <w:vAlign w:val="center"/>
          </w:tcPr>
          <w:p w:rsidR="00D27F66" w:rsidRDefault="0093037D">
            <w:pPr>
              <w:jc w:val="center"/>
            </w:pPr>
            <w:r>
              <w:rPr>
                <w:sz w:val="20"/>
                <w:szCs w:val="20"/>
              </w:rPr>
              <w:t>1.1</w:t>
            </w:r>
          </w:p>
          <w:p w:rsidR="00D27F66" w:rsidRDefault="0093037D">
            <w:pPr>
              <w:jc w:val="center"/>
            </w:pPr>
            <w:r>
              <w:rPr>
                <w:sz w:val="20"/>
                <w:szCs w:val="20"/>
              </w:rPr>
              <w:t>PSÚ</w:t>
            </w:r>
          </w:p>
        </w:tc>
        <w:tc>
          <w:tcPr>
            <w:tcW w:w="856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Systém je výkonově rozšiřitelný až do počtu 100 pojmenovaných uživatelů, z toho až polovina současně aktivně pracujících (concurrent user). Poměrové rozložení licencí se předpokládá v budoucnosti analogicky jako ve stávajícím systému.</w:t>
            </w:r>
            <w:r>
              <w:rPr>
                <w:color w:val="000000"/>
                <w:sz w:val="20"/>
                <w:szCs w:val="20"/>
              </w:rPr>
              <w:br/>
              <w:t>Ve stávajícím systému je následující rozdělení uživatelů a v novém systému se předpokládá rozložení analogicky:</w:t>
            </w:r>
            <w:r>
              <w:rPr>
                <w:color w:val="000000"/>
                <w:sz w:val="20"/>
                <w:szCs w:val="20"/>
              </w:rPr>
              <w:br/>
              <w:t xml:space="preserve">- Ekonomika (rozpočetnictví, finance, účetnictví, majetek, zásoby, smlouvy, objednávky, zakázky, cestovní příkazy) – cca 3 uživatelé (současně pracujících s přístupem pro  právo zápisu) </w:t>
            </w:r>
            <w:r>
              <w:rPr>
                <w:color w:val="000000"/>
                <w:sz w:val="20"/>
                <w:szCs w:val="20"/>
              </w:rPr>
              <w:br/>
              <w:t>- Mzdy a personalistika – cca 2 uživatelé (pojmenovaných i současně pracujících s přístupem pro čtení i právem zápisu), živých kmenových záznamů cca 500 (50 zaměstnanců + DPP/DPČ)</w:t>
            </w:r>
          </w:p>
          <w:p w:rsidR="00D27F66" w:rsidRDefault="0093037D">
            <w:r>
              <w:rPr>
                <w:color w:val="000000"/>
                <w:sz w:val="20"/>
                <w:szCs w:val="20"/>
              </w:rPr>
              <w:t>- Schvalovací workflow týkající se ekonomiky, personalistiky a docházky – pro všechny uživatele, tj. cca 50 uživatelů (pojmenovaných i současně pracujících s přístupem pro čtení i právem zápisu)</w:t>
            </w:r>
            <w:r>
              <w:rPr>
                <w:color w:val="000000"/>
                <w:sz w:val="20"/>
                <w:szCs w:val="20"/>
              </w:rPr>
              <w:br/>
              <w:t>- Personalizované rozhraní uživatele - pro všechny uživatele, tj. cca 50 uživatelů (pojmenovaných i současně pracujících s přístupem pro čtení).</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256"/>
        </w:trPr>
        <w:tc>
          <w:tcPr>
            <w:tcW w:w="791" w:type="dxa"/>
            <w:shd w:val="clear" w:color="auto" w:fill="auto"/>
            <w:vAlign w:val="center"/>
          </w:tcPr>
          <w:p w:rsidR="00D27F66" w:rsidRDefault="0093037D">
            <w:pPr>
              <w:jc w:val="center"/>
            </w:pPr>
            <w:r>
              <w:rPr>
                <w:sz w:val="20"/>
                <w:szCs w:val="20"/>
              </w:rPr>
              <w:t>1.2</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Systém podporuje vícenásobné přihlášení uživatele a jeho práci v systému.</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256"/>
        </w:trPr>
        <w:tc>
          <w:tcPr>
            <w:tcW w:w="791" w:type="dxa"/>
            <w:shd w:val="clear" w:color="auto" w:fill="auto"/>
            <w:vAlign w:val="center"/>
          </w:tcPr>
          <w:p w:rsidR="00D27F66" w:rsidRDefault="0093037D">
            <w:pPr>
              <w:jc w:val="center"/>
            </w:pPr>
            <w:r>
              <w:rPr>
                <w:sz w:val="20"/>
                <w:szCs w:val="20"/>
              </w:rPr>
              <w:t>1.3</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V systému lze pracovat s více současně otevřenými okny.</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4</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256"/>
        </w:trPr>
        <w:tc>
          <w:tcPr>
            <w:tcW w:w="791" w:type="dxa"/>
            <w:shd w:val="clear" w:color="auto" w:fill="auto"/>
            <w:vAlign w:val="center"/>
          </w:tcPr>
          <w:p w:rsidR="00D27F66" w:rsidRDefault="0093037D">
            <w:pPr>
              <w:jc w:val="center"/>
            </w:pPr>
            <w:r>
              <w:rPr>
                <w:sz w:val="20"/>
                <w:szCs w:val="20"/>
              </w:rPr>
              <w:t>1.4</w:t>
            </w:r>
          </w:p>
        </w:tc>
        <w:tc>
          <w:tcPr>
            <w:tcW w:w="8564"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color w:val="000000"/>
                <w:sz w:val="20"/>
                <w:szCs w:val="20"/>
              </w:rPr>
              <w:t>Uživatelská možnost změny nastavení velikosti zobrazení okna.</w:t>
            </w:r>
          </w:p>
        </w:tc>
        <w:tc>
          <w:tcPr>
            <w:tcW w:w="124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10</w:t>
            </w:r>
          </w:p>
        </w:tc>
        <w:tc>
          <w:tcPr>
            <w:tcW w:w="125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sz w:val="20"/>
                <w:szCs w:val="20"/>
                <w:highlight w:val="black"/>
              </w:rPr>
            </w:pPr>
          </w:p>
        </w:tc>
        <w:tc>
          <w:tcPr>
            <w:tcW w:w="1302"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trPr>
          <w:cantSplit/>
          <w:trHeight w:val="256"/>
        </w:trPr>
        <w:tc>
          <w:tcPr>
            <w:tcW w:w="791" w:type="dxa"/>
            <w:shd w:val="clear" w:color="auto" w:fill="auto"/>
            <w:vAlign w:val="center"/>
          </w:tcPr>
          <w:p w:rsidR="00D27F66" w:rsidRDefault="0093037D">
            <w:pPr>
              <w:jc w:val="center"/>
            </w:pPr>
            <w:r>
              <w:rPr>
                <w:sz w:val="20"/>
                <w:szCs w:val="20"/>
              </w:rPr>
              <w:t>1.5</w:t>
            </w:r>
          </w:p>
        </w:tc>
        <w:tc>
          <w:tcPr>
            <w:tcW w:w="8564"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color w:val="000000"/>
                <w:sz w:val="20"/>
                <w:szCs w:val="20"/>
              </w:rPr>
              <w:t>Systém podporuje propojení na jednotnou autentizaci (LDAP).</w:t>
            </w:r>
          </w:p>
        </w:tc>
        <w:tc>
          <w:tcPr>
            <w:tcW w:w="124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10</w:t>
            </w:r>
          </w:p>
        </w:tc>
        <w:tc>
          <w:tcPr>
            <w:tcW w:w="125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sz w:val="20"/>
                <w:szCs w:val="20"/>
                <w:highlight w:val="black"/>
              </w:rPr>
            </w:pPr>
          </w:p>
        </w:tc>
        <w:tc>
          <w:tcPr>
            <w:tcW w:w="1302"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trPr>
          <w:cantSplit/>
          <w:trHeight w:val="256"/>
        </w:trPr>
        <w:tc>
          <w:tcPr>
            <w:tcW w:w="791" w:type="dxa"/>
            <w:shd w:val="clear" w:color="auto" w:fill="auto"/>
            <w:vAlign w:val="center"/>
          </w:tcPr>
          <w:p w:rsidR="00D27F66" w:rsidRDefault="0093037D">
            <w:pPr>
              <w:jc w:val="center"/>
            </w:pPr>
            <w:r>
              <w:rPr>
                <w:sz w:val="20"/>
                <w:szCs w:val="20"/>
              </w:rPr>
              <w:t>1.6</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Systém podporuje přihlašování přes POST login prostřednictvím http proxy.</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7</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P</w:t>
            </w:r>
          </w:p>
        </w:tc>
      </w:tr>
      <w:tr w:rsidR="00D27F66">
        <w:trPr>
          <w:cantSplit/>
          <w:trHeight w:val="400"/>
        </w:trPr>
        <w:tc>
          <w:tcPr>
            <w:tcW w:w="791" w:type="dxa"/>
            <w:shd w:val="clear" w:color="auto" w:fill="auto"/>
            <w:vAlign w:val="center"/>
          </w:tcPr>
          <w:p w:rsidR="00D27F66" w:rsidRDefault="0093037D">
            <w:pPr>
              <w:jc w:val="center"/>
            </w:pPr>
            <w:r>
              <w:rPr>
                <w:sz w:val="20"/>
                <w:szCs w:val="20"/>
              </w:rPr>
              <w:t>1.7</w:t>
            </w:r>
          </w:p>
        </w:tc>
        <w:tc>
          <w:tcPr>
            <w:tcW w:w="8564"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color w:val="000000"/>
                <w:sz w:val="20"/>
                <w:szCs w:val="20"/>
              </w:rPr>
              <w:t>Systém umožňuje vzdálený přístup uživatelů přes webové rozhraní (detašovaná pracoviště) podle uživatelských oprávnění.</w:t>
            </w:r>
          </w:p>
        </w:tc>
        <w:tc>
          <w:tcPr>
            <w:tcW w:w="124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8</w:t>
            </w:r>
          </w:p>
        </w:tc>
        <w:tc>
          <w:tcPr>
            <w:tcW w:w="125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i/>
                <w:sz w:val="20"/>
                <w:szCs w:val="20"/>
                <w:highlight w:val="black"/>
              </w:rPr>
            </w:pPr>
          </w:p>
        </w:tc>
        <w:tc>
          <w:tcPr>
            <w:tcW w:w="1302"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trPr>
          <w:cantSplit/>
          <w:trHeight w:val="581"/>
        </w:trPr>
        <w:tc>
          <w:tcPr>
            <w:tcW w:w="791" w:type="dxa"/>
            <w:shd w:val="clear" w:color="auto" w:fill="auto"/>
            <w:vAlign w:val="center"/>
          </w:tcPr>
          <w:p w:rsidR="00D27F66" w:rsidRDefault="0093037D">
            <w:pPr>
              <w:jc w:val="center"/>
            </w:pPr>
            <w:r>
              <w:rPr>
                <w:sz w:val="20"/>
                <w:szCs w:val="20"/>
              </w:rPr>
              <w:lastRenderedPageBreak/>
              <w:t>1.8</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Zajištění provozu v reálném čase (okamžitá aktualizace všech relevantních informací při vložení nové položky).</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581"/>
        </w:trPr>
        <w:tc>
          <w:tcPr>
            <w:tcW w:w="791" w:type="dxa"/>
            <w:shd w:val="clear" w:color="auto" w:fill="auto"/>
            <w:vAlign w:val="center"/>
          </w:tcPr>
          <w:p w:rsidR="00D27F66" w:rsidRDefault="0093037D">
            <w:pPr>
              <w:jc w:val="center"/>
            </w:pPr>
            <w:r>
              <w:rPr>
                <w:sz w:val="20"/>
                <w:szCs w:val="20"/>
              </w:rPr>
              <w:t>1.9</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Systém umožňuje uchovávat auditní stopu, možnost v jakémkoli okamžiku dohledat okolnosti vzniku záznamu, jeho změny. Pro každý záznam v systému existuje historie, jaký uživatel, v jaké části systému, v jakém čase a datu vytvoření/změny provedl. Auditní stopa je povinná ve všech workflow.</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400"/>
        </w:trPr>
        <w:tc>
          <w:tcPr>
            <w:tcW w:w="791" w:type="dxa"/>
            <w:shd w:val="clear" w:color="auto" w:fill="auto"/>
            <w:vAlign w:val="center"/>
          </w:tcPr>
          <w:p w:rsidR="00D27F66" w:rsidRDefault="0093037D">
            <w:pPr>
              <w:jc w:val="center"/>
            </w:pPr>
            <w:r>
              <w:rPr>
                <w:sz w:val="20"/>
                <w:szCs w:val="20"/>
              </w:rPr>
              <w:t>1.10</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Číselná řada záznamů v systému přibývá kontinuálně a odstraněním některého ze záznamů není přerušena ani upravena (např. nový doklad nezaplní místo v řadě po smazaném záznamu…).</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2</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400"/>
        </w:trPr>
        <w:tc>
          <w:tcPr>
            <w:tcW w:w="791" w:type="dxa"/>
            <w:shd w:val="clear" w:color="auto" w:fill="auto"/>
            <w:vAlign w:val="center"/>
          </w:tcPr>
          <w:p w:rsidR="00D27F66" w:rsidRDefault="0093037D">
            <w:pPr>
              <w:jc w:val="center"/>
            </w:pPr>
            <w:r>
              <w:rPr>
                <w:sz w:val="20"/>
                <w:szCs w:val="20"/>
              </w:rPr>
              <w:t>1.11</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U číselných řad je možnost jejich uzavření zadáním jejich časové platnosti bez vazby na účetní období. Uzavřené řady se nenabízí uživatelům k přidělení.</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7</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400"/>
        </w:trPr>
        <w:tc>
          <w:tcPr>
            <w:tcW w:w="791" w:type="dxa"/>
            <w:shd w:val="clear" w:color="auto" w:fill="auto"/>
            <w:vAlign w:val="center"/>
          </w:tcPr>
          <w:p w:rsidR="00D27F66" w:rsidRDefault="0093037D">
            <w:pPr>
              <w:jc w:val="center"/>
            </w:pPr>
            <w:r>
              <w:rPr>
                <w:sz w:val="20"/>
                <w:szCs w:val="20"/>
              </w:rPr>
              <w:t>1.12</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Nad všemi záznamy, u kterých je vhodné v čase sledovat jejich stav, existuje možnost provádět jejich výběr dle zadaného časového období.</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9</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256"/>
        </w:trPr>
        <w:tc>
          <w:tcPr>
            <w:tcW w:w="791" w:type="dxa"/>
            <w:shd w:val="clear" w:color="auto" w:fill="auto"/>
            <w:vAlign w:val="center"/>
          </w:tcPr>
          <w:p w:rsidR="00D27F66" w:rsidRDefault="0093037D">
            <w:pPr>
              <w:jc w:val="center"/>
            </w:pPr>
            <w:r>
              <w:rPr>
                <w:sz w:val="20"/>
                <w:szCs w:val="20"/>
              </w:rPr>
              <w:t>1.13</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Veškerá data zadávají uživatelé do systému pouze jedenkrát (nezadávají se duplicitně do více částí systému).</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400"/>
        </w:trPr>
        <w:tc>
          <w:tcPr>
            <w:tcW w:w="791" w:type="dxa"/>
            <w:shd w:val="clear" w:color="auto" w:fill="auto"/>
            <w:vAlign w:val="center"/>
          </w:tcPr>
          <w:p w:rsidR="00D27F66" w:rsidRDefault="0093037D">
            <w:pPr>
              <w:jc w:val="center"/>
            </w:pPr>
            <w:r>
              <w:rPr>
                <w:sz w:val="20"/>
                <w:szCs w:val="20"/>
              </w:rPr>
              <w:t>1.14</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Číselníky jsou společné pro různé agendy systému, je možné je plnit jak v rámci konfigurace agendy, tak i při pořizování záznamů.</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8</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256"/>
        </w:trPr>
        <w:tc>
          <w:tcPr>
            <w:tcW w:w="791" w:type="dxa"/>
            <w:shd w:val="clear" w:color="auto" w:fill="auto"/>
            <w:vAlign w:val="center"/>
          </w:tcPr>
          <w:p w:rsidR="00D27F66" w:rsidRDefault="0093037D">
            <w:pPr>
              <w:jc w:val="center"/>
            </w:pPr>
            <w:r>
              <w:rPr>
                <w:sz w:val="20"/>
                <w:szCs w:val="20"/>
              </w:rPr>
              <w:t>1.15</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Ve formulářích jsou automaticky doplňována vybraná data do systému již jednou zadaná (např. z číselníků).</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8</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400"/>
        </w:trPr>
        <w:tc>
          <w:tcPr>
            <w:tcW w:w="791" w:type="dxa"/>
            <w:shd w:val="clear" w:color="auto" w:fill="auto"/>
            <w:vAlign w:val="center"/>
          </w:tcPr>
          <w:p w:rsidR="00D27F66" w:rsidRDefault="0093037D">
            <w:pPr>
              <w:jc w:val="center"/>
            </w:pPr>
            <w:r>
              <w:rPr>
                <w:sz w:val="20"/>
                <w:szCs w:val="20"/>
              </w:rPr>
              <w:t>1.16</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Odezva systému vyžadující bezprostřední reakci uživatele (zadávání nebo modifikace údajů, schvalování ve workflow) je kratší než 2 sec. Delší doba odezvy je přípustná při vytváření rozsáhlých sestav.</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8</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256"/>
        </w:trPr>
        <w:tc>
          <w:tcPr>
            <w:tcW w:w="791" w:type="dxa"/>
            <w:shd w:val="clear" w:color="auto" w:fill="auto"/>
            <w:vAlign w:val="center"/>
          </w:tcPr>
          <w:p w:rsidR="00D27F66" w:rsidRDefault="0093037D">
            <w:pPr>
              <w:jc w:val="center"/>
            </w:pPr>
            <w:r>
              <w:rPr>
                <w:sz w:val="20"/>
                <w:szCs w:val="20"/>
              </w:rPr>
              <w:t>1.17</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Dokumenty jsou uloženy na jednom místě, ale jsou dostupné ze všech systémových částí.</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6</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256"/>
        </w:trPr>
        <w:tc>
          <w:tcPr>
            <w:tcW w:w="791" w:type="dxa"/>
            <w:shd w:val="clear" w:color="auto" w:fill="auto"/>
            <w:vAlign w:val="center"/>
          </w:tcPr>
          <w:p w:rsidR="00D27F66" w:rsidRDefault="0093037D">
            <w:pPr>
              <w:jc w:val="center"/>
            </w:pPr>
            <w:r>
              <w:rPr>
                <w:sz w:val="20"/>
                <w:szCs w:val="20"/>
              </w:rPr>
              <w:t>1.18</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Možnost oddělení části organizace včetně licencí a dat.</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7</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400"/>
        </w:trPr>
        <w:tc>
          <w:tcPr>
            <w:tcW w:w="791" w:type="dxa"/>
            <w:shd w:val="clear" w:color="auto" w:fill="auto"/>
            <w:vAlign w:val="center"/>
          </w:tcPr>
          <w:p w:rsidR="00D27F66" w:rsidRDefault="0093037D">
            <w:pPr>
              <w:jc w:val="center"/>
            </w:pPr>
            <w:r>
              <w:rPr>
                <w:sz w:val="20"/>
                <w:szCs w:val="20"/>
              </w:rPr>
              <w:t>1.19</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Nastavení oprávnění a centrálně nastavitelných částí systému (např. filtrů, sestav) mezi uživateli podle rolí. Možnost vytváření individuálních uživatelských filtrů.</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8</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256"/>
        </w:trPr>
        <w:tc>
          <w:tcPr>
            <w:tcW w:w="791" w:type="dxa"/>
            <w:shd w:val="clear" w:color="auto" w:fill="auto"/>
            <w:vAlign w:val="center"/>
          </w:tcPr>
          <w:p w:rsidR="00D27F66" w:rsidRDefault="0093037D">
            <w:pPr>
              <w:jc w:val="center"/>
            </w:pPr>
            <w:r>
              <w:rPr>
                <w:sz w:val="20"/>
                <w:szCs w:val="20"/>
              </w:rPr>
              <w:t>1.20</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Možnost administrátorských SQL dotazů nad datovými zdroji systému (čtení i zápis) včetně dotazů vedených přes API a možnost jejich uložení.</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9</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256"/>
        </w:trPr>
        <w:tc>
          <w:tcPr>
            <w:tcW w:w="791" w:type="dxa"/>
            <w:shd w:val="clear" w:color="auto" w:fill="auto"/>
            <w:vAlign w:val="center"/>
          </w:tcPr>
          <w:p w:rsidR="00D27F66" w:rsidRDefault="0093037D">
            <w:pPr>
              <w:jc w:val="center"/>
            </w:pPr>
            <w:r>
              <w:rPr>
                <w:sz w:val="20"/>
                <w:szCs w:val="20"/>
              </w:rPr>
              <w:t>1.21</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Možnost personifikace systému v závislosti na uživatelských rolích.</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6</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256"/>
        </w:trPr>
        <w:tc>
          <w:tcPr>
            <w:tcW w:w="791" w:type="dxa"/>
            <w:shd w:val="clear" w:color="auto" w:fill="auto"/>
            <w:vAlign w:val="center"/>
          </w:tcPr>
          <w:p w:rsidR="00D27F66" w:rsidRDefault="0093037D">
            <w:pPr>
              <w:jc w:val="center"/>
            </w:pPr>
            <w:r>
              <w:rPr>
                <w:sz w:val="20"/>
                <w:szCs w:val="20"/>
              </w:rPr>
              <w:t>1.22</w:t>
            </w:r>
          </w:p>
        </w:tc>
        <w:tc>
          <w:tcPr>
            <w:tcW w:w="8564"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r w:rsidRPr="0093037D">
              <w:rPr>
                <w:color w:val="000000"/>
                <w:sz w:val="20"/>
                <w:szCs w:val="20"/>
              </w:rPr>
              <w:t>Chybové hlášky v systému jsou přeloženy do podoby srozumitelné uživateli (tzn. neobjevují se části kódu apod.).</w:t>
            </w:r>
          </w:p>
        </w:tc>
        <w:tc>
          <w:tcPr>
            <w:tcW w:w="124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8</w:t>
            </w:r>
          </w:p>
        </w:tc>
        <w:tc>
          <w:tcPr>
            <w:tcW w:w="125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sz w:val="20"/>
                <w:szCs w:val="20"/>
                <w:highlight w:val="black"/>
              </w:rPr>
            </w:pPr>
          </w:p>
        </w:tc>
        <w:tc>
          <w:tcPr>
            <w:tcW w:w="1302"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trPr>
          <w:cantSplit/>
          <w:trHeight w:val="256"/>
        </w:trPr>
        <w:tc>
          <w:tcPr>
            <w:tcW w:w="791" w:type="dxa"/>
            <w:shd w:val="clear" w:color="auto" w:fill="auto"/>
            <w:vAlign w:val="center"/>
          </w:tcPr>
          <w:p w:rsidR="00D27F66" w:rsidRDefault="0093037D">
            <w:pPr>
              <w:jc w:val="center"/>
            </w:pPr>
            <w:r>
              <w:rPr>
                <w:sz w:val="20"/>
                <w:szCs w:val="20"/>
              </w:rPr>
              <w:t>1.23</w:t>
            </w:r>
          </w:p>
        </w:tc>
        <w:tc>
          <w:tcPr>
            <w:tcW w:w="8564"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r w:rsidRPr="0093037D">
              <w:rPr>
                <w:color w:val="000000"/>
                <w:sz w:val="20"/>
                <w:szCs w:val="20"/>
              </w:rPr>
              <w:t>Systém je možné volitelně provozovat s databází Oracle a Microsoft SQL server.</w:t>
            </w:r>
          </w:p>
        </w:tc>
        <w:tc>
          <w:tcPr>
            <w:tcW w:w="124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10</w:t>
            </w:r>
          </w:p>
        </w:tc>
        <w:tc>
          <w:tcPr>
            <w:tcW w:w="125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sz w:val="20"/>
                <w:szCs w:val="20"/>
                <w:highlight w:val="black"/>
              </w:rPr>
            </w:pPr>
          </w:p>
        </w:tc>
        <w:tc>
          <w:tcPr>
            <w:tcW w:w="1302"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R</w:t>
            </w:r>
          </w:p>
        </w:tc>
      </w:tr>
      <w:tr w:rsidR="00D27F66">
        <w:trPr>
          <w:cantSplit/>
          <w:trHeight w:val="270"/>
        </w:trPr>
        <w:tc>
          <w:tcPr>
            <w:tcW w:w="791" w:type="dxa"/>
            <w:shd w:val="clear" w:color="auto" w:fill="auto"/>
            <w:tcMar>
              <w:left w:w="0" w:type="dxa"/>
              <w:right w:w="0" w:type="dxa"/>
            </w:tcMar>
            <w:vAlign w:val="center"/>
          </w:tcPr>
          <w:p w:rsidR="00D27F66" w:rsidRDefault="00D27F66">
            <w:pPr>
              <w:jc w:val="center"/>
              <w:rPr>
                <w:sz w:val="20"/>
                <w:szCs w:val="20"/>
              </w:rPr>
            </w:pPr>
          </w:p>
        </w:tc>
        <w:tc>
          <w:tcPr>
            <w:tcW w:w="13778" w:type="dxa"/>
            <w:gridSpan w:val="5"/>
            <w:tcBorders>
              <w:top w:val="single" w:sz="4" w:space="0" w:color="000000"/>
              <w:bottom w:val="single" w:sz="4" w:space="0" w:color="000000"/>
            </w:tcBorders>
            <w:shd w:val="clear" w:color="auto" w:fill="auto"/>
            <w:tcMar>
              <w:left w:w="0" w:type="dxa"/>
              <w:right w:w="0" w:type="dxa"/>
            </w:tcMar>
            <w:vAlign w:val="center"/>
          </w:tcPr>
          <w:p w:rsidR="00D27F66" w:rsidRPr="0093037D" w:rsidRDefault="0093037D">
            <w:r w:rsidRPr="0093037D">
              <w:rPr>
                <w:b/>
                <w:color w:val="000000"/>
                <w:sz w:val="20"/>
                <w:szCs w:val="20"/>
              </w:rPr>
              <w:t>Požadavky na workflow</w:t>
            </w:r>
          </w:p>
        </w:tc>
      </w:tr>
      <w:tr w:rsidR="00D27F66">
        <w:trPr>
          <w:cantSplit/>
          <w:trHeight w:val="256"/>
        </w:trPr>
        <w:tc>
          <w:tcPr>
            <w:tcW w:w="791" w:type="dxa"/>
            <w:shd w:val="clear" w:color="auto" w:fill="auto"/>
            <w:vAlign w:val="center"/>
          </w:tcPr>
          <w:p w:rsidR="00D27F66" w:rsidRDefault="0093037D">
            <w:pPr>
              <w:jc w:val="center"/>
            </w:pPr>
            <w:r>
              <w:rPr>
                <w:sz w:val="20"/>
                <w:szCs w:val="20"/>
              </w:rPr>
              <w:t>1.24</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color w:val="000000"/>
                <w:sz w:val="20"/>
                <w:szCs w:val="20"/>
              </w:rPr>
              <w:t>Nástroje pro definici, parametrizaci a úpravu workflow jsou součástí systému.</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400"/>
        </w:trPr>
        <w:tc>
          <w:tcPr>
            <w:tcW w:w="791" w:type="dxa"/>
            <w:shd w:val="clear" w:color="auto" w:fill="auto"/>
            <w:vAlign w:val="center"/>
          </w:tcPr>
          <w:p w:rsidR="00D27F66" w:rsidRDefault="0093037D">
            <w:pPr>
              <w:jc w:val="center"/>
            </w:pPr>
            <w:r>
              <w:rPr>
                <w:sz w:val="20"/>
                <w:szCs w:val="20"/>
              </w:rPr>
              <w:lastRenderedPageBreak/>
              <w:t>1.25</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Workflow je možné definovat pro oddělení, část systému a proces individuálně, a je možné jej průběžně přizpůsobovat měnícím se potřebám zadavatele.</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7</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P</w:t>
            </w:r>
          </w:p>
        </w:tc>
      </w:tr>
      <w:tr w:rsidR="00D27F66">
        <w:trPr>
          <w:cantSplit/>
          <w:trHeight w:val="400"/>
        </w:trPr>
        <w:tc>
          <w:tcPr>
            <w:tcW w:w="791" w:type="dxa"/>
            <w:shd w:val="clear" w:color="auto" w:fill="auto"/>
            <w:vAlign w:val="center"/>
          </w:tcPr>
          <w:p w:rsidR="00D27F66" w:rsidRDefault="0093037D">
            <w:pPr>
              <w:jc w:val="center"/>
            </w:pPr>
            <w:r>
              <w:rPr>
                <w:sz w:val="20"/>
                <w:szCs w:val="20"/>
              </w:rPr>
              <w:t>1.26</w:t>
            </w:r>
          </w:p>
        </w:tc>
        <w:tc>
          <w:tcPr>
            <w:tcW w:w="8564"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color w:val="000000"/>
                <w:sz w:val="20"/>
                <w:szCs w:val="20"/>
              </w:rPr>
              <w:t>Workflow podporuje použití elektronického podpisu (i zaručeného), přičemž jeho použití je možné v rámci definice omezit pouze na oddělení, část systému a proces.</w:t>
            </w:r>
          </w:p>
        </w:tc>
        <w:tc>
          <w:tcPr>
            <w:tcW w:w="124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5</w:t>
            </w:r>
          </w:p>
        </w:tc>
        <w:tc>
          <w:tcPr>
            <w:tcW w:w="125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i/>
                <w:sz w:val="20"/>
                <w:szCs w:val="20"/>
                <w:highlight w:val="black"/>
              </w:rPr>
            </w:pPr>
          </w:p>
        </w:tc>
        <w:tc>
          <w:tcPr>
            <w:tcW w:w="1302"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trPr>
          <w:cantSplit/>
          <w:trHeight w:val="400"/>
        </w:trPr>
        <w:tc>
          <w:tcPr>
            <w:tcW w:w="791" w:type="dxa"/>
            <w:shd w:val="clear" w:color="auto" w:fill="auto"/>
            <w:vAlign w:val="center"/>
          </w:tcPr>
          <w:p w:rsidR="00D27F66" w:rsidRDefault="0093037D">
            <w:pPr>
              <w:jc w:val="center"/>
            </w:pPr>
            <w:r>
              <w:rPr>
                <w:sz w:val="20"/>
                <w:szCs w:val="20"/>
              </w:rPr>
              <w:t>1.27</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Workflow v systému pracuje s definovaným pořadím, platností, finančními limity a přiřazenými rolemi (funkcemi) schvalovatelů, případně dalšími atributy relevantními pro průběh workflow.</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400"/>
        </w:trPr>
        <w:tc>
          <w:tcPr>
            <w:tcW w:w="791" w:type="dxa"/>
            <w:shd w:val="clear" w:color="auto" w:fill="auto"/>
            <w:vAlign w:val="center"/>
          </w:tcPr>
          <w:p w:rsidR="00D27F66" w:rsidRDefault="0093037D">
            <w:pPr>
              <w:jc w:val="center"/>
            </w:pPr>
            <w:r>
              <w:rPr>
                <w:sz w:val="20"/>
                <w:szCs w:val="20"/>
              </w:rPr>
              <w:t>1.28</w:t>
            </w:r>
          </w:p>
        </w:tc>
        <w:tc>
          <w:tcPr>
            <w:tcW w:w="8564"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color w:val="000000"/>
                <w:sz w:val="20"/>
                <w:szCs w:val="20"/>
              </w:rPr>
              <w:t>Ve workflow, kde dochází k předběžné a následné řídící kontrole stejnými rolemi (např. příkazce, správce), je následná řídící kontrola přednostně směrována ke konkrétním osobám, které provedly předběžnou řídící kontrolu.</w:t>
            </w:r>
          </w:p>
        </w:tc>
        <w:tc>
          <w:tcPr>
            <w:tcW w:w="124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10</w:t>
            </w:r>
          </w:p>
        </w:tc>
        <w:tc>
          <w:tcPr>
            <w:tcW w:w="125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i/>
                <w:sz w:val="20"/>
                <w:szCs w:val="20"/>
                <w:highlight w:val="black"/>
              </w:rPr>
            </w:pPr>
          </w:p>
        </w:tc>
        <w:tc>
          <w:tcPr>
            <w:tcW w:w="1302"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trPr>
          <w:cantSplit/>
          <w:trHeight w:val="581"/>
        </w:trPr>
        <w:tc>
          <w:tcPr>
            <w:tcW w:w="791" w:type="dxa"/>
            <w:shd w:val="clear" w:color="auto" w:fill="auto"/>
            <w:vAlign w:val="center"/>
          </w:tcPr>
          <w:p w:rsidR="00D27F66" w:rsidRDefault="0093037D">
            <w:pPr>
              <w:jc w:val="center"/>
            </w:pPr>
            <w:r>
              <w:rPr>
                <w:sz w:val="20"/>
                <w:szCs w:val="20"/>
              </w:rPr>
              <w:t>1.29</w:t>
            </w:r>
          </w:p>
        </w:tc>
        <w:tc>
          <w:tcPr>
            <w:tcW w:w="8564"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color w:val="000000"/>
                <w:sz w:val="20"/>
                <w:szCs w:val="20"/>
              </w:rPr>
              <w:t>Pokud v jednom workflow dochází k předběžné řídící kontrole (např. schválení objednávky) a v navazujícím workflow dochází k následné řídící kontrole stejnými rolemi (např. likvidace faktur), je následná řídící kontrola přednostně směrována ke konkrétním osobám, které provedly předběžnou řídící kontrolu.</w:t>
            </w:r>
          </w:p>
        </w:tc>
        <w:tc>
          <w:tcPr>
            <w:tcW w:w="124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10</w:t>
            </w:r>
          </w:p>
        </w:tc>
        <w:tc>
          <w:tcPr>
            <w:tcW w:w="125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i/>
                <w:sz w:val="20"/>
                <w:szCs w:val="20"/>
                <w:highlight w:val="black"/>
              </w:rPr>
            </w:pPr>
          </w:p>
        </w:tc>
        <w:tc>
          <w:tcPr>
            <w:tcW w:w="1302"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trPr>
          <w:cantSplit/>
          <w:trHeight w:val="581"/>
        </w:trPr>
        <w:tc>
          <w:tcPr>
            <w:tcW w:w="791" w:type="dxa"/>
            <w:shd w:val="clear" w:color="auto" w:fill="auto"/>
            <w:vAlign w:val="center"/>
          </w:tcPr>
          <w:p w:rsidR="00D27F66" w:rsidRDefault="0093037D">
            <w:pPr>
              <w:jc w:val="center"/>
            </w:pPr>
            <w:r>
              <w:rPr>
                <w:sz w:val="20"/>
                <w:szCs w:val="20"/>
              </w:rPr>
              <w:t>1.30</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Ve workflow je v případě nedostupnosti schvalovatele automaticky nastaven jeho zástupce podle stanovených rolí. V případě nečinnosti schvalovatele ve workflow je nastaven časový limit a v případě jeho překročení je workflow přesměrováno na zástupce v pořadí.</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256"/>
        </w:trPr>
        <w:tc>
          <w:tcPr>
            <w:tcW w:w="791" w:type="dxa"/>
            <w:shd w:val="clear" w:color="auto" w:fill="auto"/>
            <w:vAlign w:val="center"/>
          </w:tcPr>
          <w:p w:rsidR="00D27F66" w:rsidRDefault="0093037D">
            <w:pPr>
              <w:jc w:val="center"/>
            </w:pPr>
            <w:r>
              <w:rPr>
                <w:sz w:val="20"/>
                <w:szCs w:val="20"/>
              </w:rPr>
              <w:t>1.31</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Oprávněná osoba může změnit schvalovatele ve workflow.</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400"/>
        </w:trPr>
        <w:tc>
          <w:tcPr>
            <w:tcW w:w="791" w:type="dxa"/>
            <w:shd w:val="clear" w:color="auto" w:fill="auto"/>
            <w:vAlign w:val="center"/>
          </w:tcPr>
          <w:p w:rsidR="00D27F66" w:rsidRDefault="0093037D">
            <w:pPr>
              <w:jc w:val="center"/>
            </w:pPr>
            <w:r>
              <w:rPr>
                <w:sz w:val="20"/>
                <w:szCs w:val="20"/>
              </w:rPr>
              <w:t>1.32</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V rámci postupů workflow je možnost odesílat notifikace (včetně e-mailové) osobám účastnícím se procesů dle definice a pravidel v nastavení workflow.</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8</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400"/>
        </w:trPr>
        <w:tc>
          <w:tcPr>
            <w:tcW w:w="791" w:type="dxa"/>
            <w:shd w:val="clear" w:color="auto" w:fill="auto"/>
            <w:vAlign w:val="center"/>
          </w:tcPr>
          <w:p w:rsidR="00D27F66" w:rsidRDefault="0093037D">
            <w:pPr>
              <w:jc w:val="center"/>
            </w:pPr>
            <w:r>
              <w:rPr>
                <w:sz w:val="20"/>
                <w:szCs w:val="20"/>
              </w:rPr>
              <w:t>1.33</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Přístup k informacím je pro schvalovatele ve workflow rozšířen proti běžnému zaměstnanci o všechny záznamy, ve kterých prováděl schvalování.</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400"/>
        </w:trPr>
        <w:tc>
          <w:tcPr>
            <w:tcW w:w="791" w:type="dxa"/>
            <w:shd w:val="clear" w:color="auto" w:fill="auto"/>
            <w:vAlign w:val="center"/>
          </w:tcPr>
          <w:p w:rsidR="00D27F66" w:rsidRDefault="0093037D">
            <w:pPr>
              <w:jc w:val="center"/>
            </w:pPr>
            <w:r>
              <w:rPr>
                <w:sz w:val="20"/>
                <w:szCs w:val="20"/>
              </w:rPr>
              <w:t>1.34</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Schvalování kroků ve workflow musí být umožněno i prostřednictvím webového prohlížeče při nepřítomnosti schvalovatele na svém pracovišti (např. zahraniční cesta).</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8</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400"/>
        </w:trPr>
        <w:tc>
          <w:tcPr>
            <w:tcW w:w="791" w:type="dxa"/>
            <w:shd w:val="clear" w:color="auto" w:fill="auto"/>
            <w:vAlign w:val="center"/>
          </w:tcPr>
          <w:p w:rsidR="00D27F66" w:rsidRDefault="0093037D">
            <w:pPr>
              <w:jc w:val="center"/>
            </w:pPr>
            <w:r>
              <w:rPr>
                <w:sz w:val="20"/>
                <w:szCs w:val="20"/>
              </w:rPr>
              <w:t>1.35</w:t>
            </w:r>
          </w:p>
        </w:tc>
        <w:tc>
          <w:tcPr>
            <w:tcW w:w="8564"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r w:rsidRPr="0093037D">
              <w:rPr>
                <w:color w:val="000000"/>
                <w:sz w:val="20"/>
                <w:szCs w:val="20"/>
              </w:rPr>
              <w:t>Schvalování kroků ve workflow musí být umožněno i přes web prostřednictvím mobilního telefonu nebo tabletu při nepřítomnosti schvalovatele na svém pracovišti (např. zahraniční cesta).</w:t>
            </w:r>
          </w:p>
        </w:tc>
        <w:tc>
          <w:tcPr>
            <w:tcW w:w="124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8</w:t>
            </w:r>
          </w:p>
        </w:tc>
        <w:tc>
          <w:tcPr>
            <w:tcW w:w="125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i/>
                <w:sz w:val="20"/>
                <w:szCs w:val="20"/>
                <w:highlight w:val="black"/>
              </w:rPr>
            </w:pPr>
          </w:p>
        </w:tc>
        <w:tc>
          <w:tcPr>
            <w:tcW w:w="1302"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trPr>
          <w:cantSplit/>
          <w:trHeight w:val="270"/>
        </w:trPr>
        <w:tc>
          <w:tcPr>
            <w:tcW w:w="791" w:type="dxa"/>
            <w:shd w:val="clear" w:color="auto" w:fill="auto"/>
            <w:tcMar>
              <w:left w:w="0" w:type="dxa"/>
              <w:right w:w="0" w:type="dxa"/>
            </w:tcMar>
            <w:vAlign w:val="center"/>
          </w:tcPr>
          <w:p w:rsidR="00D27F66" w:rsidRDefault="00D27F66">
            <w:pPr>
              <w:jc w:val="center"/>
              <w:rPr>
                <w:sz w:val="20"/>
                <w:szCs w:val="20"/>
              </w:rPr>
            </w:pPr>
          </w:p>
        </w:tc>
        <w:tc>
          <w:tcPr>
            <w:tcW w:w="13778" w:type="dxa"/>
            <w:gridSpan w:val="5"/>
            <w:tcBorders>
              <w:top w:val="single" w:sz="4" w:space="0" w:color="000000"/>
              <w:bottom w:val="single" w:sz="4" w:space="0" w:color="000000"/>
            </w:tcBorders>
            <w:shd w:val="clear" w:color="auto" w:fill="auto"/>
            <w:tcMar>
              <w:left w:w="0" w:type="dxa"/>
              <w:right w:w="0" w:type="dxa"/>
            </w:tcMar>
            <w:vAlign w:val="center"/>
          </w:tcPr>
          <w:p w:rsidR="00D27F66" w:rsidRPr="0093037D" w:rsidRDefault="0093037D">
            <w:r w:rsidRPr="0093037D">
              <w:rPr>
                <w:b/>
                <w:color w:val="000000"/>
                <w:sz w:val="20"/>
                <w:szCs w:val="20"/>
              </w:rPr>
              <w:t>Výstupy a vstupy</w:t>
            </w:r>
          </w:p>
        </w:tc>
      </w:tr>
      <w:tr w:rsidR="00D27F66">
        <w:trPr>
          <w:cantSplit/>
          <w:trHeight w:val="400"/>
        </w:trPr>
        <w:tc>
          <w:tcPr>
            <w:tcW w:w="791" w:type="dxa"/>
            <w:shd w:val="clear" w:color="auto" w:fill="auto"/>
            <w:vAlign w:val="center"/>
          </w:tcPr>
          <w:p w:rsidR="00D27F66" w:rsidRDefault="0093037D">
            <w:pPr>
              <w:jc w:val="center"/>
            </w:pPr>
            <w:r>
              <w:rPr>
                <w:sz w:val="20"/>
                <w:szCs w:val="20"/>
              </w:rPr>
              <w:t>1.36</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color w:val="000000"/>
                <w:sz w:val="20"/>
                <w:szCs w:val="20"/>
              </w:rPr>
              <w:t>Podpora výstupů do CSÚIS (pomocný konsolidační přehled, kvartální přehled o příjmech a výdajích na základě všech pohybů v bance a pokladně). Možnost jejich modifikace před předáním do CSÚIS.</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581"/>
        </w:trPr>
        <w:tc>
          <w:tcPr>
            <w:tcW w:w="791" w:type="dxa"/>
            <w:shd w:val="clear" w:color="auto" w:fill="auto"/>
            <w:vAlign w:val="center"/>
          </w:tcPr>
          <w:p w:rsidR="00D27F66" w:rsidRDefault="0093037D">
            <w:pPr>
              <w:jc w:val="center"/>
            </w:pPr>
            <w:r>
              <w:rPr>
                <w:sz w:val="20"/>
                <w:szCs w:val="20"/>
              </w:rPr>
              <w:t>1.37</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Podpora elektronických výstupů pro zpracování přes portály veřejné správy - portál ČSSZ, portály zdravotních pojišťoven, daňový portál, portál ČSÚ (Podpora výstupů pro potřeby statistického zjišťování dle zákona č. 89/1995 Sb. o státní statistické službě).</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581"/>
        </w:trPr>
        <w:tc>
          <w:tcPr>
            <w:tcW w:w="791" w:type="dxa"/>
            <w:shd w:val="clear" w:color="auto" w:fill="auto"/>
            <w:vAlign w:val="center"/>
          </w:tcPr>
          <w:p w:rsidR="00D27F66" w:rsidRDefault="0093037D">
            <w:pPr>
              <w:jc w:val="center"/>
            </w:pPr>
            <w:r>
              <w:rPr>
                <w:sz w:val="20"/>
                <w:szCs w:val="20"/>
              </w:rPr>
              <w:lastRenderedPageBreak/>
              <w:t>1.38</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 xml:space="preserve">Možnosti exportu výstupů podle nastavení filtrů ze systému do souboru se standardně podporovanými formáty (TXT, CSV, PDF, XLS, XLSX, XML, DOC, DOCX, RTF). Exportovaný výstup musí obsahovat odpovídající formáty pro další práci v kancelářských systémech (čísla odpovídají číslům, neobjevují se nadbytečné mezery či znaky). </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8</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581"/>
        </w:trPr>
        <w:tc>
          <w:tcPr>
            <w:tcW w:w="791" w:type="dxa"/>
            <w:shd w:val="clear" w:color="auto" w:fill="auto"/>
            <w:vAlign w:val="center"/>
          </w:tcPr>
          <w:p w:rsidR="00D27F66" w:rsidRDefault="0093037D">
            <w:pPr>
              <w:jc w:val="center"/>
            </w:pPr>
            <w:r>
              <w:rPr>
                <w:sz w:val="20"/>
                <w:szCs w:val="20"/>
              </w:rPr>
              <w:t>1.39</w:t>
            </w:r>
          </w:p>
        </w:tc>
        <w:tc>
          <w:tcPr>
            <w:tcW w:w="8564"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r w:rsidRPr="0093037D">
              <w:rPr>
                <w:color w:val="000000"/>
              </w:rPr>
              <w:t>Podpora přímého přístupu z prostředí EIS na webové portály - ARES, registr plátců DPH, insolvenční rejstřík, živnostenský rejstřík, obchodní rejstřík.</w:t>
            </w:r>
          </w:p>
        </w:tc>
        <w:tc>
          <w:tcPr>
            <w:tcW w:w="124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t>10</w:t>
            </w:r>
          </w:p>
        </w:tc>
        <w:tc>
          <w:tcPr>
            <w:tcW w:w="125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i/>
                <w:sz w:val="20"/>
                <w:szCs w:val="20"/>
                <w:highlight w:val="black"/>
              </w:rPr>
            </w:pPr>
          </w:p>
        </w:tc>
        <w:tc>
          <w:tcPr>
            <w:tcW w:w="1302"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trPr>
          <w:cantSplit/>
          <w:trHeight w:val="270"/>
        </w:trPr>
        <w:tc>
          <w:tcPr>
            <w:tcW w:w="791" w:type="dxa"/>
            <w:shd w:val="clear" w:color="auto" w:fill="auto"/>
            <w:tcMar>
              <w:left w:w="0" w:type="dxa"/>
              <w:right w:w="0" w:type="dxa"/>
            </w:tcMar>
            <w:vAlign w:val="center"/>
          </w:tcPr>
          <w:p w:rsidR="00D27F66" w:rsidRDefault="00D27F66">
            <w:pPr>
              <w:jc w:val="center"/>
              <w:rPr>
                <w:sz w:val="20"/>
                <w:szCs w:val="20"/>
              </w:rPr>
            </w:pPr>
          </w:p>
        </w:tc>
        <w:tc>
          <w:tcPr>
            <w:tcW w:w="13778" w:type="dxa"/>
            <w:gridSpan w:val="5"/>
            <w:tcBorders>
              <w:top w:val="single" w:sz="4" w:space="0" w:color="000000"/>
              <w:bottom w:val="single" w:sz="4" w:space="0" w:color="000000"/>
            </w:tcBorders>
            <w:shd w:val="clear" w:color="auto" w:fill="auto"/>
            <w:tcMar>
              <w:left w:w="0" w:type="dxa"/>
              <w:right w:w="0" w:type="dxa"/>
            </w:tcMar>
            <w:vAlign w:val="center"/>
          </w:tcPr>
          <w:p w:rsidR="00D27F66" w:rsidRPr="0093037D" w:rsidRDefault="0093037D">
            <w:r w:rsidRPr="0093037D">
              <w:rPr>
                <w:b/>
                <w:color w:val="000000"/>
                <w:sz w:val="20"/>
                <w:szCs w:val="20"/>
              </w:rPr>
              <w:t>Lokalizace</w:t>
            </w:r>
          </w:p>
        </w:tc>
      </w:tr>
      <w:tr w:rsidR="00D27F66">
        <w:trPr>
          <w:cantSplit/>
          <w:trHeight w:val="400"/>
        </w:trPr>
        <w:tc>
          <w:tcPr>
            <w:tcW w:w="791" w:type="dxa"/>
            <w:shd w:val="clear" w:color="auto" w:fill="auto"/>
            <w:vAlign w:val="center"/>
          </w:tcPr>
          <w:p w:rsidR="00D27F66" w:rsidRDefault="0093037D">
            <w:pPr>
              <w:jc w:val="center"/>
            </w:pPr>
            <w:r>
              <w:rPr>
                <w:sz w:val="20"/>
                <w:szCs w:val="20"/>
              </w:rPr>
              <w:t>1.40</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color w:val="000000"/>
                <w:sz w:val="20"/>
                <w:szCs w:val="20"/>
              </w:rPr>
              <w:t>Plná česká lokalizace provozního prostředí využívaného koncovými uživateli (obrazovky, nápověda). Primárním jazykem pro vstup dat je český jazyk.</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256"/>
        </w:trPr>
        <w:tc>
          <w:tcPr>
            <w:tcW w:w="791" w:type="dxa"/>
            <w:shd w:val="clear" w:color="auto" w:fill="auto"/>
            <w:vAlign w:val="center"/>
          </w:tcPr>
          <w:p w:rsidR="00D27F66" w:rsidRDefault="0093037D">
            <w:pPr>
              <w:jc w:val="center"/>
            </w:pPr>
            <w:r>
              <w:rPr>
                <w:sz w:val="20"/>
                <w:szCs w:val="20"/>
              </w:rPr>
              <w:t>1.41</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color w:val="000000"/>
                <w:sz w:val="20"/>
                <w:szCs w:val="20"/>
              </w:rPr>
              <w:t>Systém musí mít možnost komunikovat mimo primární jazyk i v anglickém jazyce.</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8</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P</w:t>
            </w:r>
          </w:p>
        </w:tc>
      </w:tr>
      <w:tr w:rsidR="00D27F66">
        <w:trPr>
          <w:cantSplit/>
          <w:trHeight w:val="270"/>
        </w:trPr>
        <w:tc>
          <w:tcPr>
            <w:tcW w:w="791" w:type="dxa"/>
            <w:shd w:val="clear" w:color="auto" w:fill="auto"/>
            <w:tcMar>
              <w:left w:w="0" w:type="dxa"/>
              <w:right w:w="0" w:type="dxa"/>
            </w:tcMar>
            <w:vAlign w:val="center"/>
          </w:tcPr>
          <w:p w:rsidR="00D27F66" w:rsidRDefault="00D27F66">
            <w:pPr>
              <w:jc w:val="center"/>
              <w:rPr>
                <w:sz w:val="20"/>
                <w:szCs w:val="20"/>
              </w:rPr>
            </w:pPr>
          </w:p>
        </w:tc>
        <w:tc>
          <w:tcPr>
            <w:tcW w:w="13778" w:type="dxa"/>
            <w:gridSpan w:val="5"/>
            <w:tcBorders>
              <w:top w:val="single" w:sz="4" w:space="0" w:color="000000"/>
              <w:bottom w:val="single" w:sz="4" w:space="0" w:color="000000"/>
            </w:tcBorders>
            <w:shd w:val="clear" w:color="auto" w:fill="auto"/>
            <w:tcMar>
              <w:left w:w="0" w:type="dxa"/>
              <w:right w:w="0" w:type="dxa"/>
            </w:tcMar>
            <w:vAlign w:val="center"/>
          </w:tcPr>
          <w:p w:rsidR="00D27F66" w:rsidRPr="0093037D" w:rsidRDefault="0093037D">
            <w:r w:rsidRPr="0093037D">
              <w:rPr>
                <w:b/>
                <w:color w:val="000000"/>
                <w:sz w:val="20"/>
                <w:szCs w:val="20"/>
              </w:rPr>
              <w:t>Nastavitelnost rozhraní, systému, vyhledávání</w:t>
            </w:r>
          </w:p>
        </w:tc>
      </w:tr>
      <w:tr w:rsidR="00D27F66">
        <w:trPr>
          <w:cantSplit/>
          <w:trHeight w:val="256"/>
        </w:trPr>
        <w:tc>
          <w:tcPr>
            <w:tcW w:w="791" w:type="dxa"/>
            <w:shd w:val="clear" w:color="auto" w:fill="auto"/>
            <w:vAlign w:val="center"/>
          </w:tcPr>
          <w:p w:rsidR="00D27F66" w:rsidRDefault="0093037D">
            <w:pPr>
              <w:jc w:val="center"/>
            </w:pPr>
            <w:r>
              <w:rPr>
                <w:sz w:val="20"/>
                <w:szCs w:val="20"/>
              </w:rPr>
              <w:t>1.42</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color w:val="000000"/>
                <w:sz w:val="20"/>
                <w:szCs w:val="20"/>
              </w:rPr>
              <w:t>Vstupní kontrola dat na přípustné formáty a hodnoty. Kontrola vyplnění povinných položek ve formulářích.</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256"/>
        </w:trPr>
        <w:tc>
          <w:tcPr>
            <w:tcW w:w="791" w:type="dxa"/>
            <w:shd w:val="clear" w:color="auto" w:fill="auto"/>
            <w:vAlign w:val="center"/>
          </w:tcPr>
          <w:p w:rsidR="00D27F66" w:rsidRDefault="0093037D">
            <w:pPr>
              <w:jc w:val="center"/>
            </w:pPr>
            <w:r>
              <w:rPr>
                <w:sz w:val="20"/>
                <w:szCs w:val="20"/>
              </w:rPr>
              <w:t>1.43</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color w:val="000000"/>
                <w:sz w:val="20"/>
                <w:szCs w:val="20"/>
              </w:rPr>
              <w:t>Kontrola duplicitních záznamů.</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7</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256"/>
        </w:trPr>
        <w:tc>
          <w:tcPr>
            <w:tcW w:w="791" w:type="dxa"/>
            <w:shd w:val="clear" w:color="auto" w:fill="auto"/>
            <w:vAlign w:val="center"/>
          </w:tcPr>
          <w:p w:rsidR="00D27F66" w:rsidRDefault="0093037D">
            <w:pPr>
              <w:jc w:val="center"/>
            </w:pPr>
            <w:r>
              <w:rPr>
                <w:sz w:val="20"/>
                <w:szCs w:val="20"/>
              </w:rPr>
              <w:t>1.44</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color w:val="000000"/>
                <w:sz w:val="20"/>
                <w:szCs w:val="20"/>
              </w:rPr>
              <w:t>Podpora  vyhledávání v číselnících a datech i za pomoci zástupných znaků.</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400"/>
        </w:trPr>
        <w:tc>
          <w:tcPr>
            <w:tcW w:w="791" w:type="dxa"/>
            <w:shd w:val="clear" w:color="auto" w:fill="auto"/>
            <w:vAlign w:val="center"/>
          </w:tcPr>
          <w:p w:rsidR="00D27F66" w:rsidRDefault="0093037D">
            <w:pPr>
              <w:jc w:val="center"/>
            </w:pPr>
            <w:r>
              <w:rPr>
                <w:sz w:val="20"/>
                <w:szCs w:val="20"/>
              </w:rPr>
              <w:t>1.45</w:t>
            </w:r>
          </w:p>
        </w:tc>
        <w:tc>
          <w:tcPr>
            <w:tcW w:w="8564"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r w:rsidRPr="0093037D">
              <w:rPr>
                <w:color w:val="000000"/>
                <w:sz w:val="20"/>
                <w:szCs w:val="20"/>
              </w:rPr>
              <w:t>Podpora fulltextového vyhledávání v číselnících a datech s možností volby nerozlišovat diakritiku (možnost rozlišování vybrat nebo ignorovat).</w:t>
            </w:r>
          </w:p>
        </w:tc>
        <w:tc>
          <w:tcPr>
            <w:tcW w:w="124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7</w:t>
            </w:r>
          </w:p>
        </w:tc>
        <w:tc>
          <w:tcPr>
            <w:tcW w:w="125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sz w:val="20"/>
                <w:szCs w:val="20"/>
                <w:highlight w:val="black"/>
              </w:rPr>
            </w:pPr>
          </w:p>
        </w:tc>
        <w:tc>
          <w:tcPr>
            <w:tcW w:w="1302"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trPr>
          <w:cantSplit/>
          <w:trHeight w:val="400"/>
        </w:trPr>
        <w:tc>
          <w:tcPr>
            <w:tcW w:w="791" w:type="dxa"/>
            <w:shd w:val="clear" w:color="auto" w:fill="auto"/>
            <w:vAlign w:val="center"/>
          </w:tcPr>
          <w:p w:rsidR="00D27F66" w:rsidRDefault="0093037D">
            <w:pPr>
              <w:jc w:val="center"/>
            </w:pPr>
            <w:r>
              <w:rPr>
                <w:sz w:val="20"/>
                <w:szCs w:val="20"/>
              </w:rPr>
              <w:t>1.46</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color w:val="000000"/>
                <w:sz w:val="20"/>
                <w:szCs w:val="20"/>
              </w:rPr>
              <w:t>Podpora vyhledávání podle jednoho nebo více současně splněných kritérií včetně možnosti zadat časové období (nemusí odpovídat účetnímu období).</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2</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194"/>
        </w:trPr>
        <w:tc>
          <w:tcPr>
            <w:tcW w:w="791" w:type="dxa"/>
            <w:shd w:val="clear" w:color="auto" w:fill="auto"/>
            <w:tcMar>
              <w:left w:w="0" w:type="dxa"/>
              <w:right w:w="0" w:type="dxa"/>
            </w:tcMar>
            <w:vAlign w:val="center"/>
          </w:tcPr>
          <w:p w:rsidR="00D27F66" w:rsidRDefault="00D27F66">
            <w:pPr>
              <w:jc w:val="center"/>
              <w:rPr>
                <w:sz w:val="20"/>
                <w:szCs w:val="20"/>
              </w:rPr>
            </w:pPr>
          </w:p>
        </w:tc>
        <w:tc>
          <w:tcPr>
            <w:tcW w:w="13778" w:type="dxa"/>
            <w:gridSpan w:val="5"/>
            <w:tcBorders>
              <w:top w:val="single" w:sz="4" w:space="0" w:color="000000"/>
              <w:bottom w:val="single" w:sz="4" w:space="0" w:color="000000"/>
            </w:tcBorders>
            <w:shd w:val="clear" w:color="auto" w:fill="auto"/>
            <w:tcMar>
              <w:left w:w="0" w:type="dxa"/>
              <w:right w:w="0" w:type="dxa"/>
            </w:tcMar>
            <w:vAlign w:val="center"/>
          </w:tcPr>
          <w:p w:rsidR="00D27F66" w:rsidRPr="0093037D" w:rsidRDefault="0093037D">
            <w:r w:rsidRPr="0093037D">
              <w:rPr>
                <w:b/>
                <w:color w:val="000000"/>
                <w:sz w:val="20"/>
                <w:szCs w:val="20"/>
              </w:rPr>
              <w:t>Dokumentace k systému</w:t>
            </w:r>
          </w:p>
        </w:tc>
      </w:tr>
      <w:tr w:rsidR="00D27F66">
        <w:trPr>
          <w:cantSplit/>
          <w:trHeight w:val="763"/>
        </w:trPr>
        <w:tc>
          <w:tcPr>
            <w:tcW w:w="791" w:type="dxa"/>
            <w:shd w:val="clear" w:color="auto" w:fill="auto"/>
            <w:vAlign w:val="center"/>
          </w:tcPr>
          <w:p w:rsidR="00D27F66" w:rsidRDefault="0093037D">
            <w:pPr>
              <w:jc w:val="center"/>
            </w:pPr>
            <w:r>
              <w:rPr>
                <w:sz w:val="20"/>
                <w:szCs w:val="20"/>
              </w:rPr>
              <w:t>1.47</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color w:val="000000"/>
                <w:sz w:val="20"/>
                <w:szCs w:val="20"/>
              </w:rPr>
              <w:t>Dodání dokumentace aktuální konfigurace systému a jeho technologických komponent včetně jejich nastavení, a to pro všechny implementované prvky systému. Dokumentace zahrnuje rovněž konfiguraci hardwarové a databázové platformy nezbytné pro běh systému včetně konfigurace lokální uživatelské stanice, periferního zařízení, případně požadavků na komunikační infrastrukturu.</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763"/>
        </w:trPr>
        <w:tc>
          <w:tcPr>
            <w:tcW w:w="791" w:type="dxa"/>
            <w:shd w:val="clear" w:color="auto" w:fill="auto"/>
            <w:vAlign w:val="center"/>
          </w:tcPr>
          <w:p w:rsidR="00D27F66" w:rsidRDefault="0093037D">
            <w:pPr>
              <w:jc w:val="center"/>
            </w:pPr>
            <w:r>
              <w:rPr>
                <w:sz w:val="20"/>
                <w:szCs w:val="20"/>
              </w:rPr>
              <w:t>1.48</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Dodání uživatelské a administrátorské dokumentace. Při každém update systému nebo jeho částí, ať z legislativních nebo jiných důvodů, dodání plně aktualizované uživatelské a administrátorské dokumentace nebo změnové dokumentace. Součástí administrátorské dokumentace je popis formátu, struktury a dalších vlastností pro potenciální importní a exportní soubory.</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581"/>
        </w:trPr>
        <w:tc>
          <w:tcPr>
            <w:tcW w:w="791" w:type="dxa"/>
            <w:shd w:val="clear" w:color="auto" w:fill="auto"/>
            <w:vAlign w:val="center"/>
          </w:tcPr>
          <w:p w:rsidR="00D27F66" w:rsidRDefault="0093037D">
            <w:pPr>
              <w:jc w:val="center"/>
            </w:pPr>
            <w:r>
              <w:rPr>
                <w:sz w:val="20"/>
                <w:szCs w:val="20"/>
              </w:rPr>
              <w:t>1.49</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Dodání dokumentace popisující implementované struktury zdrojů dat, datové komunikace mezi jednotlivými subsystémy (zejména od různých výrobců) a zavedených datových rozhraní pro komunikaci s externími systémy. Udržování dokumentace v aktuálním stavu.</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400"/>
        </w:trPr>
        <w:tc>
          <w:tcPr>
            <w:tcW w:w="791" w:type="dxa"/>
            <w:shd w:val="clear" w:color="auto" w:fill="auto"/>
            <w:vAlign w:val="center"/>
          </w:tcPr>
          <w:p w:rsidR="00D27F66" w:rsidRDefault="0093037D">
            <w:pPr>
              <w:jc w:val="center"/>
            </w:pPr>
            <w:r>
              <w:rPr>
                <w:sz w:val="20"/>
                <w:szCs w:val="20"/>
              </w:rPr>
              <w:t>1.50</w:t>
            </w:r>
          </w:p>
        </w:tc>
        <w:tc>
          <w:tcPr>
            <w:tcW w:w="8564"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color w:val="000000"/>
                <w:sz w:val="20"/>
                <w:szCs w:val="20"/>
              </w:rPr>
              <w:t xml:space="preserve">Pro systém v anglickém jazyce dodání uživatelské dokumentace v anglickém jazyce a její aktualizace při každé změně.  </w:t>
            </w:r>
          </w:p>
        </w:tc>
        <w:tc>
          <w:tcPr>
            <w:tcW w:w="124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8</w:t>
            </w:r>
          </w:p>
        </w:tc>
        <w:tc>
          <w:tcPr>
            <w:tcW w:w="125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sz w:val="20"/>
                <w:szCs w:val="20"/>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trPr>
          <w:cantSplit/>
          <w:trHeight w:val="256"/>
        </w:trPr>
        <w:tc>
          <w:tcPr>
            <w:tcW w:w="791" w:type="dxa"/>
            <w:shd w:val="clear" w:color="auto" w:fill="auto"/>
            <w:vAlign w:val="center"/>
          </w:tcPr>
          <w:p w:rsidR="00D27F66" w:rsidRDefault="0093037D">
            <w:pPr>
              <w:jc w:val="center"/>
            </w:pPr>
            <w:r>
              <w:rPr>
                <w:sz w:val="20"/>
                <w:szCs w:val="20"/>
              </w:rPr>
              <w:lastRenderedPageBreak/>
              <w:t>1.51</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Dostupnost uživatelské dokumentace z prostředí systému (kontextová nápověda).</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7</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trPr>
          <w:cantSplit/>
          <w:trHeight w:val="400"/>
        </w:trPr>
        <w:tc>
          <w:tcPr>
            <w:tcW w:w="791" w:type="dxa"/>
            <w:shd w:val="clear" w:color="auto" w:fill="auto"/>
            <w:vAlign w:val="center"/>
          </w:tcPr>
          <w:p w:rsidR="00D27F66" w:rsidRDefault="0093037D">
            <w:pPr>
              <w:jc w:val="center"/>
            </w:pPr>
            <w:r>
              <w:rPr>
                <w:sz w:val="20"/>
                <w:szCs w:val="20"/>
              </w:rPr>
              <w:t>1.52</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color w:val="000000"/>
                <w:sz w:val="20"/>
                <w:szCs w:val="20"/>
              </w:rPr>
              <w:t>V dostatečném předstihu, zpravidla nejméně měsíc před vydáním nové verze systému (update, upgrade), seznamovat s plánovanými změnami a jejich funkcionalitami.</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pPr>
            <w:r w:rsidRPr="0093037D">
              <w:rPr>
                <w:sz w:val="20"/>
                <w:szCs w:val="20"/>
              </w:rPr>
              <w:t>8</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Pr="0093037D" w:rsidRDefault="0093037D">
            <w:pPr>
              <w:jc w:val="center"/>
            </w:pPr>
            <w:r w:rsidRPr="0093037D">
              <w:rPr>
                <w:sz w:val="20"/>
                <w:szCs w:val="20"/>
              </w:rPr>
              <w:t>P</w:t>
            </w:r>
          </w:p>
        </w:tc>
      </w:tr>
      <w:tr w:rsidR="00D27F66">
        <w:trPr>
          <w:cantSplit/>
          <w:trHeight w:val="270"/>
        </w:trPr>
        <w:tc>
          <w:tcPr>
            <w:tcW w:w="791" w:type="dxa"/>
            <w:shd w:val="clear" w:color="auto" w:fill="auto"/>
            <w:tcMar>
              <w:left w:w="28" w:type="dxa"/>
              <w:right w:w="28" w:type="dxa"/>
            </w:tcMar>
            <w:vAlign w:val="center"/>
          </w:tcPr>
          <w:p w:rsidR="00D27F66" w:rsidRDefault="00D27F66">
            <w:pPr>
              <w:jc w:val="center"/>
              <w:rPr>
                <w:sz w:val="20"/>
                <w:szCs w:val="20"/>
              </w:rPr>
            </w:pPr>
          </w:p>
        </w:tc>
        <w:tc>
          <w:tcPr>
            <w:tcW w:w="13778" w:type="dxa"/>
            <w:gridSpan w:val="5"/>
            <w:shd w:val="clear" w:color="auto" w:fill="auto"/>
            <w:tcMar>
              <w:left w:w="28" w:type="dxa"/>
              <w:right w:w="28" w:type="dxa"/>
            </w:tcMar>
            <w:vAlign w:val="center"/>
          </w:tcPr>
          <w:p w:rsidR="00D27F66" w:rsidRPr="0093037D" w:rsidRDefault="0093037D">
            <w:r w:rsidRPr="0093037D">
              <w:rPr>
                <w:b/>
                <w:color w:val="000000"/>
                <w:sz w:val="20"/>
                <w:szCs w:val="20"/>
              </w:rPr>
              <w:t>Administrace</w:t>
            </w:r>
          </w:p>
        </w:tc>
      </w:tr>
      <w:tr w:rsidR="00D27F66">
        <w:trPr>
          <w:cantSplit/>
          <w:trHeight w:val="400"/>
        </w:trPr>
        <w:tc>
          <w:tcPr>
            <w:tcW w:w="791" w:type="dxa"/>
            <w:shd w:val="clear" w:color="auto" w:fill="auto"/>
            <w:vAlign w:val="center"/>
          </w:tcPr>
          <w:p w:rsidR="00D27F66" w:rsidRDefault="0093037D">
            <w:pPr>
              <w:jc w:val="center"/>
            </w:pPr>
            <w:r>
              <w:rPr>
                <w:sz w:val="20"/>
                <w:szCs w:val="20"/>
              </w:rPr>
              <w:t>1.53</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color w:val="000000"/>
                <w:sz w:val="20"/>
                <w:szCs w:val="20"/>
              </w:rPr>
              <w:t>Systém je provozován v testovacím a ostrém (produkčním) prostředí. Data v testovacím prostředí jsou aktualizována 1x denně. Testovací prostředí odpovídá ostrému prostředí včetně nastavení uživatelských rolí a práv.</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pPr>
            <w:r w:rsidRPr="0093037D">
              <w:rPr>
                <w:sz w:val="20"/>
                <w:szCs w:val="20"/>
              </w:rPr>
              <w:t>10</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Pr="0093037D" w:rsidRDefault="0093037D">
            <w:pPr>
              <w:jc w:val="center"/>
            </w:pPr>
            <w:r w:rsidRPr="0093037D">
              <w:rPr>
                <w:sz w:val="20"/>
                <w:szCs w:val="20"/>
              </w:rPr>
              <w:t>P</w:t>
            </w:r>
          </w:p>
        </w:tc>
      </w:tr>
      <w:tr w:rsidR="00D27F66">
        <w:trPr>
          <w:cantSplit/>
          <w:trHeight w:val="256"/>
        </w:trPr>
        <w:tc>
          <w:tcPr>
            <w:tcW w:w="791" w:type="dxa"/>
            <w:shd w:val="clear" w:color="auto" w:fill="auto"/>
            <w:vAlign w:val="center"/>
          </w:tcPr>
          <w:p w:rsidR="00D27F66" w:rsidRDefault="0093037D">
            <w:pPr>
              <w:jc w:val="center"/>
            </w:pPr>
            <w:r>
              <w:rPr>
                <w:sz w:val="20"/>
                <w:szCs w:val="20"/>
              </w:rPr>
              <w:t>1.54</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color w:val="000000"/>
                <w:sz w:val="20"/>
                <w:szCs w:val="20"/>
              </w:rPr>
              <w:t>Tvorba, správa, parametrizace, přidělování a odstraňování uživatelských rolí.</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pPr>
            <w:r w:rsidRPr="0093037D">
              <w:rPr>
                <w:sz w:val="20"/>
                <w:szCs w:val="20"/>
              </w:rPr>
              <w:t>5</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Pr="0093037D" w:rsidRDefault="0093037D">
            <w:pPr>
              <w:jc w:val="center"/>
            </w:pPr>
            <w:r w:rsidRPr="0093037D">
              <w:rPr>
                <w:sz w:val="20"/>
                <w:szCs w:val="20"/>
              </w:rPr>
              <w:t>P</w:t>
            </w:r>
          </w:p>
        </w:tc>
      </w:tr>
      <w:tr w:rsidR="00D27F66">
        <w:trPr>
          <w:cantSplit/>
          <w:trHeight w:val="400"/>
        </w:trPr>
        <w:tc>
          <w:tcPr>
            <w:tcW w:w="791" w:type="dxa"/>
            <w:shd w:val="clear" w:color="auto" w:fill="auto"/>
            <w:vAlign w:val="center"/>
          </w:tcPr>
          <w:p w:rsidR="00D27F66" w:rsidRDefault="0093037D">
            <w:pPr>
              <w:jc w:val="center"/>
            </w:pPr>
            <w:r>
              <w:rPr>
                <w:sz w:val="20"/>
                <w:szCs w:val="20"/>
              </w:rPr>
              <w:t>1.55</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color w:val="000000"/>
                <w:sz w:val="20"/>
                <w:szCs w:val="20"/>
              </w:rPr>
              <w:t>Možnost nastavit u uživatelů návaznost přístupů na zaměstnanecký poměr – automatizované ukončení přístupů s ukončením pracovního poměru (s možností ruční editace).</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pPr>
            <w:r w:rsidRPr="0093037D">
              <w:rPr>
                <w:sz w:val="20"/>
                <w:szCs w:val="20"/>
              </w:rPr>
              <w:t>5</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Pr="0093037D" w:rsidRDefault="0093037D">
            <w:pPr>
              <w:jc w:val="center"/>
            </w:pPr>
            <w:r w:rsidRPr="0093037D">
              <w:rPr>
                <w:sz w:val="20"/>
                <w:szCs w:val="20"/>
              </w:rPr>
              <w:t>P</w:t>
            </w:r>
          </w:p>
        </w:tc>
      </w:tr>
      <w:tr w:rsidR="00D27F66">
        <w:trPr>
          <w:cantSplit/>
          <w:trHeight w:val="270"/>
        </w:trPr>
        <w:tc>
          <w:tcPr>
            <w:tcW w:w="791" w:type="dxa"/>
            <w:shd w:val="clear" w:color="auto" w:fill="auto"/>
            <w:tcMar>
              <w:left w:w="28" w:type="dxa"/>
              <w:right w:w="28" w:type="dxa"/>
            </w:tcMar>
            <w:vAlign w:val="center"/>
          </w:tcPr>
          <w:p w:rsidR="00D27F66" w:rsidRDefault="00D27F66">
            <w:pPr>
              <w:jc w:val="center"/>
              <w:rPr>
                <w:sz w:val="20"/>
                <w:szCs w:val="20"/>
              </w:rPr>
            </w:pPr>
          </w:p>
        </w:tc>
        <w:tc>
          <w:tcPr>
            <w:tcW w:w="13778" w:type="dxa"/>
            <w:gridSpan w:val="5"/>
            <w:shd w:val="clear" w:color="auto" w:fill="auto"/>
            <w:tcMar>
              <w:left w:w="28" w:type="dxa"/>
              <w:right w:w="28" w:type="dxa"/>
            </w:tcMar>
            <w:vAlign w:val="center"/>
          </w:tcPr>
          <w:p w:rsidR="00D27F66" w:rsidRPr="0093037D" w:rsidRDefault="0093037D">
            <w:r w:rsidRPr="0093037D">
              <w:rPr>
                <w:b/>
                <w:color w:val="000000"/>
                <w:sz w:val="20"/>
                <w:szCs w:val="20"/>
              </w:rPr>
              <w:t>Personalizované rozhraní uživatele</w:t>
            </w:r>
          </w:p>
        </w:tc>
      </w:tr>
      <w:tr w:rsidR="00D27F66">
        <w:trPr>
          <w:cantSplit/>
          <w:trHeight w:val="900"/>
        </w:trPr>
        <w:tc>
          <w:tcPr>
            <w:tcW w:w="791" w:type="dxa"/>
            <w:shd w:val="clear" w:color="auto" w:fill="auto"/>
            <w:vAlign w:val="center"/>
          </w:tcPr>
          <w:p w:rsidR="00D27F66" w:rsidRDefault="0093037D">
            <w:pPr>
              <w:jc w:val="center"/>
            </w:pPr>
            <w:r>
              <w:rPr>
                <w:sz w:val="20"/>
                <w:szCs w:val="20"/>
              </w:rPr>
              <w:t>1.56</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color w:val="000000"/>
                <w:sz w:val="20"/>
                <w:szCs w:val="20"/>
              </w:rPr>
              <w:t>Každý zaměstnanec má personalizovaný přístup k informacím, které se ho týkají (např. výplatní páska, dovolené, přehled svěřeného majetku). Přístup musí být umožněn přes běžné internetové prohlížeče.</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pPr>
            <w:r w:rsidRPr="0093037D">
              <w:rPr>
                <w:sz w:val="20"/>
                <w:szCs w:val="20"/>
              </w:rPr>
              <w:t>10</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Pr="0093037D" w:rsidRDefault="0093037D">
            <w:pPr>
              <w:jc w:val="center"/>
            </w:pPr>
            <w:r w:rsidRPr="0093037D">
              <w:rPr>
                <w:sz w:val="20"/>
                <w:szCs w:val="20"/>
              </w:rPr>
              <w:t>P</w:t>
            </w:r>
          </w:p>
        </w:tc>
      </w:tr>
      <w:tr w:rsidR="00D27F66">
        <w:trPr>
          <w:cantSplit/>
          <w:trHeight w:val="400"/>
        </w:trPr>
        <w:tc>
          <w:tcPr>
            <w:tcW w:w="791" w:type="dxa"/>
            <w:shd w:val="clear" w:color="auto" w:fill="auto"/>
            <w:vAlign w:val="center"/>
          </w:tcPr>
          <w:p w:rsidR="00D27F66" w:rsidRDefault="0093037D">
            <w:pPr>
              <w:jc w:val="center"/>
            </w:pPr>
            <w:r>
              <w:rPr>
                <w:sz w:val="20"/>
                <w:szCs w:val="20"/>
              </w:rPr>
              <w:t>1.57</w:t>
            </w:r>
          </w:p>
        </w:tc>
        <w:tc>
          <w:tcPr>
            <w:tcW w:w="8564"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color w:val="000000"/>
                <w:sz w:val="20"/>
                <w:szCs w:val="20"/>
              </w:rPr>
              <w:t>Přístup k informacím je pro vedoucího zaměstnance proti běžnému zaměstnanci rozšířen o všechny záznamy, které se týkají jeho podřízených.</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pPr>
            <w:r w:rsidRPr="0093037D">
              <w:rPr>
                <w:sz w:val="20"/>
                <w:szCs w:val="20"/>
              </w:rPr>
              <w:t>10</w:t>
            </w:r>
          </w:p>
        </w:tc>
        <w:tc>
          <w:tcPr>
            <w:tcW w:w="125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Pr="0093037D" w:rsidRDefault="0093037D">
            <w:pPr>
              <w:jc w:val="center"/>
            </w:pPr>
            <w:r w:rsidRPr="0093037D">
              <w:rPr>
                <w:sz w:val="20"/>
                <w:szCs w:val="20"/>
              </w:rPr>
              <w:t>P</w:t>
            </w:r>
          </w:p>
        </w:tc>
      </w:tr>
      <w:tr w:rsidR="00D27F66">
        <w:trPr>
          <w:cantSplit/>
          <w:trHeight w:val="400"/>
        </w:trPr>
        <w:tc>
          <w:tcPr>
            <w:tcW w:w="791" w:type="dxa"/>
            <w:shd w:val="clear" w:color="auto" w:fill="auto"/>
            <w:tcMar>
              <w:left w:w="0" w:type="dxa"/>
              <w:right w:w="0" w:type="dxa"/>
            </w:tcMar>
            <w:vAlign w:val="center"/>
          </w:tcPr>
          <w:p w:rsidR="00D27F66" w:rsidRDefault="00D27F66">
            <w:pPr>
              <w:jc w:val="center"/>
            </w:pPr>
          </w:p>
        </w:tc>
        <w:tc>
          <w:tcPr>
            <w:tcW w:w="13778" w:type="dxa"/>
            <w:gridSpan w:val="5"/>
            <w:tcBorders>
              <w:bottom w:val="single" w:sz="4" w:space="0" w:color="000000"/>
            </w:tcBorders>
            <w:shd w:val="clear" w:color="auto" w:fill="auto"/>
            <w:tcMar>
              <w:left w:w="0" w:type="dxa"/>
              <w:right w:w="0" w:type="dxa"/>
            </w:tcMar>
            <w:vAlign w:val="center"/>
          </w:tcPr>
          <w:p w:rsidR="00D27F66" w:rsidRPr="0093037D" w:rsidRDefault="0093037D">
            <w:r w:rsidRPr="0093037D">
              <w:rPr>
                <w:b/>
                <w:bCs/>
                <w:sz w:val="20"/>
                <w:szCs w:val="20"/>
              </w:rPr>
              <w:t>Rozhraní na externí systémy</w:t>
            </w:r>
          </w:p>
        </w:tc>
      </w:tr>
      <w:tr w:rsidR="00D27F66">
        <w:trPr>
          <w:cantSplit/>
          <w:trHeight w:val="400"/>
        </w:trPr>
        <w:tc>
          <w:tcPr>
            <w:tcW w:w="791" w:type="dxa"/>
            <w:shd w:val="clear" w:color="auto" w:fill="auto"/>
            <w:vAlign w:val="center"/>
          </w:tcPr>
          <w:p w:rsidR="00D27F66" w:rsidRDefault="0093037D">
            <w:pPr>
              <w:jc w:val="center"/>
            </w:pPr>
            <w:r>
              <w:rPr>
                <w:sz w:val="20"/>
                <w:szCs w:val="20"/>
              </w:rPr>
              <w:t>1.58</w:t>
            </w:r>
          </w:p>
        </w:tc>
        <w:tc>
          <w:tcPr>
            <w:tcW w:w="8564" w:type="dxa"/>
            <w:tcBorders>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EIS má vytvořeno rozhraní pro integraci s centrálním elektronickým systémem spisové služby (eSSL) podle požadavků Národního standardu pro elektronické systémy spisové služby (VMV čá. 57/2017), kapitoly 9 ROZHRANÍ K PROPOJENÍ INFORMAČNÍCH SYSTÉMŮ SPRAVUJÍCÍCH DOKUMENTY, podkap. 9.1 Vazby mezi systémy pro správu dokumentů.</w:t>
            </w:r>
          </w:p>
        </w:tc>
        <w:tc>
          <w:tcPr>
            <w:tcW w:w="1246" w:type="dxa"/>
            <w:tcBorders>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10</w:t>
            </w:r>
          </w:p>
        </w:tc>
        <w:tc>
          <w:tcPr>
            <w:tcW w:w="1250" w:type="dxa"/>
            <w:tcBorders>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i/>
                <w:sz w:val="20"/>
                <w:szCs w:val="20"/>
                <w:highlight w:val="black"/>
              </w:rPr>
            </w:pPr>
            <w:r w:rsidRPr="0093037D">
              <w:rPr>
                <w:i/>
                <w:sz w:val="20"/>
                <w:szCs w:val="20"/>
                <w:highlight w:val="black"/>
              </w:rPr>
              <w:t>vyplní uch.</w:t>
            </w:r>
          </w:p>
        </w:tc>
        <w:tc>
          <w:tcPr>
            <w:tcW w:w="1302" w:type="dxa"/>
            <w:tcBorders>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bl>
    <w:p w:rsidR="00D27F66" w:rsidRDefault="00D27F66"/>
    <w:p w:rsidR="00D27F66" w:rsidRDefault="0093037D">
      <w:r>
        <w:rPr>
          <w:b/>
          <w:bCs/>
          <w:sz w:val="24"/>
        </w:rPr>
        <w:t>2. Ekonomika</w:t>
      </w:r>
    </w:p>
    <w:tbl>
      <w:tblPr>
        <w:tblW w:w="14624" w:type="dxa"/>
        <w:tblInd w:w="-57" w:type="dxa"/>
        <w:tblCellMar>
          <w:left w:w="30" w:type="dxa"/>
          <w:right w:w="30" w:type="dxa"/>
        </w:tblCellMar>
        <w:tblLook w:val="04A0" w:firstRow="1" w:lastRow="0" w:firstColumn="1" w:lastColumn="0" w:noHBand="0" w:noVBand="1"/>
      </w:tblPr>
      <w:tblGrid>
        <w:gridCol w:w="848"/>
        <w:gridCol w:w="8565"/>
        <w:gridCol w:w="35"/>
        <w:gridCol w:w="1208"/>
        <w:gridCol w:w="24"/>
        <w:gridCol w:w="1166"/>
        <w:gridCol w:w="25"/>
        <w:gridCol w:w="1393"/>
        <w:gridCol w:w="14"/>
        <w:gridCol w:w="1346"/>
      </w:tblGrid>
      <w:tr w:rsidR="00D27F66" w:rsidTr="00423904">
        <w:trPr>
          <w:cantSplit/>
          <w:trHeight w:val="510"/>
          <w:tblHeader/>
        </w:trPr>
        <w:tc>
          <w:tcPr>
            <w:tcW w:w="848" w:type="dxa"/>
            <w:shd w:val="clear" w:color="auto" w:fill="auto"/>
            <w:vAlign w:val="center"/>
          </w:tcPr>
          <w:p w:rsidR="00D27F66" w:rsidRDefault="00D27F66">
            <w:pPr>
              <w:jc w:val="center"/>
              <w:rPr>
                <w:sz w:val="20"/>
                <w:szCs w:val="20"/>
              </w:rPr>
            </w:pPr>
          </w:p>
        </w:tc>
        <w:tc>
          <w:tcPr>
            <w:tcW w:w="8565"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r>
              <w:rPr>
                <w:b/>
                <w:szCs w:val="22"/>
              </w:rPr>
              <w:t>Požadavek na funkcionalitu</w:t>
            </w:r>
          </w:p>
        </w:tc>
        <w:tc>
          <w:tcPr>
            <w:tcW w:w="1243" w:type="dxa"/>
            <w:gridSpan w:val="2"/>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Body významnosti funkcionality</w:t>
            </w:r>
          </w:p>
        </w:tc>
        <w:tc>
          <w:tcPr>
            <w:tcW w:w="1190" w:type="dxa"/>
            <w:gridSpan w:val="2"/>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Standardní funkcionalita</w:t>
            </w:r>
          </w:p>
        </w:tc>
        <w:tc>
          <w:tcPr>
            <w:tcW w:w="1418" w:type="dxa"/>
            <w:gridSpan w:val="2"/>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Bude doplněno / doprogramováno</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Povinný / rozšiřující</w:t>
            </w:r>
          </w:p>
        </w:tc>
      </w:tr>
      <w:tr w:rsidR="00D27F66" w:rsidTr="00423904">
        <w:trPr>
          <w:cantSplit/>
          <w:trHeight w:val="220"/>
        </w:trPr>
        <w:tc>
          <w:tcPr>
            <w:tcW w:w="848" w:type="dxa"/>
            <w:shd w:val="clear" w:color="auto" w:fill="auto"/>
            <w:vAlign w:val="center"/>
          </w:tcPr>
          <w:p w:rsidR="00D27F66" w:rsidRDefault="00D27F66">
            <w:pPr>
              <w:jc w:val="center"/>
              <w:rPr>
                <w:sz w:val="20"/>
                <w:szCs w:val="20"/>
              </w:rPr>
            </w:pPr>
          </w:p>
        </w:tc>
        <w:tc>
          <w:tcPr>
            <w:tcW w:w="13776" w:type="dxa"/>
            <w:gridSpan w:val="9"/>
            <w:shd w:val="clear" w:color="auto" w:fill="auto"/>
            <w:vAlign w:val="center"/>
          </w:tcPr>
          <w:p w:rsidR="00D27F66" w:rsidRDefault="0093037D">
            <w:r>
              <w:rPr>
                <w:b/>
                <w:sz w:val="20"/>
                <w:szCs w:val="20"/>
              </w:rPr>
              <w:t>Finance a účetnictví</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2.1</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Účet je tvořen minimálně 7 znaky, z toho 3 syntetický účet a 4 analytický účet.</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8</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2.2</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Jednotná evidence partnerů s možností zadávání časově omezených údajů. Zobrazení evidence včetně všech omezení a zneplatněných údajů.</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2.3</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ověřit u zahraničních dodavatelů z EU (plátců DPH) - registr VIES, jejich DIČ již při jejich zavedení do číselníku ekonomických subjektů i v reálném čase při zadávání dokladů včetně možnosti hromadné kontroly.</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7</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lastRenderedPageBreak/>
              <w:t>2.4</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Automatické ověřování a doplňování údajů u tuzemských dodavatelů při jejich zavedení z celostátního rejstříku ARES i v reálném čase při zadávání dokladů včetně možnosti hromadné kontroly.</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7</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80"/>
        </w:trPr>
        <w:tc>
          <w:tcPr>
            <w:tcW w:w="848" w:type="dxa"/>
            <w:shd w:val="clear" w:color="auto" w:fill="auto"/>
            <w:vAlign w:val="center"/>
          </w:tcPr>
          <w:p w:rsidR="00D27F66" w:rsidRDefault="0093037D">
            <w:pPr>
              <w:jc w:val="center"/>
            </w:pPr>
            <w:r>
              <w:rPr>
                <w:sz w:val="20"/>
                <w:szCs w:val="20"/>
              </w:rPr>
              <w:t>2.5</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Podklady pro Intrastat – sledování vzniku povinnosti pro podávání hlášení, podpora jeho sestavení ve formě sestavy v MS Excel.</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6</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2.6</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Systém musí mít v číselníku ekonomických subjektů možnost evidovat dodavatele poskytující náhradní plnění. Editovatelný příznak, že se jedná o náhradní plnění, musí být součástí každé faktury takového dodavatele s tím, že je primárně nastaven na neposkytnutí náhradního plnění.</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2.7</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U prvotních účetních dokladů je zavedeno a zobrazeno spojení (provazba) na navazující doklady (DPH, dodatečná kontace – přeúčtování, ...) s možností doklady zobrazit v jejich detailu.</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45"/>
        </w:trPr>
        <w:tc>
          <w:tcPr>
            <w:tcW w:w="848" w:type="dxa"/>
            <w:shd w:val="clear" w:color="auto" w:fill="auto"/>
            <w:vAlign w:val="center"/>
          </w:tcPr>
          <w:p w:rsidR="00D27F66" w:rsidRDefault="0093037D">
            <w:pPr>
              <w:jc w:val="center"/>
            </w:pPr>
            <w:r>
              <w:rPr>
                <w:sz w:val="20"/>
                <w:szCs w:val="20"/>
              </w:rPr>
              <w:t>2.8</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Přílohy k prvotním dokladům, práce s přílohami napříč celým systémem v rámci ústavu (dohledávání, zobrazování).</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2.9</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Promítnutí rozkontace prvotních dokladů na hlavní knize v okamžiku jejich zpracování na úrovni prvotních dokladů. Standardně je u všech oprav zaúčtovaných dokladů zavedena auditní stopa.</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2.10</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Předběžné účetní závěrky (vytvoření výkazů) za všechny otevřené účetní periody vč. roku.</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2.11</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účtování do celého účetního období zpětně s možností zúžení na oprávněné osoby. Neumožnění nevratných měsíčních závěrek, lze zabránit či povolit účtování do jednotlivých měsíců. V jednotlivých měsících lze povolit možnost účtování s vlivem na DPH nebo bez vlivu na DPH.</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2.12</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Možnost účtovat do více otevřených účetních období, s možností účtování uživatelů v různých účetních obdobích.</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i/>
                <w:sz w:val="20"/>
                <w:szCs w:val="20"/>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2.13</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Automatické provádění roční závěrky bez nutnosti ručních zásahů, včetně převodu sald, zůstatků na zdrojích financování. Současně ponechat možnost ručních zásahů.</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2.14</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Sledování historie změn dokladů s vyznačením provedených změn.</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423904">
            <w:pPr>
              <w:jc w:val="center"/>
              <w:rPr>
                <w:i/>
                <w:sz w:val="20"/>
                <w:szCs w:val="20"/>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423904">
        <w:trPr>
          <w:cantSplit/>
          <w:trHeight w:val="985"/>
        </w:trPr>
        <w:tc>
          <w:tcPr>
            <w:tcW w:w="848" w:type="dxa"/>
            <w:shd w:val="clear" w:color="auto" w:fill="auto"/>
            <w:vAlign w:val="center"/>
          </w:tcPr>
          <w:p w:rsidR="00D27F66" w:rsidRDefault="0093037D">
            <w:pPr>
              <w:jc w:val="center"/>
            </w:pPr>
            <w:r>
              <w:rPr>
                <w:sz w:val="20"/>
                <w:szCs w:val="20"/>
              </w:rPr>
              <w:t>2.15</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individuálního nastavení charakteru pro jednotlivé analytické účty (povinné, nepovinné, zakázané) s výběrem z 5 identifikátorů, např. nákladové středisko, typ akce, akce (zakázka, projekt, grant), komplexní položka, zdroj financování.</w:t>
            </w:r>
            <w:r>
              <w:rPr>
                <w:sz w:val="20"/>
                <w:szCs w:val="20"/>
              </w:rPr>
              <w:br/>
              <w:t>Každý analytický účet může být ve stavu aktivní a neaktivní, přičemž neaktivní analytický účet se nenabízí k účtování.</w:t>
            </w:r>
            <w:r>
              <w:rPr>
                <w:sz w:val="20"/>
                <w:szCs w:val="20"/>
              </w:rPr>
              <w:br/>
              <w:t>Nový analytický účet se musí propsat do všech formulářů a výkazů podle jejich charakteru.</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2.16</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vícezdrojového financování prvotního dokladu – na prvotním dokladu se promítne více různých kombinací zdrojů (s více komplexními položkami i s více typy akcí na různá střediska) s vazbou k finanční částce. Každá kombinace finančního zdroje může podléhat jiným schvalovatelům (vazba na schvalovací workflow).</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423904" w:rsidTr="00423904">
        <w:trPr>
          <w:cantSplit/>
          <w:trHeight w:val="220"/>
        </w:trPr>
        <w:tc>
          <w:tcPr>
            <w:tcW w:w="848" w:type="dxa"/>
            <w:shd w:val="clear" w:color="auto" w:fill="auto"/>
            <w:vAlign w:val="center"/>
          </w:tcPr>
          <w:p w:rsidR="00423904" w:rsidRDefault="00423904" w:rsidP="00423904">
            <w:pPr>
              <w:jc w:val="center"/>
            </w:pPr>
            <w:r>
              <w:rPr>
                <w:sz w:val="20"/>
                <w:szCs w:val="20"/>
              </w:rPr>
              <w:t>2.17</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r>
              <w:rPr>
                <w:sz w:val="20"/>
                <w:szCs w:val="20"/>
              </w:rPr>
              <w:t>Uživatelské založení a správa číselníku typu zdrojů financování.</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tcPr>
          <w:p w:rsidR="00423904" w:rsidRDefault="00423904" w:rsidP="00423904">
            <w:r w:rsidRPr="001441DC">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tcPr>
          <w:p w:rsidR="00423904" w:rsidRDefault="00423904" w:rsidP="00423904">
            <w:r w:rsidRPr="001441DC">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lastRenderedPageBreak/>
              <w:t>2.18</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Párování účetních pohybů v rámci jednoho analytického účtu dle nastavených pravidel (párovací symboly, VS, atd.).</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2</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600"/>
        </w:trPr>
        <w:tc>
          <w:tcPr>
            <w:tcW w:w="848" w:type="dxa"/>
            <w:shd w:val="clear" w:color="auto" w:fill="auto"/>
            <w:vAlign w:val="center"/>
          </w:tcPr>
          <w:p w:rsidR="00D27F66" w:rsidRDefault="0093037D">
            <w:pPr>
              <w:jc w:val="center"/>
            </w:pPr>
            <w:r>
              <w:rPr>
                <w:sz w:val="20"/>
                <w:szCs w:val="20"/>
              </w:rPr>
              <w:t>2.19</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Účetní věta musí minimálně obsahovat: datum účetního případu, číslo prvotního dokladu, analytický účet, název účtu, nákladové středisko, identifikátory analytických účtů, MD, D, popis účetního případu, párovací symbol, min. 2 nepovinné položky (textové pole). Účetní věta musí dále obsahovat částku v CZK a informativně v cizí měně, pokud byl doklad v této měně vystaven.</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2.20</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Automatické plnění položek účetní věty systémem podle zvolených pravidel (i hromadně). U nepovinných položek možnost jejich editace.</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7</w:t>
            </w:r>
          </w:p>
        </w:tc>
        <w:tc>
          <w:tcPr>
            <w:tcW w:w="119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423904">
            <w:pPr>
              <w:jc w:val="center"/>
              <w:rPr>
                <w:i/>
                <w:sz w:val="20"/>
                <w:szCs w:val="20"/>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2.21</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filtrování dat nad účetním deníkem podle libovolné kombinace všech účetních položek evidovaných v systému. Vytvoření výstupního souboru ve formátu MS Excel a pdf s vyfiltrovanými daty.</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2.22</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Filtrace časového období nad účetním deníkem umožňuje ohraničit období počátečním a koncovým datem v rámci účetního období.</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2.23</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Filtrace časového období nad účetním deníkem umožňuje ohraničit období počátečním a koncovým datem. Data mohou být zadána přes více účetních období.</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i/>
                <w:sz w:val="20"/>
                <w:szCs w:val="20"/>
                <w:highlight w:val="black"/>
              </w:rPr>
            </w:pP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2.24</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promítnutí všech zaúčtovaných i nezaúčtovaných dokladů v reálném čase do všech výkazů a sestav, tj. bez nutnosti provádět účetní závěrku.</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2.25</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informativního náhledu před zaúčtování dokladu na změnu v obratech způsobených účetním zápisem a vyčíslení zůstatků na všech analytických účtech.</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7</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Pr="0093037D" w:rsidRDefault="0093037D">
            <w:pPr>
              <w:jc w:val="center"/>
            </w:pPr>
            <w:r w:rsidRPr="0093037D">
              <w:rPr>
                <w:sz w:val="20"/>
                <w:szCs w:val="20"/>
              </w:rPr>
              <w:t>2.26</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sz w:val="20"/>
                <w:szCs w:val="20"/>
              </w:rPr>
              <w:t>Systém neumožňuje zaúčtovat nevyrovnaný účetní doklad.</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Pr="0093037D" w:rsidRDefault="00D27F66">
            <w:pPr>
              <w:jc w:val="center"/>
              <w:rPr>
                <w:sz w:val="20"/>
                <w:szCs w:val="20"/>
              </w:rPr>
            </w:pPr>
          </w:p>
        </w:tc>
        <w:tc>
          <w:tcPr>
            <w:tcW w:w="13776" w:type="dxa"/>
            <w:gridSpan w:val="9"/>
            <w:shd w:val="clear" w:color="auto" w:fill="auto"/>
            <w:vAlign w:val="center"/>
          </w:tcPr>
          <w:p w:rsidR="00D27F66" w:rsidRPr="0093037D" w:rsidRDefault="0093037D">
            <w:r w:rsidRPr="0093037D">
              <w:rPr>
                <w:b/>
                <w:sz w:val="20"/>
                <w:szCs w:val="20"/>
              </w:rPr>
              <w:t>Fakturace, saldo</w:t>
            </w:r>
          </w:p>
        </w:tc>
      </w:tr>
      <w:tr w:rsidR="00D27F66" w:rsidTr="00423904">
        <w:trPr>
          <w:cantSplit/>
          <w:trHeight w:val="220"/>
        </w:trPr>
        <w:tc>
          <w:tcPr>
            <w:tcW w:w="848" w:type="dxa"/>
            <w:shd w:val="clear" w:color="auto" w:fill="auto"/>
            <w:vAlign w:val="center"/>
          </w:tcPr>
          <w:p w:rsidR="00D27F66" w:rsidRPr="0093037D" w:rsidRDefault="0093037D">
            <w:pPr>
              <w:jc w:val="center"/>
            </w:pPr>
            <w:r w:rsidRPr="0093037D">
              <w:rPr>
                <w:sz w:val="20"/>
                <w:szCs w:val="20"/>
              </w:rPr>
              <w:t>2.27</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sz w:val="20"/>
                <w:szCs w:val="20"/>
              </w:rPr>
              <w:t>Kniha přijatých a vydaných faktur včetně možnosti interní fakturace. V měně CZK a dostupných zahraničních měnách.</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4</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2.28</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 xml:space="preserve">Podpora elektronické fakturace. </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2.29</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kopírovat závazky a pohledávky do nových dokladů, vytváření kopií.</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4</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2.30</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U přijatých faktur musí být rozlišitelné stavy podle kroků ve workflow. Možnost nastavení filtru podle stavu faktury.</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8</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2.31</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Přiložení dokumentů v elektronické podobě k prvotním účetním dokladům. Připojování dokladů k prvotnímu dokladu při oběhu dokladů ve workflow. Možnost přiložení dalších dokladů dle potřeby.</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2.32</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 xml:space="preserve">Elektronické schvalování finančních zdrojů (jednotlivých kombinací finančních zdrojů, každá kombinace může mít jiného schvalovatele), několik stupňů (úrovní) schvalovatelů včetně jejich finančních limitů pro schvalování (workflow). </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2.33</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Práce se zálohovými fakturami, párování, hlídání duplicit, informování o možném spárování.</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4</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lastRenderedPageBreak/>
              <w:t>2.34</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Zápis a účtování závazků a pohledávek včetně záloh na více finančních zdrojů (jeden doklad rozúčtován na více kombinací finančních zdrojů).</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9</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2.35</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Vzájemný zápočet (zápočet pohledávek a závazků za jedním partnerem přímo proti sobě), návaznost na účtování.</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4</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2.36</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Saldokonta odběratelů, dodavatelů – možnost automatického i ručního párování s provazbou na účetnictví. Při chybném spárování možnost oprav.</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4</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2.37</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propojení jednoho dobropisu s více prvotními doklady najednou.</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2.38</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Při přiřazení čísla objednávky nebo smlouvy k závazku se automaticky provede provázání na zdroj krytí.</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90"/>
        </w:trPr>
        <w:tc>
          <w:tcPr>
            <w:tcW w:w="848" w:type="dxa"/>
            <w:shd w:val="clear" w:color="auto" w:fill="auto"/>
            <w:vAlign w:val="center"/>
          </w:tcPr>
          <w:p w:rsidR="00D27F66" w:rsidRDefault="0093037D">
            <w:pPr>
              <w:jc w:val="center"/>
            </w:pPr>
            <w:r>
              <w:rPr>
                <w:sz w:val="20"/>
                <w:szCs w:val="20"/>
              </w:rPr>
              <w:t>2.39</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 xml:space="preserve">Podpora zpracování upomínek k pohledávkám, stupňování upomínek – zpracování hromadně nebo i pro jednoho jednotlivého odběratele. Možnost definovat generování upomínky po uplynutí splatnosti faktur – možnost odsouhlasení, zrušení či posunutí termínu vystavení upomínky. </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423904" w:rsidTr="000C7B9E">
        <w:trPr>
          <w:cantSplit/>
          <w:trHeight w:val="220"/>
        </w:trPr>
        <w:tc>
          <w:tcPr>
            <w:tcW w:w="848" w:type="dxa"/>
            <w:shd w:val="clear" w:color="auto" w:fill="auto"/>
            <w:vAlign w:val="center"/>
          </w:tcPr>
          <w:p w:rsidR="00423904" w:rsidRDefault="00423904" w:rsidP="00423904">
            <w:pPr>
              <w:jc w:val="center"/>
            </w:pPr>
            <w:r>
              <w:rPr>
                <w:sz w:val="20"/>
                <w:szCs w:val="20"/>
              </w:rPr>
              <w:t>2.40</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sz w:val="20"/>
                <w:szCs w:val="20"/>
              </w:rPr>
              <w:t>Možnost opravy kontací přímo v bance i u saldokontních účtů.</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5</w:t>
            </w:r>
          </w:p>
        </w:tc>
        <w:tc>
          <w:tcPr>
            <w:tcW w:w="119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E54F3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R</w:t>
            </w:r>
          </w:p>
        </w:tc>
      </w:tr>
      <w:tr w:rsidR="00423904" w:rsidTr="000C7B9E">
        <w:trPr>
          <w:cantSplit/>
          <w:trHeight w:val="220"/>
        </w:trPr>
        <w:tc>
          <w:tcPr>
            <w:tcW w:w="848" w:type="dxa"/>
            <w:shd w:val="clear" w:color="auto" w:fill="auto"/>
            <w:vAlign w:val="center"/>
          </w:tcPr>
          <w:p w:rsidR="00423904" w:rsidRDefault="00423904" w:rsidP="00423904">
            <w:pPr>
              <w:jc w:val="center"/>
            </w:pPr>
            <w:r>
              <w:rPr>
                <w:sz w:val="20"/>
                <w:szCs w:val="20"/>
              </w:rPr>
              <w:t>2.41</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sz w:val="20"/>
                <w:szCs w:val="20"/>
              </w:rPr>
              <w:t>Možnost opravy údajů na faktuře i v případě, kdy je faktura vložena do platebního příkazu (s výjimkou částky a dodavatele).</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5</w:t>
            </w:r>
          </w:p>
        </w:tc>
        <w:tc>
          <w:tcPr>
            <w:tcW w:w="119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E54F3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R</w:t>
            </w:r>
          </w:p>
        </w:tc>
      </w:tr>
      <w:tr w:rsidR="00423904" w:rsidTr="000C7B9E">
        <w:trPr>
          <w:cantSplit/>
          <w:trHeight w:val="220"/>
        </w:trPr>
        <w:tc>
          <w:tcPr>
            <w:tcW w:w="848" w:type="dxa"/>
            <w:shd w:val="clear" w:color="auto" w:fill="auto"/>
            <w:vAlign w:val="center"/>
          </w:tcPr>
          <w:p w:rsidR="00423904" w:rsidRDefault="00423904" w:rsidP="00423904">
            <w:pPr>
              <w:jc w:val="center"/>
            </w:pPr>
            <w:r>
              <w:rPr>
                <w:sz w:val="20"/>
                <w:szCs w:val="20"/>
              </w:rPr>
              <w:t>2.42</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sz w:val="20"/>
                <w:szCs w:val="20"/>
              </w:rPr>
              <w:t>Možnost přesunů mezi jednotlivými typy závazků/pohledávek, zejména z hlediska jednotlivých měn.</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3</w:t>
            </w:r>
          </w:p>
        </w:tc>
        <w:tc>
          <w:tcPr>
            <w:tcW w:w="119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E54F3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R</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2.43</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Podpora zpracování pohledávek a závazků v cizí měně vč. záloh a jejich párování (jedna či více měn na jednom dokladu). Následná práce s doklady v cizí měně (tiskové výstupy, plnění rámcových smluv apod.).</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6</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2.44</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Podpora pro analýzy pohledávek a závazků podle stáří, zákazníků, finančních zdrojů (se kterými jsou spojeny), doby po splatnosti apod. s návazností na tvorbu opravných položek a odpisů, inventarizace pohledávek a závazků.</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4</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2.45</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vystavení faktury v CZK i cizí měně.</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2.46</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Průběžné sledování a hodnocení nevyúčtovaných záloh, stálé zálohy. Možnost nastavení upozornění / blokace poskytnutí další zálohy zaměstnanci, který má předchozí nevyúčtovanou – ruční odblokování po důrazném upozornění.</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6</w:t>
            </w:r>
          </w:p>
        </w:tc>
        <w:tc>
          <w:tcPr>
            <w:tcW w:w="119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i/>
                <w:sz w:val="20"/>
                <w:szCs w:val="20"/>
                <w:highlight w:val="black"/>
              </w:rPr>
            </w:pP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2.47</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sz w:val="20"/>
                <w:szCs w:val="20"/>
              </w:rPr>
              <w:t>Workflow likvidace závazků.</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D27F66">
            <w:pPr>
              <w:jc w:val="center"/>
              <w:rPr>
                <w:sz w:val="20"/>
                <w:szCs w:val="20"/>
              </w:rPr>
            </w:pPr>
          </w:p>
        </w:tc>
        <w:tc>
          <w:tcPr>
            <w:tcW w:w="13776" w:type="dxa"/>
            <w:gridSpan w:val="9"/>
            <w:shd w:val="clear" w:color="auto" w:fill="auto"/>
            <w:vAlign w:val="center"/>
          </w:tcPr>
          <w:p w:rsidR="00D27F66" w:rsidRPr="0093037D" w:rsidRDefault="0093037D">
            <w:r w:rsidRPr="0093037D">
              <w:rPr>
                <w:b/>
                <w:sz w:val="20"/>
                <w:szCs w:val="20"/>
              </w:rPr>
              <w:t>Banka</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2.48</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sz w:val="20"/>
                <w:szCs w:val="20"/>
              </w:rPr>
              <w:t>Platební styk s podporou e-bankingu. Podpora elektronické komunikace s peněžními ústavy (min. ČNB, Komerční banka, ČSOB), plný elektronický styk s bankami – příkazy tuzemské, zasílání elektronicky, stahování výpisů, hromadné stahování výpisů.</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6</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2.49</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Platební styk s podporou e-bankingu. Platební příkazy v cizí měně, použití devizových účtů. Možnost vyplnění příkazu do zahraničí (IBAN, SWIFT, BIC SEPA,…).</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6</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lastRenderedPageBreak/>
              <w:t>2.50</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Podepisování příkazů pomocí systémových i osobních certifikátů (i větším počtem certifikátů na jednom příkazu).</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6</w:t>
            </w:r>
          </w:p>
        </w:tc>
        <w:tc>
          <w:tcPr>
            <w:tcW w:w="119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423904">
            <w:pPr>
              <w:jc w:val="center"/>
              <w:rPr>
                <w:i/>
                <w:sz w:val="20"/>
                <w:szCs w:val="20"/>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2.51</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Sestavování příkazů k hromadné platbě výběrem z připravených plateb, blokace vygenerování opětovné úhrady.</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2.52</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Možnost zaplacení faktury z jiného účtu než na faktuře uvedeného.</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6</w:t>
            </w:r>
          </w:p>
        </w:tc>
        <w:tc>
          <w:tcPr>
            <w:tcW w:w="119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i/>
                <w:sz w:val="20"/>
                <w:szCs w:val="20"/>
                <w:highlight w:val="black"/>
              </w:rPr>
            </w:pP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2.53</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 xml:space="preserve">Import rozpisu úhrad platebními kartami. </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2.54</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Automatická kontace opakujících se plateb banky, párování závazků a pohledávek podle kritérií (min. VS, částka, měna, číslo bankovního účtu protistrany).</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2.55</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nastavení pravidel pro automatickou předkontaci opakujících se plateb (mzdy, bankovní poplatky, převody apod.).</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7</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Pr="0093037D" w:rsidRDefault="0093037D">
            <w:pPr>
              <w:jc w:val="center"/>
            </w:pPr>
            <w:r w:rsidRPr="0093037D">
              <w:rPr>
                <w:sz w:val="20"/>
                <w:szCs w:val="20"/>
              </w:rPr>
              <w:t>2.56</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r w:rsidRPr="0093037D">
              <w:rPr>
                <w:sz w:val="20"/>
                <w:szCs w:val="20"/>
              </w:rPr>
              <w:t>Možnost hromadného účtování bankovních výpisů pomocí souhrnného účetního dokladu dle položek bankovních výpisů. Zaúčtování jedním účetním zápisem.</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8</w:t>
            </w:r>
          </w:p>
        </w:tc>
        <w:tc>
          <w:tcPr>
            <w:tcW w:w="119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i/>
                <w:sz w:val="20"/>
                <w:szCs w:val="20"/>
                <w:highlight w:val="black"/>
              </w:rPr>
            </w:pP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423904">
        <w:trPr>
          <w:cantSplit/>
          <w:trHeight w:val="220"/>
        </w:trPr>
        <w:tc>
          <w:tcPr>
            <w:tcW w:w="848" w:type="dxa"/>
            <w:shd w:val="clear" w:color="auto" w:fill="auto"/>
            <w:vAlign w:val="center"/>
          </w:tcPr>
          <w:p w:rsidR="00D27F66" w:rsidRPr="0093037D" w:rsidRDefault="00D27F66">
            <w:pPr>
              <w:jc w:val="center"/>
              <w:rPr>
                <w:sz w:val="20"/>
                <w:szCs w:val="20"/>
              </w:rPr>
            </w:pPr>
          </w:p>
        </w:tc>
        <w:tc>
          <w:tcPr>
            <w:tcW w:w="13776" w:type="dxa"/>
            <w:gridSpan w:val="9"/>
            <w:shd w:val="clear" w:color="auto" w:fill="auto"/>
            <w:vAlign w:val="center"/>
          </w:tcPr>
          <w:p w:rsidR="00D27F66" w:rsidRPr="0093037D" w:rsidRDefault="0093037D">
            <w:r w:rsidRPr="0093037D">
              <w:rPr>
                <w:b/>
                <w:sz w:val="20"/>
                <w:szCs w:val="20"/>
              </w:rPr>
              <w:t>Pokladna</w:t>
            </w:r>
          </w:p>
        </w:tc>
      </w:tr>
      <w:tr w:rsidR="00D27F66" w:rsidTr="00423904">
        <w:trPr>
          <w:cantSplit/>
          <w:trHeight w:val="220"/>
        </w:trPr>
        <w:tc>
          <w:tcPr>
            <w:tcW w:w="848" w:type="dxa"/>
            <w:shd w:val="clear" w:color="auto" w:fill="auto"/>
            <w:vAlign w:val="center"/>
          </w:tcPr>
          <w:p w:rsidR="00D27F66" w:rsidRPr="0093037D" w:rsidRDefault="0093037D">
            <w:pPr>
              <w:jc w:val="center"/>
            </w:pPr>
            <w:r w:rsidRPr="0093037D">
              <w:rPr>
                <w:sz w:val="20"/>
                <w:szCs w:val="20"/>
              </w:rPr>
              <w:t>2.57</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sz w:val="20"/>
                <w:szCs w:val="20"/>
              </w:rPr>
              <w:t>Tuzemské i valutové pokladny.</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2</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Pr="0093037D" w:rsidRDefault="0093037D">
            <w:pPr>
              <w:jc w:val="center"/>
            </w:pPr>
            <w:r w:rsidRPr="0093037D">
              <w:rPr>
                <w:sz w:val="20"/>
                <w:szCs w:val="20"/>
              </w:rPr>
              <w:t>2.58</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sz w:val="20"/>
                <w:szCs w:val="20"/>
              </w:rPr>
              <w:t>Přímá vazba pokladny na konkrétní osoby s ohledem na hmotnou odpovědnost, řešení zástupů.</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2</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Pr="0093037D" w:rsidRDefault="0093037D">
            <w:pPr>
              <w:jc w:val="center"/>
            </w:pPr>
            <w:r w:rsidRPr="0093037D">
              <w:rPr>
                <w:sz w:val="20"/>
                <w:szCs w:val="20"/>
              </w:rPr>
              <w:t>2.59</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sz w:val="20"/>
                <w:szCs w:val="20"/>
              </w:rPr>
              <w:t>Zjednodušené daňové doklady k přijatým platbám odpovídající podmínkám zákona o DPH.</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2</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Pr="0093037D" w:rsidRDefault="0093037D">
            <w:pPr>
              <w:jc w:val="center"/>
            </w:pPr>
            <w:r w:rsidRPr="0093037D">
              <w:rPr>
                <w:sz w:val="20"/>
                <w:szCs w:val="20"/>
              </w:rPr>
              <w:t>2.60</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sz w:val="20"/>
                <w:szCs w:val="20"/>
              </w:rPr>
              <w:t>Přiřazování hotovostních úhrad k závazkům a pohledávkám, částečné úhrady v CZK i cizích měnách.</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2</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Pr="0093037D" w:rsidRDefault="0093037D">
            <w:pPr>
              <w:jc w:val="center"/>
            </w:pPr>
            <w:r w:rsidRPr="0093037D">
              <w:rPr>
                <w:sz w:val="20"/>
                <w:szCs w:val="20"/>
              </w:rPr>
              <w:t>2.61</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sz w:val="20"/>
                <w:szCs w:val="20"/>
              </w:rPr>
              <w:t>Hromadné úhrady (jeden pokladní doklad k několika závazkům, několika pohledávkám, kombinaci pohledávek a závazků) vůči jednomu příjemci/plátci.</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6</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Pr="0093037D" w:rsidRDefault="0093037D">
            <w:pPr>
              <w:jc w:val="center"/>
            </w:pPr>
            <w:r w:rsidRPr="0093037D">
              <w:rPr>
                <w:sz w:val="20"/>
                <w:szCs w:val="20"/>
              </w:rPr>
              <w:t>2.62</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sz w:val="20"/>
                <w:szCs w:val="20"/>
              </w:rPr>
              <w:t>Nezávislé uzavírání jednotlivých tuzemských i valutových pokladen.</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423904" w:rsidTr="00EB5213">
        <w:trPr>
          <w:cantSplit/>
          <w:trHeight w:val="220"/>
        </w:trPr>
        <w:tc>
          <w:tcPr>
            <w:tcW w:w="848" w:type="dxa"/>
            <w:shd w:val="clear" w:color="auto" w:fill="auto"/>
            <w:vAlign w:val="center"/>
          </w:tcPr>
          <w:p w:rsidR="00423904" w:rsidRPr="0093037D" w:rsidRDefault="00423904" w:rsidP="00423904">
            <w:pPr>
              <w:jc w:val="center"/>
            </w:pPr>
            <w:r w:rsidRPr="0093037D">
              <w:rPr>
                <w:sz w:val="20"/>
                <w:szCs w:val="20"/>
              </w:rPr>
              <w:t>2.63</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r w:rsidRPr="0093037D">
              <w:rPr>
                <w:sz w:val="20"/>
                <w:szCs w:val="20"/>
              </w:rPr>
              <w:t>Prodejní pokladna s vazbou na sklad, vystavení paragonů, prodejních faktur, podpora plateb kartou atd.</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4</w:t>
            </w:r>
          </w:p>
        </w:tc>
        <w:tc>
          <w:tcPr>
            <w:tcW w:w="119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2F18E2">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R</w:t>
            </w:r>
          </w:p>
        </w:tc>
      </w:tr>
      <w:tr w:rsidR="00423904" w:rsidTr="00EB5213">
        <w:trPr>
          <w:cantSplit/>
          <w:trHeight w:val="220"/>
        </w:trPr>
        <w:tc>
          <w:tcPr>
            <w:tcW w:w="848" w:type="dxa"/>
            <w:shd w:val="clear" w:color="auto" w:fill="auto"/>
            <w:vAlign w:val="center"/>
          </w:tcPr>
          <w:p w:rsidR="00423904" w:rsidRPr="0093037D" w:rsidRDefault="00423904" w:rsidP="00423904">
            <w:pPr>
              <w:jc w:val="center"/>
            </w:pPr>
            <w:r w:rsidRPr="0093037D">
              <w:rPr>
                <w:sz w:val="20"/>
                <w:szCs w:val="20"/>
              </w:rPr>
              <w:t>2.64</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r w:rsidRPr="0093037D">
              <w:rPr>
                <w:sz w:val="20"/>
                <w:szCs w:val="20"/>
              </w:rPr>
              <w:t>On line komunikace pokladny (pokladen) se systémem elektronické evidence tržeb.</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4</w:t>
            </w:r>
          </w:p>
        </w:tc>
        <w:tc>
          <w:tcPr>
            <w:tcW w:w="119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2F18E2">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R</w:t>
            </w:r>
          </w:p>
        </w:tc>
      </w:tr>
      <w:tr w:rsidR="00D27F66" w:rsidTr="00423904">
        <w:trPr>
          <w:cantSplit/>
          <w:trHeight w:val="220"/>
        </w:trPr>
        <w:tc>
          <w:tcPr>
            <w:tcW w:w="848" w:type="dxa"/>
            <w:shd w:val="clear" w:color="auto" w:fill="auto"/>
            <w:vAlign w:val="center"/>
          </w:tcPr>
          <w:p w:rsidR="00D27F66" w:rsidRPr="0093037D" w:rsidRDefault="0093037D">
            <w:pPr>
              <w:jc w:val="center"/>
            </w:pPr>
            <w:r w:rsidRPr="0093037D">
              <w:rPr>
                <w:sz w:val="20"/>
                <w:szCs w:val="20"/>
              </w:rPr>
              <w:t>2.65</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sz w:val="20"/>
                <w:szCs w:val="20"/>
              </w:rPr>
              <w:t>Oprava pokladního dokladu v jakékoliv fázi a části (i v jiné, než popis).</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6</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Pr="0093037D" w:rsidRDefault="0093037D">
            <w:pPr>
              <w:jc w:val="center"/>
            </w:pPr>
            <w:r w:rsidRPr="0093037D">
              <w:rPr>
                <w:sz w:val="20"/>
                <w:szCs w:val="20"/>
              </w:rPr>
              <w:t>2.66</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sz w:val="20"/>
                <w:szCs w:val="20"/>
              </w:rPr>
              <w:t>Možnost zpracování pokladního dokladu v rámci celého otevřeného účetního období.</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7</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Pr="0093037D" w:rsidRDefault="00D27F66">
            <w:pPr>
              <w:jc w:val="center"/>
              <w:rPr>
                <w:sz w:val="20"/>
                <w:szCs w:val="20"/>
              </w:rPr>
            </w:pPr>
          </w:p>
        </w:tc>
        <w:tc>
          <w:tcPr>
            <w:tcW w:w="13776" w:type="dxa"/>
            <w:gridSpan w:val="9"/>
            <w:shd w:val="clear" w:color="auto" w:fill="auto"/>
            <w:vAlign w:val="center"/>
          </w:tcPr>
          <w:p w:rsidR="00D27F66" w:rsidRPr="0093037D" w:rsidRDefault="0093037D">
            <w:r w:rsidRPr="0093037D">
              <w:rPr>
                <w:b/>
                <w:sz w:val="20"/>
                <w:szCs w:val="20"/>
              </w:rPr>
              <w:t>Cizí měna</w:t>
            </w:r>
          </w:p>
        </w:tc>
      </w:tr>
      <w:tr w:rsidR="00D27F66" w:rsidTr="00423904">
        <w:trPr>
          <w:cantSplit/>
          <w:trHeight w:val="220"/>
        </w:trPr>
        <w:tc>
          <w:tcPr>
            <w:tcW w:w="848" w:type="dxa"/>
            <w:shd w:val="clear" w:color="auto" w:fill="auto"/>
            <w:vAlign w:val="center"/>
          </w:tcPr>
          <w:p w:rsidR="00D27F66" w:rsidRPr="0093037D" w:rsidRDefault="0093037D">
            <w:pPr>
              <w:jc w:val="center"/>
            </w:pPr>
            <w:r w:rsidRPr="0093037D">
              <w:rPr>
                <w:sz w:val="20"/>
                <w:szCs w:val="20"/>
              </w:rPr>
              <w:t>2.67</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sz w:val="20"/>
                <w:szCs w:val="20"/>
              </w:rPr>
              <w:t>Aktuální kurzový lístek dle ČNB, on-line doplňování dle ČNB.</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2</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Pr="0093037D" w:rsidRDefault="0093037D">
            <w:pPr>
              <w:jc w:val="center"/>
            </w:pPr>
            <w:r w:rsidRPr="0093037D">
              <w:rPr>
                <w:sz w:val="20"/>
                <w:szCs w:val="20"/>
              </w:rPr>
              <w:t>2.68</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sz w:val="20"/>
                <w:szCs w:val="20"/>
              </w:rPr>
              <w:t>Možnost použití pevného kurzu, možnost zadání pevného kurzu na 3 desetinná místa – v celém systému (především u závazků, pohledávek, pokladny, bankovních účtů, žádanek, objednávek).</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6</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2.69</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Při práci se záznamy v cizí měně automatické využívání kurzu (primárně dle kurzového lístku ČNB) pro přepočet na CZK s možností provedení změny (celní kurz pro DPH při dovozu).</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2.70</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Vedení valutových pokladen, prvotní doklady v cizí měně, pohyby na bankovních účtech v cizích měnách, devizové účty, platební příkazy v cizích měnách, v účetním deníku v cizích měnách.</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6</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2.71</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Párování plateb a dokladů v cizí měně s automatizovanou podporou výpočtu a účtování kurzových rozdílů.</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6</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D27F66">
            <w:pPr>
              <w:jc w:val="center"/>
              <w:rPr>
                <w:sz w:val="20"/>
                <w:szCs w:val="20"/>
              </w:rPr>
            </w:pPr>
          </w:p>
        </w:tc>
        <w:tc>
          <w:tcPr>
            <w:tcW w:w="13776" w:type="dxa"/>
            <w:gridSpan w:val="9"/>
            <w:shd w:val="clear" w:color="auto" w:fill="auto"/>
            <w:vAlign w:val="center"/>
          </w:tcPr>
          <w:p w:rsidR="00D27F66" w:rsidRDefault="0093037D">
            <w:r>
              <w:rPr>
                <w:b/>
                <w:sz w:val="20"/>
                <w:szCs w:val="20"/>
              </w:rPr>
              <w:t>DPH</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2.72</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Evidence sazeb DPH s ohledem na požadavky zákona, aktualizace dle aktuálně platné legislativy, včetně krácení a poměrového koeficientu, podpora při změně sazby.</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600"/>
        </w:trPr>
        <w:tc>
          <w:tcPr>
            <w:tcW w:w="848" w:type="dxa"/>
            <w:shd w:val="clear" w:color="auto" w:fill="auto"/>
            <w:vAlign w:val="center"/>
          </w:tcPr>
          <w:p w:rsidR="00D27F66" w:rsidRDefault="0093037D">
            <w:pPr>
              <w:jc w:val="center"/>
            </w:pPr>
            <w:r>
              <w:rPr>
                <w:sz w:val="20"/>
                <w:szCs w:val="20"/>
              </w:rPr>
              <w:t>2.73</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Evidence a výpočty podkladů pro DPH, příprava podkladů pro přiznání k DPH,  DPH a kontrolní hlášení vč. přiznání ve zvláštním režimu jednoho správního místa, souhrnného hlášení a přenesení daňové povinnosti. Vyměření DPH u došlých faktur a ostatních závazků a následná kontrola se stavem na účtech.</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4</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2.74</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 xml:space="preserve">U každého daňového dokladu vazba na prvotní doklad a přiznání k DPH  a kontrolního hlášení  s možností zobrazení těchto dokladů jednoduchým způsobem (prokliknutím). </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5</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2.75</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Systém umožňuje rozkliknutí každého řádku Přiznání k DPH a Kontrolního hlášení až na prvotní doklady navedené v EIS s plným rozsahem zobrazení údajů</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8</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2.76</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Zobrazení chybových hlášení vůči splnění požadavků zákona o DPH s odkazem na příslušný prvotní daňový doklad.</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2.77</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Výstup pro přiznání k DPH a kontrolní hlášení ve formátu dle požadavků MF ČR včetně povinných příloh (formát XML i tisknutelný formát).</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4</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2.78</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Propojení agendy DPH se souvisejícími agendami (závazky, pohledávky, pokladna,  banka). Pořízení daňových dokladů – cizí měny (podklad pro přepočet základu daně, částky daně na českou měnu v předepsaném kurzu).</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2.79</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U jednoho daňového dokladu možnost uvedení více sazeb daně.</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2</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2.80</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sz w:val="20"/>
                <w:szCs w:val="20"/>
              </w:rPr>
              <w:t>Možnost kontroly zařazení dokladů do přiznání k DPH a kontrolního hlášení v daném daňovém období.</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7</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D27F66">
            <w:pPr>
              <w:jc w:val="center"/>
              <w:rPr>
                <w:sz w:val="20"/>
                <w:szCs w:val="20"/>
              </w:rPr>
            </w:pPr>
          </w:p>
        </w:tc>
        <w:tc>
          <w:tcPr>
            <w:tcW w:w="13776" w:type="dxa"/>
            <w:gridSpan w:val="9"/>
            <w:shd w:val="clear" w:color="auto" w:fill="auto"/>
            <w:vAlign w:val="center"/>
          </w:tcPr>
          <w:p w:rsidR="00D27F66" w:rsidRPr="0093037D" w:rsidRDefault="0093037D">
            <w:pPr>
              <w:rPr>
                <w:highlight w:val="black"/>
              </w:rPr>
            </w:pPr>
            <w:r w:rsidRPr="0093037D">
              <w:rPr>
                <w:b/>
                <w:sz w:val="20"/>
                <w:szCs w:val="20"/>
                <w:highlight w:val="black"/>
              </w:rPr>
              <w:t>Rozpočty</w:t>
            </w:r>
          </w:p>
        </w:tc>
      </w:tr>
      <w:tr w:rsidR="00D27F66" w:rsidTr="00423904">
        <w:trPr>
          <w:cantSplit/>
          <w:trHeight w:val="715"/>
        </w:trPr>
        <w:tc>
          <w:tcPr>
            <w:tcW w:w="848" w:type="dxa"/>
            <w:shd w:val="clear" w:color="auto" w:fill="auto"/>
            <w:vAlign w:val="center"/>
          </w:tcPr>
          <w:p w:rsidR="00D27F66" w:rsidRDefault="0093037D">
            <w:pPr>
              <w:jc w:val="center"/>
            </w:pPr>
            <w:r>
              <w:rPr>
                <w:sz w:val="20"/>
                <w:szCs w:val="20"/>
              </w:rPr>
              <w:t>2.81</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sz w:val="20"/>
                <w:szCs w:val="20"/>
              </w:rPr>
              <w:t xml:space="preserve">Možnost tvorby rozpočtu v závislosti na zdroji (druhu) finančních prostředků (vyplývající ze zákona č.130/2002 Sb.): </w:t>
            </w:r>
            <w:r w:rsidRPr="0093037D">
              <w:rPr>
                <w:sz w:val="20"/>
                <w:szCs w:val="20"/>
              </w:rPr>
              <w:br/>
              <w:t xml:space="preserve">* Institucionální </w:t>
            </w:r>
            <w:r w:rsidRPr="0093037D">
              <w:rPr>
                <w:sz w:val="20"/>
                <w:szCs w:val="20"/>
              </w:rPr>
              <w:br/>
              <w:t xml:space="preserve">* Účelové </w:t>
            </w:r>
            <w:r w:rsidRPr="0093037D">
              <w:rPr>
                <w:sz w:val="20"/>
                <w:szCs w:val="20"/>
              </w:rPr>
              <w:br/>
              <w:t>* Ostatní (zdroj jiný než podle zákona č. 130/2002 Sb.)</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8</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2.82</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Rozpočet provozních výdajů (nákladů) a investičních prostředků.</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5"/>
        </w:trPr>
        <w:tc>
          <w:tcPr>
            <w:tcW w:w="848" w:type="dxa"/>
            <w:shd w:val="clear" w:color="auto" w:fill="auto"/>
            <w:vAlign w:val="center"/>
          </w:tcPr>
          <w:p w:rsidR="00D27F66" w:rsidRDefault="0093037D">
            <w:pPr>
              <w:jc w:val="center"/>
            </w:pPr>
            <w:r>
              <w:rPr>
                <w:sz w:val="20"/>
                <w:szCs w:val="20"/>
              </w:rPr>
              <w:t>2.83</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Podpora přípravy a tvorby rozpočtu na povinné identifikátory analytického účtu. Kontrola přidělení analytického účtu do dané struktury rozpočtu při účtování nákladů v účetnictví.</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2.84</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nastavení věcné struktury rozpočtů. Možnost náhledu na celkový rozpočet a dílčí rozpočty v návaznosti na kombinaci povinných i nepovinných identifikátorů a současně možnost přímého náhledu do čerpání jednotlivých nákladových položek (faktura, objednávka, cestovní příkaz, ...).</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lastRenderedPageBreak/>
              <w:t>2.85</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Různé varianty časového omezení rozpočtů – roční, víceleté (na víceleté projekty, které běží přes několik kalendářních let), na omezený počet měsíců, od-do, období odlišné od kalendářního roku (i delší než 12 měsíců).</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423904" w:rsidTr="000F3203">
        <w:trPr>
          <w:cantSplit/>
          <w:trHeight w:val="220"/>
        </w:trPr>
        <w:tc>
          <w:tcPr>
            <w:tcW w:w="848" w:type="dxa"/>
            <w:shd w:val="clear" w:color="auto" w:fill="auto"/>
            <w:vAlign w:val="center"/>
          </w:tcPr>
          <w:p w:rsidR="00423904" w:rsidRDefault="00423904" w:rsidP="00423904">
            <w:pPr>
              <w:jc w:val="center"/>
            </w:pPr>
            <w:r>
              <w:rPr>
                <w:sz w:val="20"/>
                <w:szCs w:val="20"/>
              </w:rPr>
              <w:t>2.86</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sz w:val="20"/>
                <w:szCs w:val="20"/>
              </w:rPr>
              <w:t>Při zobrazení časově omezeného čerpání rozpočtů umožnit náhled na čerpání jednotlivých nákladových položek / prvotních dokladů (faktura, objednávka, cestovní příkaz, ...).</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A57BC4">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R</w:t>
            </w:r>
          </w:p>
        </w:tc>
      </w:tr>
      <w:tr w:rsidR="00423904" w:rsidTr="000F3203">
        <w:trPr>
          <w:cantSplit/>
          <w:trHeight w:val="220"/>
        </w:trPr>
        <w:tc>
          <w:tcPr>
            <w:tcW w:w="848" w:type="dxa"/>
            <w:shd w:val="clear" w:color="auto" w:fill="auto"/>
            <w:vAlign w:val="center"/>
          </w:tcPr>
          <w:p w:rsidR="00423904" w:rsidRDefault="00423904" w:rsidP="00423904">
            <w:pPr>
              <w:jc w:val="center"/>
            </w:pPr>
            <w:r>
              <w:rPr>
                <w:sz w:val="20"/>
                <w:szCs w:val="20"/>
              </w:rPr>
              <w:t>2.87</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r>
              <w:rPr>
                <w:sz w:val="20"/>
                <w:szCs w:val="20"/>
              </w:rPr>
              <w:t>Blokace finančních prostředků od schválení žádanky (byla-li vystavena), přes objednávku/smlouvu až po kontaci faktury.</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tcPr>
          <w:p w:rsidR="00423904" w:rsidRDefault="00423904" w:rsidP="00423904">
            <w:r w:rsidRPr="00A57BC4">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P</w:t>
            </w:r>
          </w:p>
        </w:tc>
      </w:tr>
      <w:tr w:rsidR="00423904" w:rsidTr="000F3203">
        <w:trPr>
          <w:cantSplit/>
          <w:trHeight w:val="600"/>
        </w:trPr>
        <w:tc>
          <w:tcPr>
            <w:tcW w:w="848" w:type="dxa"/>
            <w:shd w:val="clear" w:color="auto" w:fill="auto"/>
            <w:vAlign w:val="center"/>
          </w:tcPr>
          <w:p w:rsidR="00423904" w:rsidRDefault="00423904" w:rsidP="00423904">
            <w:pPr>
              <w:jc w:val="center"/>
            </w:pPr>
            <w:r>
              <w:rPr>
                <w:sz w:val="20"/>
                <w:szCs w:val="20"/>
              </w:rPr>
              <w:t>2.88</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r>
              <w:rPr>
                <w:sz w:val="20"/>
                <w:szCs w:val="20"/>
              </w:rPr>
              <w:t>Sledování čerpání rozpočtu, zapojení i neúčetních agend – předběžné čerpání (smlouvy, objednávky, rezervace, žádosti, zálohy, cestovní příkazy, ...), skutečné čerpání (prvotní doklady, účetní doklady), možnost kontroly dat, která do čerpání rozpočtu vstupují (jaké analytické účty pro jednotlivé řádky) a možnost revize, doplnění.</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6</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tcPr>
          <w:p w:rsidR="00423904" w:rsidRDefault="00423904" w:rsidP="00423904">
            <w:r w:rsidRPr="00A57BC4">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P</w:t>
            </w:r>
          </w:p>
        </w:tc>
      </w:tr>
      <w:tr w:rsidR="00423904" w:rsidTr="000F3203">
        <w:trPr>
          <w:cantSplit/>
          <w:trHeight w:val="400"/>
        </w:trPr>
        <w:tc>
          <w:tcPr>
            <w:tcW w:w="848" w:type="dxa"/>
            <w:shd w:val="clear" w:color="auto" w:fill="auto"/>
            <w:vAlign w:val="center"/>
          </w:tcPr>
          <w:p w:rsidR="00423904" w:rsidRDefault="00423904" w:rsidP="00423904">
            <w:pPr>
              <w:jc w:val="center"/>
            </w:pPr>
            <w:r>
              <w:rPr>
                <w:sz w:val="20"/>
                <w:szCs w:val="20"/>
              </w:rPr>
              <w:t>2.89</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r>
              <w:rPr>
                <w:sz w:val="20"/>
                <w:szCs w:val="20"/>
              </w:rPr>
              <w:t>Možnost nadefinovat volitelně kontrolu a varování přečerpání proti rozpočtu nebo řádku rozpočtu, sledování volných prostředků, systém varování a blokace dalších požadavků na rozpočet (např. při nedostatečném finančním krytí).</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10</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tcPr>
          <w:p w:rsidR="00423904" w:rsidRDefault="00423904" w:rsidP="00423904">
            <w:r w:rsidRPr="00A57BC4">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P</w:t>
            </w:r>
          </w:p>
        </w:tc>
      </w:tr>
      <w:tr w:rsidR="00423904" w:rsidTr="000F3203">
        <w:trPr>
          <w:cantSplit/>
          <w:trHeight w:val="400"/>
        </w:trPr>
        <w:tc>
          <w:tcPr>
            <w:tcW w:w="848" w:type="dxa"/>
            <w:shd w:val="clear" w:color="auto" w:fill="auto"/>
            <w:vAlign w:val="center"/>
          </w:tcPr>
          <w:p w:rsidR="00423904" w:rsidRDefault="00423904" w:rsidP="00423904">
            <w:pPr>
              <w:jc w:val="center"/>
            </w:pPr>
            <w:r>
              <w:rPr>
                <w:sz w:val="20"/>
                <w:szCs w:val="20"/>
              </w:rPr>
              <w:t>2.90</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sz w:val="20"/>
                <w:szCs w:val="20"/>
              </w:rPr>
              <w:t>Možnost nadefinovat volitelně kontrolu a varování na blížící se možnost nedočerpání finančních prostředků jednotlivých řádků, položek i rozpočtů vůči plánu.</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4</w:t>
            </w:r>
          </w:p>
        </w:tc>
        <w:tc>
          <w:tcPr>
            <w:tcW w:w="119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A57BC4">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R</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2.91</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Podpora hromadné tvorby rozpočtu, kopírování, tvorba nového rozpočtu dle předem dané masky a pravidel.</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2.92</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sledovat stav rozpočtů (na akci, středisko ...) v aktuálně platném stavu v reálném čase, tj. včetně aktuálního stavu saldokontních účtů okamžitě po zaúčtování účetních dokladů.</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8</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2.93</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Evidence rozpočtových změn, včetně důvodu a okamžiku změny, sledování čerpání rozpočtu v různých časových řezech (před změnou, po změně).</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7</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2.94</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zobrazení až prvotních dokladů, účetních dokladů a zápisů, neúčetních informací (včetně příloh) ovlivňujících skutečné i předběžné čerpání rozpočtu přímo z konkrétního rozpočtu.</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7</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1230"/>
        </w:trPr>
        <w:tc>
          <w:tcPr>
            <w:tcW w:w="848" w:type="dxa"/>
            <w:shd w:val="clear" w:color="auto" w:fill="auto"/>
            <w:vAlign w:val="center"/>
          </w:tcPr>
          <w:p w:rsidR="00D27F66" w:rsidRDefault="0093037D">
            <w:pPr>
              <w:jc w:val="center"/>
            </w:pPr>
            <w:r>
              <w:rPr>
                <w:sz w:val="20"/>
                <w:szCs w:val="20"/>
              </w:rPr>
              <w:t>2.95</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Možnost tvorby vlastních výstupních reportů se složitější strukturou (neomezený počet řádků i sloupců v jedné sestavě s ohledem na formát výstupu), možností kombinací různých vstupních dat a možností uživatelsky definovat funkce mezi jednotlivými sloupci i řádky.</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5</w:t>
            </w:r>
          </w:p>
        </w:tc>
        <w:tc>
          <w:tcPr>
            <w:tcW w:w="119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423904">
            <w:pPr>
              <w:jc w:val="center"/>
              <w:rPr>
                <w:i/>
                <w:sz w:val="20"/>
                <w:szCs w:val="20"/>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2.96</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Přístupová práva uživatelů dle rolí u rozpočtu, možnost delegování rolí.</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2</w:t>
            </w:r>
          </w:p>
        </w:tc>
        <w:tc>
          <w:tcPr>
            <w:tcW w:w="119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0" w:type="dxa"/>
            <w:gridSpan w:val="2"/>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sz w:val="20"/>
                <w:szCs w:val="20"/>
                <w:highlight w:val="black"/>
              </w:rPr>
              <w:t>P</w:t>
            </w:r>
          </w:p>
        </w:tc>
      </w:tr>
      <w:tr w:rsidR="00D27F66" w:rsidTr="00423904">
        <w:trPr>
          <w:cantSplit/>
          <w:trHeight w:val="256"/>
        </w:trPr>
        <w:tc>
          <w:tcPr>
            <w:tcW w:w="848" w:type="dxa"/>
            <w:shd w:val="clear" w:color="auto" w:fill="auto"/>
            <w:vAlign w:val="center"/>
          </w:tcPr>
          <w:p w:rsidR="00D27F66" w:rsidRDefault="00D27F66">
            <w:pPr>
              <w:jc w:val="center"/>
              <w:rPr>
                <w:sz w:val="20"/>
                <w:szCs w:val="20"/>
              </w:rPr>
            </w:pPr>
          </w:p>
        </w:tc>
        <w:tc>
          <w:tcPr>
            <w:tcW w:w="13776" w:type="dxa"/>
            <w:gridSpan w:val="9"/>
            <w:shd w:val="clear" w:color="auto" w:fill="auto"/>
            <w:vAlign w:val="center"/>
          </w:tcPr>
          <w:p w:rsidR="00D27F66" w:rsidRPr="0093037D" w:rsidRDefault="0093037D">
            <w:pPr>
              <w:rPr>
                <w:highlight w:val="black"/>
              </w:rPr>
            </w:pPr>
            <w:r w:rsidRPr="0093037D">
              <w:rPr>
                <w:b/>
                <w:sz w:val="20"/>
                <w:szCs w:val="20"/>
                <w:highlight w:val="black"/>
              </w:rPr>
              <w:t>Evidence majetku</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2.97</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Účetní a daňová evidence dlouhodobého majetku umožňující sledování majetku dle uživatelsky zavedených skupin.</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2.98</w:t>
            </w:r>
          </w:p>
        </w:tc>
        <w:tc>
          <w:tcPr>
            <w:tcW w:w="860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 xml:space="preserve">Evidence příslušenství majetku k evidenci příslušnosti k majetku jako celku včetně možnosti samostatné inventarizace. </w:t>
            </w:r>
          </w:p>
        </w:tc>
        <w:tc>
          <w:tcPr>
            <w:tcW w:w="1232"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5</w:t>
            </w:r>
          </w:p>
        </w:tc>
        <w:tc>
          <w:tcPr>
            <w:tcW w:w="1191"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423904">
            <w:pPr>
              <w:jc w:val="center"/>
              <w:rPr>
                <w:i/>
                <w:sz w:val="20"/>
                <w:szCs w:val="20"/>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lastRenderedPageBreak/>
              <w:t>2.99</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Operativní evidence drobného majetku (majetek bez vazby do účetnictví).</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2</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60"/>
        </w:trPr>
        <w:tc>
          <w:tcPr>
            <w:tcW w:w="848" w:type="dxa"/>
            <w:shd w:val="clear" w:color="auto" w:fill="auto"/>
            <w:vAlign w:val="center"/>
          </w:tcPr>
          <w:p w:rsidR="00D27F66" w:rsidRDefault="0093037D">
            <w:pPr>
              <w:jc w:val="center"/>
            </w:pPr>
            <w:r>
              <w:rPr>
                <w:sz w:val="20"/>
                <w:szCs w:val="20"/>
              </w:rPr>
              <w:t>2.100</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Majetkové transakce – zařazení, změny ceny, technické zhodnocení, převody, hromadný i individuální výpočet účetních a daňových odpisů, vyřazení.</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2.101</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vytváření nových dokladů (majetkových karet) z kopie již existujících dokladů (karet).</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6</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85"/>
        </w:trPr>
        <w:tc>
          <w:tcPr>
            <w:tcW w:w="848" w:type="dxa"/>
            <w:shd w:val="clear" w:color="auto" w:fill="auto"/>
            <w:vAlign w:val="center"/>
          </w:tcPr>
          <w:p w:rsidR="00D27F66" w:rsidRDefault="0093037D">
            <w:pPr>
              <w:jc w:val="center"/>
            </w:pPr>
            <w:r>
              <w:rPr>
                <w:sz w:val="20"/>
                <w:szCs w:val="20"/>
              </w:rPr>
              <w:t>2.102</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Vazba inventární karty a prvotních dokladů, kterými byl majetek pořízen, včetně ceny (podílu na pořizovací ceně) a zdroje financování.</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8</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640"/>
        </w:trPr>
        <w:tc>
          <w:tcPr>
            <w:tcW w:w="848" w:type="dxa"/>
            <w:shd w:val="clear" w:color="auto" w:fill="auto"/>
            <w:vAlign w:val="center"/>
          </w:tcPr>
          <w:p w:rsidR="00D27F66" w:rsidRDefault="0093037D">
            <w:pPr>
              <w:jc w:val="center"/>
            </w:pPr>
            <w:r>
              <w:rPr>
                <w:sz w:val="20"/>
                <w:szCs w:val="20"/>
              </w:rPr>
              <w:t>2.103</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Vazba inventárních karet a konkrétních analytických účtů, na které byly účtovány operace s majetkem, možnost v jakémkoli okamžiku zjistit rozpad zůstatku příslušného analytického účtu na jednotlivé položky evidence majetku (identifikátorem může být např. inventární číslo majetku).</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8</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2.104</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Sledování zápůjček v operativní evidenci (poskytnutých i přijatých).</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2.105</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Převody majetku, hromadné převody majetku včetně tiskových výstupů.</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2.106</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Vyřazení majetku, hromadné vyřazení majetku včetně tiskových výstupů (soupis vyřazovaných položek).</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2.107</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změny údajů, hromadné změny údajů na kartách majetku.</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2</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2.108</w:t>
            </w:r>
          </w:p>
        </w:tc>
        <w:tc>
          <w:tcPr>
            <w:tcW w:w="860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Elektronické převody/vyřazení majetku a elektronické schvalování těchto procesů, plná podpora elektronickým workflow.</w:t>
            </w:r>
          </w:p>
        </w:tc>
        <w:tc>
          <w:tcPr>
            <w:tcW w:w="1232"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10</w:t>
            </w:r>
          </w:p>
        </w:tc>
        <w:tc>
          <w:tcPr>
            <w:tcW w:w="1191"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i/>
                <w:sz w:val="20"/>
                <w:szCs w:val="20"/>
                <w:highlight w:val="black"/>
              </w:rPr>
            </w:pP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2.109</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 xml:space="preserve">Evidence historie veškerých pohybů s majetkem (včetně drobného majetku) s vyznačením provedené změny. </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6</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2.110</w:t>
            </w:r>
          </w:p>
        </w:tc>
        <w:tc>
          <w:tcPr>
            <w:tcW w:w="860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Možnost tisku časového řezu veškerých pohybů s majetkem (včetně drobného majetku).</w:t>
            </w:r>
          </w:p>
        </w:tc>
        <w:tc>
          <w:tcPr>
            <w:tcW w:w="1232"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9</w:t>
            </w:r>
          </w:p>
        </w:tc>
        <w:tc>
          <w:tcPr>
            <w:tcW w:w="1191"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i/>
                <w:sz w:val="20"/>
                <w:szCs w:val="20"/>
                <w:highlight w:val="black"/>
              </w:rPr>
            </w:pP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2.111</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Evidence finančních zdrojů spojených s pořízením, změnou ceny majetku, vícezdrojové financování (na kartě majetku).</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8</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581"/>
        </w:trPr>
        <w:tc>
          <w:tcPr>
            <w:tcW w:w="848" w:type="dxa"/>
            <w:shd w:val="clear" w:color="auto" w:fill="auto"/>
            <w:vAlign w:val="center"/>
          </w:tcPr>
          <w:p w:rsidR="00D27F66" w:rsidRDefault="0093037D">
            <w:pPr>
              <w:jc w:val="center"/>
            </w:pPr>
            <w:r>
              <w:rPr>
                <w:sz w:val="20"/>
                <w:szCs w:val="20"/>
              </w:rPr>
              <w:t>2.112</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 xml:space="preserve">Daňové i účetní odepisování (kombinace dotace, vlastní prostředky), generování odpisů dle nastavených pravidel, odpisových plánů vč. daňových odpisů, vazba účtování o pohybech majetku a finančním zdroji (vícezdrojové financování investic vč. evidence příslušných odpisů ze zdrojů (dotační, nedotační)). </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7</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581"/>
        </w:trPr>
        <w:tc>
          <w:tcPr>
            <w:tcW w:w="848" w:type="dxa"/>
            <w:shd w:val="clear" w:color="auto" w:fill="auto"/>
            <w:vAlign w:val="center"/>
          </w:tcPr>
          <w:p w:rsidR="00D27F66" w:rsidRDefault="0093037D">
            <w:pPr>
              <w:jc w:val="center"/>
            </w:pPr>
            <w:r>
              <w:rPr>
                <w:sz w:val="20"/>
                <w:szCs w:val="20"/>
              </w:rPr>
              <w:t>2.113</w:t>
            </w:r>
          </w:p>
        </w:tc>
        <w:tc>
          <w:tcPr>
            <w:tcW w:w="860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Evidence zůstatkové ceny každého odpisovaného zdroje samostatně (nastavitelné u každého majetku).</w:t>
            </w:r>
          </w:p>
        </w:tc>
        <w:tc>
          <w:tcPr>
            <w:tcW w:w="1232"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7</w:t>
            </w:r>
          </w:p>
        </w:tc>
        <w:tc>
          <w:tcPr>
            <w:tcW w:w="1191"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423904">
            <w:pPr>
              <w:jc w:val="center"/>
              <w:rPr>
                <w:i/>
                <w:sz w:val="20"/>
                <w:szCs w:val="20"/>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2.114</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účtování účetních odpisů na konkrétní zdroj financování (grant, zakázku) po zvolené časové období. V případě více zdrojů umožnit procentuální stanovení podílu.</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2.115</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Práce s centrální kategorizací skupin majetku pro uživatele se speciálním oprávněním.</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2.116</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Uživatelská modifikace a možnost doplnění volitelných polí v kartě majetku pro jednotlivé skupiny majetku. U polí možnost rozlišení na povinně a volitelně vyplňované.</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7</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2.117</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Evidence více kusů stejného majetku na jedné kartě  - soubory majetku. Částečné vyřazení ze souboru majetku.</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423904" w:rsidTr="00852580">
        <w:trPr>
          <w:cantSplit/>
          <w:trHeight w:val="256"/>
        </w:trPr>
        <w:tc>
          <w:tcPr>
            <w:tcW w:w="848" w:type="dxa"/>
            <w:shd w:val="clear" w:color="auto" w:fill="auto"/>
            <w:vAlign w:val="center"/>
          </w:tcPr>
          <w:p w:rsidR="00423904" w:rsidRDefault="00423904" w:rsidP="00423904">
            <w:pPr>
              <w:jc w:val="center"/>
            </w:pPr>
            <w:r>
              <w:rPr>
                <w:sz w:val="20"/>
                <w:szCs w:val="20"/>
              </w:rPr>
              <w:lastRenderedPageBreak/>
              <w:t>2.118</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r>
              <w:rPr>
                <w:sz w:val="20"/>
                <w:szCs w:val="20"/>
              </w:rPr>
              <w:t>Evidence souboru majetku složeného z různého majetku. Evidence souboru majetku včetně možnosti účtování odpisů i všech majetkových operací souboru jako celku.</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pPr>
              <w:jc w:val="center"/>
            </w:pPr>
            <w:r>
              <w:t>6</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tcPr>
          <w:p w:rsidR="00423904" w:rsidRDefault="00423904" w:rsidP="00423904">
            <w:r w:rsidRPr="00194449">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R</w:t>
            </w:r>
          </w:p>
        </w:tc>
      </w:tr>
      <w:tr w:rsidR="00423904" w:rsidTr="00852580">
        <w:trPr>
          <w:cantSplit/>
          <w:trHeight w:val="256"/>
        </w:trPr>
        <w:tc>
          <w:tcPr>
            <w:tcW w:w="848" w:type="dxa"/>
            <w:shd w:val="clear" w:color="auto" w:fill="auto"/>
            <w:vAlign w:val="center"/>
          </w:tcPr>
          <w:p w:rsidR="00423904" w:rsidRDefault="00423904" w:rsidP="00423904">
            <w:pPr>
              <w:jc w:val="center"/>
            </w:pPr>
            <w:r>
              <w:rPr>
                <w:sz w:val="20"/>
                <w:szCs w:val="20"/>
              </w:rPr>
              <w:t>2.119</w:t>
            </w:r>
          </w:p>
        </w:tc>
        <w:tc>
          <w:tcPr>
            <w:tcW w:w="860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sz w:val="20"/>
                <w:szCs w:val="20"/>
              </w:rPr>
              <w:t>Průběžná evidence majetku a jeho částí (včetně nedokončeného) bez nutnosti okamžitého uvedení do užívání a při jeho způsobilosti zařazení do užívání na základě již zadané evidence (např. při kolaudaci budovy).</w:t>
            </w:r>
          </w:p>
        </w:tc>
        <w:tc>
          <w:tcPr>
            <w:tcW w:w="1232"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p>
        </w:tc>
        <w:tc>
          <w:tcPr>
            <w:tcW w:w="1191"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194449">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p>
        </w:tc>
      </w:tr>
      <w:tr w:rsidR="00D27F66" w:rsidTr="00423904">
        <w:trPr>
          <w:cantSplit/>
          <w:trHeight w:val="485"/>
        </w:trPr>
        <w:tc>
          <w:tcPr>
            <w:tcW w:w="848" w:type="dxa"/>
            <w:shd w:val="clear" w:color="auto" w:fill="auto"/>
            <w:vAlign w:val="center"/>
          </w:tcPr>
          <w:p w:rsidR="00D27F66" w:rsidRDefault="0093037D">
            <w:pPr>
              <w:jc w:val="center"/>
            </w:pPr>
            <w:r>
              <w:rPr>
                <w:sz w:val="20"/>
                <w:szCs w:val="20"/>
              </w:rPr>
              <w:t>2.120</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Zatřídění majetku dle standardně používané klasifikace ČSÚ (CZ-CC, CZ-CPA (SKP), CPV); vazba na daňové odpisy.</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423904" w:rsidTr="00CC591B">
        <w:trPr>
          <w:cantSplit/>
          <w:trHeight w:val="256"/>
        </w:trPr>
        <w:tc>
          <w:tcPr>
            <w:tcW w:w="848" w:type="dxa"/>
            <w:shd w:val="clear" w:color="auto" w:fill="auto"/>
            <w:vAlign w:val="center"/>
          </w:tcPr>
          <w:p w:rsidR="00423904" w:rsidRDefault="00423904" w:rsidP="00423904">
            <w:pPr>
              <w:jc w:val="center"/>
            </w:pPr>
            <w:r>
              <w:rPr>
                <w:sz w:val="20"/>
                <w:szCs w:val="20"/>
              </w:rPr>
              <w:t>2.121</w:t>
            </w:r>
          </w:p>
        </w:tc>
        <w:tc>
          <w:tcPr>
            <w:tcW w:w="860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sz w:val="20"/>
                <w:szCs w:val="20"/>
              </w:rPr>
              <w:t>Evidence záruk vztažených k majetku.</w:t>
            </w:r>
          </w:p>
        </w:tc>
        <w:tc>
          <w:tcPr>
            <w:tcW w:w="1232"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2</w:t>
            </w:r>
          </w:p>
        </w:tc>
        <w:tc>
          <w:tcPr>
            <w:tcW w:w="1191"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5E0F33">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R</w:t>
            </w:r>
          </w:p>
        </w:tc>
      </w:tr>
      <w:tr w:rsidR="00423904" w:rsidTr="00CC591B">
        <w:trPr>
          <w:cantSplit/>
          <w:trHeight w:val="256"/>
        </w:trPr>
        <w:tc>
          <w:tcPr>
            <w:tcW w:w="848" w:type="dxa"/>
            <w:shd w:val="clear" w:color="auto" w:fill="auto"/>
            <w:vAlign w:val="center"/>
          </w:tcPr>
          <w:p w:rsidR="00423904" w:rsidRDefault="00423904" w:rsidP="00423904">
            <w:pPr>
              <w:jc w:val="center"/>
            </w:pPr>
            <w:r>
              <w:rPr>
                <w:sz w:val="20"/>
                <w:szCs w:val="20"/>
              </w:rPr>
              <w:t>2.122</w:t>
            </w:r>
          </w:p>
        </w:tc>
        <w:tc>
          <w:tcPr>
            <w:tcW w:w="860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sz w:val="20"/>
                <w:szCs w:val="20"/>
              </w:rPr>
              <w:t>Evidence udržitelnosti (ve vazbě např. na grant, ze kterého byl majetek pořízen).</w:t>
            </w:r>
          </w:p>
        </w:tc>
        <w:tc>
          <w:tcPr>
            <w:tcW w:w="1232"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8</w:t>
            </w:r>
          </w:p>
        </w:tc>
        <w:tc>
          <w:tcPr>
            <w:tcW w:w="1191"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5E0F33">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R</w:t>
            </w:r>
          </w:p>
        </w:tc>
      </w:tr>
      <w:tr w:rsidR="00423904" w:rsidTr="00CC591B">
        <w:trPr>
          <w:cantSplit/>
          <w:trHeight w:val="256"/>
        </w:trPr>
        <w:tc>
          <w:tcPr>
            <w:tcW w:w="848" w:type="dxa"/>
            <w:shd w:val="clear" w:color="auto" w:fill="auto"/>
            <w:vAlign w:val="center"/>
          </w:tcPr>
          <w:p w:rsidR="00423904" w:rsidRDefault="00423904" w:rsidP="00423904">
            <w:pPr>
              <w:jc w:val="center"/>
            </w:pPr>
            <w:r>
              <w:rPr>
                <w:sz w:val="20"/>
                <w:szCs w:val="20"/>
              </w:rPr>
              <w:t>2.123</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r>
              <w:rPr>
                <w:sz w:val="20"/>
                <w:szCs w:val="20"/>
              </w:rPr>
              <w:t>Možnost připojení obrazové přílohy (náhledu) k vybraným inventárním kartám (např. vyobrazení příslušného uměleckého díla).</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3</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tcPr>
          <w:p w:rsidR="00423904" w:rsidRDefault="00423904" w:rsidP="00423904">
            <w:r w:rsidRPr="005E0F33">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2.124</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Inventarizace majetku (sestavy) dle volitelných kritérií (stav k datu, druh majetku, odpovědná osoba, nákladové středisko, místnost či několik). Vytváření sestav pro inventuru majetku.</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2.125</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 xml:space="preserve">Vazba majetku na číselník umístění, lokalit, odpovědných osob. </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2.126</w:t>
            </w:r>
          </w:p>
        </w:tc>
        <w:tc>
          <w:tcPr>
            <w:tcW w:w="860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Podpora čárových popř. QR kódů pro účely inventarizace, provádění inventarizace majetku pomocí čteček čárových/ QR kódů.</w:t>
            </w:r>
          </w:p>
        </w:tc>
        <w:tc>
          <w:tcPr>
            <w:tcW w:w="1232"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5</w:t>
            </w:r>
          </w:p>
        </w:tc>
        <w:tc>
          <w:tcPr>
            <w:tcW w:w="1191"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i/>
                <w:sz w:val="20"/>
                <w:szCs w:val="20"/>
                <w:highlight w:val="black"/>
              </w:rPr>
            </w:pP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2.127</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423904" w:rsidRDefault="0093037D">
            <w:r w:rsidRPr="00423904">
              <w:rPr>
                <w:sz w:val="20"/>
                <w:szCs w:val="20"/>
              </w:rPr>
              <w:t>Evidence majetku i na podrozvahových účtech.</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2.128</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423904" w:rsidRDefault="0093037D">
            <w:r w:rsidRPr="00423904">
              <w:rPr>
                <w:sz w:val="20"/>
                <w:szCs w:val="20"/>
              </w:rPr>
              <w:t>Uživatelsky definovatelné sestavy majetku z údajů na kartě majetku včetně definovatelného třídění s výstupem do MS Excel.</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2.129</w:t>
            </w:r>
          </w:p>
        </w:tc>
        <w:tc>
          <w:tcPr>
            <w:tcW w:w="860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423904" w:rsidRDefault="0093037D">
            <w:r w:rsidRPr="00423904">
              <w:rPr>
                <w:sz w:val="20"/>
                <w:szCs w:val="20"/>
              </w:rPr>
              <w:t>Nástroj pro export a import majetkových karet ze souboru MS Excel.</w:t>
            </w:r>
          </w:p>
        </w:tc>
        <w:tc>
          <w:tcPr>
            <w:tcW w:w="1232"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8</w:t>
            </w:r>
          </w:p>
        </w:tc>
        <w:tc>
          <w:tcPr>
            <w:tcW w:w="1191"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423904">
            <w:pPr>
              <w:jc w:val="center"/>
              <w:rPr>
                <w:i/>
                <w:sz w:val="20"/>
                <w:szCs w:val="20"/>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423904">
        <w:trPr>
          <w:cantSplit/>
          <w:trHeight w:val="270"/>
        </w:trPr>
        <w:tc>
          <w:tcPr>
            <w:tcW w:w="848" w:type="dxa"/>
            <w:shd w:val="clear" w:color="auto" w:fill="auto"/>
            <w:vAlign w:val="center"/>
          </w:tcPr>
          <w:p w:rsidR="00D27F66" w:rsidRDefault="00D27F66">
            <w:pPr>
              <w:jc w:val="center"/>
              <w:rPr>
                <w:sz w:val="20"/>
                <w:szCs w:val="20"/>
              </w:rPr>
            </w:pPr>
          </w:p>
        </w:tc>
        <w:tc>
          <w:tcPr>
            <w:tcW w:w="13776" w:type="dxa"/>
            <w:gridSpan w:val="9"/>
            <w:shd w:val="clear" w:color="auto" w:fill="auto"/>
            <w:vAlign w:val="center"/>
          </w:tcPr>
          <w:p w:rsidR="00D27F66" w:rsidRPr="00423904" w:rsidRDefault="0093037D">
            <w:r w:rsidRPr="00423904">
              <w:rPr>
                <w:b/>
                <w:sz w:val="20"/>
                <w:szCs w:val="20"/>
              </w:rPr>
              <w:t>Skladová evidence (PSÚ, ARÚB, ÚIACH)</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2.130</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423904" w:rsidRDefault="0093037D">
            <w:r w:rsidRPr="00423904">
              <w:rPr>
                <w:sz w:val="20"/>
                <w:szCs w:val="20"/>
              </w:rPr>
              <w:t>Evidence skladových zásob, sledování příjmů (přírůstků) a výdejů (úbytků), přecenění, výpůjček a zápůjček.</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2.131</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Výběr ocenění skladových položek (průměrná cena, skutečná cena) a výběr způsobu evidence skladu (způsob A, způsob B).</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6</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2.132</w:t>
            </w:r>
          </w:p>
        </w:tc>
        <w:tc>
          <w:tcPr>
            <w:tcW w:w="860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Notifikace e-mailem na dosažení minimálního limitu stavu zásob na skladě.</w:t>
            </w:r>
          </w:p>
        </w:tc>
        <w:tc>
          <w:tcPr>
            <w:tcW w:w="1232"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4</w:t>
            </w:r>
          </w:p>
        </w:tc>
        <w:tc>
          <w:tcPr>
            <w:tcW w:w="1191"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i/>
                <w:sz w:val="20"/>
                <w:szCs w:val="20"/>
                <w:highlight w:val="black"/>
              </w:rPr>
            </w:pP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2.133</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Podpora více skladů, meziskladů, vazba odpovědných osob a skladů.</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4</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2.134</w:t>
            </w:r>
          </w:p>
        </w:tc>
        <w:tc>
          <w:tcPr>
            <w:tcW w:w="860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Podpora evidence pomocí čtečky čárových kódů, QR kódů. Napojení čtečky na skladovou evidenci.</w:t>
            </w:r>
          </w:p>
        </w:tc>
        <w:tc>
          <w:tcPr>
            <w:tcW w:w="1232"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3</w:t>
            </w:r>
          </w:p>
        </w:tc>
        <w:tc>
          <w:tcPr>
            <w:tcW w:w="1191"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423904">
            <w:pPr>
              <w:jc w:val="center"/>
              <w:rPr>
                <w:i/>
                <w:sz w:val="20"/>
                <w:szCs w:val="20"/>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2.135</w:t>
            </w:r>
          </w:p>
        </w:tc>
        <w:tc>
          <w:tcPr>
            <w:tcW w:w="860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Příprava a vystavování odběratelských faktur ve vazbě na skladové pohyby.</w:t>
            </w:r>
          </w:p>
        </w:tc>
        <w:tc>
          <w:tcPr>
            <w:tcW w:w="1232"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3</w:t>
            </w:r>
          </w:p>
        </w:tc>
        <w:tc>
          <w:tcPr>
            <w:tcW w:w="1191"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423904">
            <w:pPr>
              <w:jc w:val="center"/>
              <w:rPr>
                <w:i/>
                <w:sz w:val="20"/>
                <w:szCs w:val="20"/>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2.136</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Nastavení účetních pravidel rozkontace pro jednotlivé skladové pohyby.</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2.137</w:t>
            </w:r>
          </w:p>
        </w:tc>
        <w:tc>
          <w:tcPr>
            <w:tcW w:w="8600"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Workflow žádanky výdeje ze skladu.</w:t>
            </w:r>
          </w:p>
        </w:tc>
        <w:tc>
          <w:tcPr>
            <w:tcW w:w="1232"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3</w:t>
            </w:r>
          </w:p>
        </w:tc>
        <w:tc>
          <w:tcPr>
            <w:tcW w:w="1191"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423904">
            <w:pPr>
              <w:jc w:val="center"/>
              <w:rPr>
                <w:i/>
                <w:sz w:val="20"/>
                <w:szCs w:val="20"/>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2.138</w:t>
            </w:r>
          </w:p>
        </w:tc>
        <w:tc>
          <w:tcPr>
            <w:tcW w:w="8600"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tvorby uživatelských sestav ze skladové evidence včetně definovatelného třídění (např. pro potřeby inventarizace).</w:t>
            </w:r>
          </w:p>
        </w:tc>
        <w:tc>
          <w:tcPr>
            <w:tcW w:w="1232"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2</w:t>
            </w:r>
          </w:p>
        </w:tc>
        <w:tc>
          <w:tcPr>
            <w:tcW w:w="1191"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D27F66">
            <w:pPr>
              <w:jc w:val="center"/>
              <w:rPr>
                <w:sz w:val="20"/>
                <w:szCs w:val="20"/>
              </w:rPr>
            </w:pPr>
          </w:p>
        </w:tc>
        <w:tc>
          <w:tcPr>
            <w:tcW w:w="13776" w:type="dxa"/>
            <w:gridSpan w:val="9"/>
            <w:shd w:val="clear" w:color="auto" w:fill="auto"/>
            <w:vAlign w:val="center"/>
          </w:tcPr>
          <w:p w:rsidR="00D27F66" w:rsidRDefault="0093037D">
            <w:r>
              <w:rPr>
                <w:b/>
                <w:sz w:val="20"/>
                <w:szCs w:val="20"/>
              </w:rPr>
              <w:t>Objednávky</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lastRenderedPageBreak/>
              <w:t>2.139</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Zadávání, vytváření a schvalování žádanek. Schvalování žádostí, finančních zdrojů žádostí s ohledem na zákon 320/2001 Sb., vícestupňové schvalování zdrojů (workflow).</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2.140</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Tvorba vícezdrojových objednávek – jedna objednávka financována z několika zdrojů, kombinací finančních zdrojů.</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8</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2.141</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Vazba na rozpočty (předběžná blokace), na veřejné zakázky (interní klasifikace nebo jiná klasifikace typu CPV kódu) a na evidenci smluv v okamžiku zadání zdroje a částky do žádanky.</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8</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2.142</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Vazba objednávek a faktur (předběžná blokace se mění na skutečné čerpání dle účetních zápisů), objednávek a rámcových smluv (předběžná blokace smlouvou se mění na předběžnou blokaci konkrétní objednávkou).</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2.143</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Objednávky k rámcovým smlouvám, postupné uvolnění blokace, vazba na veřejné zakázky, tendry.</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2.144</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modifikace textů na tiskovém výstupu objednávky.</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2.145</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Upozornění na ob</w:t>
            </w:r>
            <w:r>
              <w:rPr>
                <w:color w:val="000000"/>
                <w:sz w:val="20"/>
                <w:szCs w:val="20"/>
              </w:rPr>
              <w:t>jednávky nezařazené do salda podle</w:t>
            </w:r>
            <w:r>
              <w:rPr>
                <w:sz w:val="20"/>
                <w:szCs w:val="20"/>
              </w:rPr>
              <w:t xml:space="preserve"> termínu dodání.</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4</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2.146</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Vyřazení, hromadné vyřazení neuhrazených nebo částečně uhrazených objednáv</w:t>
            </w:r>
            <w:r>
              <w:rPr>
                <w:color w:val="000000"/>
                <w:sz w:val="20"/>
                <w:szCs w:val="20"/>
              </w:rPr>
              <w:t>ek ze salda</w:t>
            </w:r>
            <w:r>
              <w:rPr>
                <w:strike/>
                <w:color w:val="000000"/>
                <w:sz w:val="20"/>
                <w:szCs w:val="20"/>
              </w:rPr>
              <w:t>.</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2</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2.147</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výjimečného navýšení objednávky určeným pracovníkem.</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2.148</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vytvoření nové objednávky kopií stávající objednávky.</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7</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2.149</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Objednávky v cizí měně včetně automatického přepočtu do CZK podle aktuálního kurzu ČNB.</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6</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2.150</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Podpora zveřejňování objednávek v ISRS (propisování jen základních informací z objednávek.</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4</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2.151</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color w:val="000000"/>
                <w:sz w:val="20"/>
                <w:szCs w:val="20"/>
              </w:rPr>
              <w:t>Systém umožňuje tvorbu pokynu pro registraci objednávek a smluv v Registru smluv, registraci v registru smluv napojením na spisovou službu a datovou schránku, nahrání výsledků z Registru smluv do EIS k příslušnému dokladu, zobrazení registrace v Registru smluv přímo z dokladu v EIS</w:t>
            </w:r>
            <w:r>
              <w:rPr>
                <w:color w:val="FF0000"/>
                <w:sz w:val="20"/>
                <w:szCs w:val="20"/>
              </w:rPr>
              <w:t>.</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7</w:t>
            </w:r>
          </w:p>
        </w:tc>
        <w:tc>
          <w:tcPr>
            <w:tcW w:w="1215" w:type="dxa"/>
            <w:gridSpan w:val="3"/>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423904">
            <w:pPr>
              <w:jc w:val="center"/>
              <w:rPr>
                <w:i/>
                <w:sz w:val="20"/>
                <w:szCs w:val="20"/>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R</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2.152</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Uvedení ceny na žádance bez DPH a s DPH.</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2.153</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párovat smlouvu k jednotlivým položkám objednávky (možnost provázání konkrétních položek/řádků objednávky se smlouvou, rámcovou smlouvou).</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8</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Pr="00423904" w:rsidRDefault="0093037D">
            <w:pPr>
              <w:jc w:val="center"/>
            </w:pPr>
            <w:r w:rsidRPr="00423904">
              <w:rPr>
                <w:sz w:val="20"/>
                <w:szCs w:val="20"/>
              </w:rPr>
              <w:t>2.154</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423904" w:rsidRDefault="0093037D">
            <w:r w:rsidRPr="00423904">
              <w:rPr>
                <w:sz w:val="20"/>
                <w:szCs w:val="20"/>
              </w:rPr>
              <w:t>Storno objednávky.</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2</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Pr="00423904" w:rsidRDefault="0093037D">
            <w:pPr>
              <w:jc w:val="center"/>
            </w:pPr>
            <w:r w:rsidRPr="00423904">
              <w:rPr>
                <w:sz w:val="20"/>
                <w:szCs w:val="20"/>
              </w:rPr>
              <w:t>2.155</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423904" w:rsidRDefault="0093037D">
            <w:r w:rsidRPr="00423904">
              <w:rPr>
                <w:sz w:val="20"/>
                <w:szCs w:val="20"/>
              </w:rPr>
              <w:t>Nástroj na sledování přijatých objednávek.</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8</w:t>
            </w:r>
          </w:p>
        </w:tc>
        <w:tc>
          <w:tcPr>
            <w:tcW w:w="1215" w:type="dxa"/>
            <w:gridSpan w:val="3"/>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i/>
                <w:sz w:val="20"/>
                <w:szCs w:val="20"/>
                <w:highlight w:val="black"/>
              </w:rPr>
            </w:pP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423904">
        <w:trPr>
          <w:cantSplit/>
          <w:trHeight w:val="256"/>
        </w:trPr>
        <w:tc>
          <w:tcPr>
            <w:tcW w:w="848" w:type="dxa"/>
            <w:shd w:val="clear" w:color="auto" w:fill="auto"/>
            <w:vAlign w:val="center"/>
          </w:tcPr>
          <w:p w:rsidR="00D27F66" w:rsidRPr="00423904" w:rsidRDefault="0093037D">
            <w:pPr>
              <w:jc w:val="center"/>
            </w:pPr>
            <w:r w:rsidRPr="00423904">
              <w:rPr>
                <w:sz w:val="20"/>
                <w:szCs w:val="20"/>
              </w:rPr>
              <w:t>2.156</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423904" w:rsidRDefault="0093037D">
            <w:r w:rsidRPr="00423904">
              <w:rPr>
                <w:sz w:val="20"/>
                <w:szCs w:val="20"/>
              </w:rPr>
              <w:t>Workflow schvalování objednávky.</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Pr="00423904" w:rsidRDefault="00D27F66">
            <w:pPr>
              <w:jc w:val="center"/>
              <w:rPr>
                <w:sz w:val="20"/>
                <w:szCs w:val="20"/>
              </w:rPr>
            </w:pPr>
          </w:p>
        </w:tc>
        <w:tc>
          <w:tcPr>
            <w:tcW w:w="13776" w:type="dxa"/>
            <w:gridSpan w:val="9"/>
            <w:shd w:val="clear" w:color="auto" w:fill="auto"/>
            <w:vAlign w:val="center"/>
          </w:tcPr>
          <w:p w:rsidR="00D27F66" w:rsidRPr="00423904" w:rsidRDefault="0093037D">
            <w:r w:rsidRPr="00423904">
              <w:rPr>
                <w:b/>
                <w:sz w:val="20"/>
                <w:szCs w:val="20"/>
              </w:rPr>
              <w:t>Smlouvy</w:t>
            </w:r>
          </w:p>
        </w:tc>
      </w:tr>
      <w:tr w:rsidR="00D27F66" w:rsidTr="00423904">
        <w:trPr>
          <w:cantSplit/>
          <w:trHeight w:val="256"/>
        </w:trPr>
        <w:tc>
          <w:tcPr>
            <w:tcW w:w="848" w:type="dxa"/>
            <w:shd w:val="clear" w:color="auto" w:fill="auto"/>
            <w:vAlign w:val="center"/>
          </w:tcPr>
          <w:p w:rsidR="00D27F66" w:rsidRPr="00423904" w:rsidRDefault="0093037D">
            <w:pPr>
              <w:jc w:val="center"/>
            </w:pPr>
            <w:r w:rsidRPr="00423904">
              <w:rPr>
                <w:sz w:val="20"/>
                <w:szCs w:val="20"/>
              </w:rPr>
              <w:t>2.157</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423904" w:rsidRDefault="0093037D">
            <w:r w:rsidRPr="00423904">
              <w:rPr>
                <w:sz w:val="20"/>
                <w:szCs w:val="20"/>
              </w:rPr>
              <w:t>Evidence smluv a dodatků smluv ústavu s ostatními partnery.</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2.158</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Filtrace smluv podle parametru či kombinace parametrů uvedených na kartě smlouvy (např. číslo smlouvy, název smlouvy, aktivní, neaktivní, částky, dodavatele, uveřejnění v registru, času účinnosti do).</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2.159</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Omezení platnosti smlouvy (možnost uvést dobu neurčitou).</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423904" w:rsidTr="00B306A2">
        <w:trPr>
          <w:cantSplit/>
          <w:trHeight w:val="256"/>
        </w:trPr>
        <w:tc>
          <w:tcPr>
            <w:tcW w:w="848" w:type="dxa"/>
            <w:shd w:val="clear" w:color="auto" w:fill="auto"/>
            <w:vAlign w:val="center"/>
          </w:tcPr>
          <w:p w:rsidR="00423904" w:rsidRDefault="00423904" w:rsidP="00423904">
            <w:pPr>
              <w:jc w:val="center"/>
            </w:pPr>
            <w:r>
              <w:rPr>
                <w:sz w:val="20"/>
                <w:szCs w:val="20"/>
              </w:rPr>
              <w:lastRenderedPageBreak/>
              <w:t>2.160</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sz w:val="20"/>
                <w:szCs w:val="20"/>
              </w:rPr>
              <w:t>Volitelně možnost blokace prostředků ze smluv v příslušných rozpočtech.</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10</w:t>
            </w:r>
          </w:p>
        </w:tc>
        <w:tc>
          <w:tcPr>
            <w:tcW w:w="1215" w:type="dxa"/>
            <w:gridSpan w:val="3"/>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0E3B8C">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color w:val="000000"/>
                <w:sz w:val="20"/>
                <w:szCs w:val="20"/>
              </w:rPr>
              <w:t>R</w:t>
            </w:r>
          </w:p>
        </w:tc>
      </w:tr>
      <w:tr w:rsidR="00423904" w:rsidTr="00B306A2">
        <w:trPr>
          <w:cantSplit/>
          <w:trHeight w:val="256"/>
        </w:trPr>
        <w:tc>
          <w:tcPr>
            <w:tcW w:w="848" w:type="dxa"/>
            <w:shd w:val="clear" w:color="auto" w:fill="auto"/>
            <w:vAlign w:val="center"/>
          </w:tcPr>
          <w:p w:rsidR="00423904" w:rsidRDefault="00423904" w:rsidP="00423904">
            <w:pPr>
              <w:jc w:val="center"/>
            </w:pPr>
            <w:r>
              <w:rPr>
                <w:sz w:val="20"/>
                <w:szCs w:val="20"/>
              </w:rPr>
              <w:t>2.161</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sz w:val="20"/>
                <w:szCs w:val="20"/>
              </w:rPr>
              <w:t>Sledování prostředků v tuzemské i cizí měně, čerpání i v cizí měně.</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7</w:t>
            </w:r>
          </w:p>
        </w:tc>
        <w:tc>
          <w:tcPr>
            <w:tcW w:w="1215" w:type="dxa"/>
            <w:gridSpan w:val="3"/>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0E3B8C">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color w:val="000000"/>
                <w:sz w:val="20"/>
                <w:szCs w:val="20"/>
              </w:rPr>
              <w:t>R</w:t>
            </w:r>
          </w:p>
        </w:tc>
      </w:tr>
      <w:tr w:rsidR="00423904" w:rsidTr="00B306A2">
        <w:trPr>
          <w:cantSplit/>
          <w:trHeight w:val="256"/>
        </w:trPr>
        <w:tc>
          <w:tcPr>
            <w:tcW w:w="848" w:type="dxa"/>
            <w:shd w:val="clear" w:color="auto" w:fill="auto"/>
            <w:vAlign w:val="center"/>
          </w:tcPr>
          <w:p w:rsidR="00423904" w:rsidRDefault="00423904" w:rsidP="00423904">
            <w:pPr>
              <w:jc w:val="center"/>
            </w:pPr>
            <w:r>
              <w:rPr>
                <w:sz w:val="20"/>
                <w:szCs w:val="20"/>
              </w:rPr>
              <w:t>2.162</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sz w:val="20"/>
                <w:szCs w:val="20"/>
              </w:rPr>
              <w:t>Možnost volby sledování prostředků s DPH/ bez DPH.</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7</w:t>
            </w:r>
          </w:p>
        </w:tc>
        <w:tc>
          <w:tcPr>
            <w:tcW w:w="1215" w:type="dxa"/>
            <w:gridSpan w:val="3"/>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0E3B8C">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color w:val="000000"/>
                <w:sz w:val="20"/>
                <w:szCs w:val="20"/>
              </w:rPr>
              <w:t>R</w:t>
            </w:r>
          </w:p>
        </w:tc>
      </w:tr>
      <w:tr w:rsidR="00423904" w:rsidTr="00B306A2">
        <w:trPr>
          <w:cantSplit/>
          <w:trHeight w:val="256"/>
        </w:trPr>
        <w:tc>
          <w:tcPr>
            <w:tcW w:w="848" w:type="dxa"/>
            <w:shd w:val="clear" w:color="auto" w:fill="auto"/>
            <w:vAlign w:val="center"/>
          </w:tcPr>
          <w:p w:rsidR="00423904" w:rsidRDefault="00423904" w:rsidP="00423904">
            <w:pPr>
              <w:jc w:val="center"/>
            </w:pPr>
            <w:r>
              <w:rPr>
                <w:sz w:val="20"/>
                <w:szCs w:val="20"/>
              </w:rPr>
              <w:t>2.163</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r>
              <w:rPr>
                <w:sz w:val="20"/>
                <w:szCs w:val="20"/>
              </w:rPr>
              <w:t>Vazba mezi smlouvami a souvisejícími prvotními doklady (proklik).</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10</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tcPr>
          <w:p w:rsidR="00423904" w:rsidRDefault="00423904" w:rsidP="00423904">
            <w:r w:rsidRPr="000E3B8C">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P</w:t>
            </w:r>
          </w:p>
        </w:tc>
      </w:tr>
      <w:tr w:rsidR="00423904" w:rsidTr="00B306A2">
        <w:trPr>
          <w:cantSplit/>
          <w:trHeight w:val="400"/>
        </w:trPr>
        <w:tc>
          <w:tcPr>
            <w:tcW w:w="848" w:type="dxa"/>
            <w:shd w:val="clear" w:color="auto" w:fill="auto"/>
            <w:vAlign w:val="center"/>
          </w:tcPr>
          <w:p w:rsidR="00423904" w:rsidRDefault="00423904" w:rsidP="00423904">
            <w:pPr>
              <w:jc w:val="center"/>
            </w:pPr>
            <w:r>
              <w:rPr>
                <w:sz w:val="20"/>
                <w:szCs w:val="20"/>
              </w:rPr>
              <w:t>2.164</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color w:val="000000"/>
                <w:sz w:val="20"/>
                <w:szCs w:val="20"/>
              </w:rPr>
              <w:t>Automatické doplnění dat na prvotních dokladech dle údajů uvedených na záznamu o smlouvě (předvyplnění údajů o dodavateli a zdroji financování).</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color w:val="000000"/>
                <w:sz w:val="20"/>
                <w:szCs w:val="20"/>
              </w:rPr>
              <w:t>7</w:t>
            </w:r>
          </w:p>
        </w:tc>
        <w:tc>
          <w:tcPr>
            <w:tcW w:w="1215" w:type="dxa"/>
            <w:gridSpan w:val="3"/>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color w:val="000000"/>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0E3B8C">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color w:val="000000"/>
                <w:sz w:val="20"/>
                <w:szCs w:val="20"/>
              </w:rPr>
              <w:t>R</w:t>
            </w:r>
          </w:p>
        </w:tc>
      </w:tr>
      <w:tr w:rsidR="00423904" w:rsidTr="00B306A2">
        <w:trPr>
          <w:cantSplit/>
          <w:trHeight w:val="256"/>
        </w:trPr>
        <w:tc>
          <w:tcPr>
            <w:tcW w:w="848" w:type="dxa"/>
            <w:shd w:val="clear" w:color="auto" w:fill="auto"/>
            <w:vAlign w:val="center"/>
          </w:tcPr>
          <w:p w:rsidR="00423904" w:rsidRDefault="00423904" w:rsidP="00423904">
            <w:pPr>
              <w:jc w:val="center"/>
            </w:pPr>
            <w:r>
              <w:rPr>
                <w:sz w:val="20"/>
                <w:szCs w:val="20"/>
              </w:rPr>
              <w:t>2.165</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color w:val="000000"/>
                <w:sz w:val="20"/>
                <w:szCs w:val="20"/>
              </w:rPr>
              <w:t>Vazba smluv na fakturaci s možností tvorby tiskových sestav (faktury, které se váží ke smlouvě).</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color w:val="000000"/>
                <w:sz w:val="20"/>
                <w:szCs w:val="20"/>
              </w:rPr>
              <w:t>7</w:t>
            </w:r>
          </w:p>
        </w:tc>
        <w:tc>
          <w:tcPr>
            <w:tcW w:w="1215" w:type="dxa"/>
            <w:gridSpan w:val="3"/>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color w:val="000000"/>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0E3B8C">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color w:val="000000"/>
                <w:sz w:val="20"/>
                <w:szCs w:val="20"/>
              </w:rPr>
              <w:t>R</w:t>
            </w:r>
          </w:p>
        </w:tc>
      </w:tr>
      <w:tr w:rsidR="00423904" w:rsidTr="00B306A2">
        <w:trPr>
          <w:cantSplit/>
          <w:trHeight w:val="400"/>
        </w:trPr>
        <w:tc>
          <w:tcPr>
            <w:tcW w:w="848" w:type="dxa"/>
            <w:shd w:val="clear" w:color="auto" w:fill="auto"/>
            <w:vAlign w:val="center"/>
          </w:tcPr>
          <w:p w:rsidR="00423904" w:rsidRDefault="00423904" w:rsidP="00423904">
            <w:pPr>
              <w:jc w:val="center"/>
            </w:pPr>
            <w:r>
              <w:rPr>
                <w:sz w:val="20"/>
                <w:szCs w:val="20"/>
              </w:rPr>
              <w:t>2.166</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color w:val="000000"/>
                <w:sz w:val="20"/>
                <w:szCs w:val="20"/>
              </w:rPr>
              <w:t>Generování dokladů pro pravidelné platby podle smlouvy dle zadaných parametrů a zodpovědných osob. Možnost kontroly a odeslání vygenerovaných dokladů na zadanou e-mailovou adresu.</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color w:val="000000"/>
                <w:sz w:val="20"/>
                <w:szCs w:val="20"/>
              </w:rPr>
              <w:t>10</w:t>
            </w:r>
          </w:p>
        </w:tc>
        <w:tc>
          <w:tcPr>
            <w:tcW w:w="1215" w:type="dxa"/>
            <w:gridSpan w:val="3"/>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color w:val="000000"/>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0E3B8C">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color w:val="000000"/>
                <w:sz w:val="20"/>
                <w:szCs w:val="20"/>
              </w:rPr>
              <w:t>R</w:t>
            </w:r>
          </w:p>
        </w:tc>
      </w:tr>
      <w:tr w:rsidR="00423904" w:rsidTr="00B306A2">
        <w:trPr>
          <w:cantSplit/>
          <w:trHeight w:val="256"/>
        </w:trPr>
        <w:tc>
          <w:tcPr>
            <w:tcW w:w="848" w:type="dxa"/>
            <w:shd w:val="clear" w:color="auto" w:fill="auto"/>
            <w:vAlign w:val="center"/>
          </w:tcPr>
          <w:p w:rsidR="00423904" w:rsidRDefault="00423904" w:rsidP="00423904">
            <w:pPr>
              <w:jc w:val="center"/>
            </w:pPr>
            <w:r>
              <w:rPr>
                <w:sz w:val="20"/>
                <w:szCs w:val="20"/>
              </w:rPr>
              <w:t>2.167</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color w:val="000000"/>
                <w:sz w:val="20"/>
                <w:szCs w:val="20"/>
              </w:rPr>
              <w:t>Vazba smluv na veřejné zakázky (přes identifikátor uvedený v evidenci smluv).</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color w:val="000000"/>
                <w:sz w:val="20"/>
                <w:szCs w:val="20"/>
              </w:rPr>
              <w:t>6</w:t>
            </w:r>
          </w:p>
        </w:tc>
        <w:tc>
          <w:tcPr>
            <w:tcW w:w="1215" w:type="dxa"/>
            <w:gridSpan w:val="3"/>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color w:val="000000"/>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0E3B8C">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color w:val="000000"/>
                <w:sz w:val="20"/>
                <w:szCs w:val="20"/>
              </w:rPr>
              <w:t>R</w:t>
            </w:r>
          </w:p>
        </w:tc>
      </w:tr>
      <w:tr w:rsidR="00D27F66" w:rsidTr="00423904">
        <w:trPr>
          <w:cantSplit/>
          <w:trHeight w:val="256"/>
        </w:trPr>
        <w:tc>
          <w:tcPr>
            <w:tcW w:w="848" w:type="dxa"/>
            <w:shd w:val="clear" w:color="auto" w:fill="auto"/>
            <w:vAlign w:val="center"/>
          </w:tcPr>
          <w:p w:rsidR="00D27F66" w:rsidRDefault="0093037D">
            <w:pPr>
              <w:jc w:val="center"/>
            </w:pPr>
            <w:r>
              <w:rPr>
                <w:sz w:val="20"/>
                <w:szCs w:val="20"/>
              </w:rPr>
              <w:t>2.168</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zadat ke smlouvě více partnerů.</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2</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423904" w:rsidTr="00FC0F29">
        <w:trPr>
          <w:cantSplit/>
          <w:trHeight w:val="581"/>
        </w:trPr>
        <w:tc>
          <w:tcPr>
            <w:tcW w:w="848" w:type="dxa"/>
            <w:shd w:val="clear" w:color="auto" w:fill="auto"/>
            <w:vAlign w:val="center"/>
          </w:tcPr>
          <w:p w:rsidR="00423904" w:rsidRDefault="00423904" w:rsidP="00423904">
            <w:pPr>
              <w:jc w:val="center"/>
            </w:pPr>
            <w:r>
              <w:rPr>
                <w:sz w:val="20"/>
                <w:szCs w:val="20"/>
              </w:rPr>
              <w:t>2.169</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sz w:val="20"/>
                <w:szCs w:val="20"/>
              </w:rPr>
              <w:t>Vazba mezi rámcovou smlouvou a dílčími prováděcími smlouvami. Kontrola výše částek uzavřených dílčích smluv s ohledem na celkový limit rámcové smlouvy. Kontrola čerpání dle dílčích smluv v součtu s ohledem na celkový limit rámcové smlouvy.</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10</w:t>
            </w:r>
          </w:p>
        </w:tc>
        <w:tc>
          <w:tcPr>
            <w:tcW w:w="1215" w:type="dxa"/>
            <w:gridSpan w:val="3"/>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9574CE">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color w:val="000000"/>
                <w:sz w:val="20"/>
                <w:szCs w:val="20"/>
              </w:rPr>
              <w:t>R</w:t>
            </w:r>
          </w:p>
        </w:tc>
      </w:tr>
      <w:tr w:rsidR="00423904" w:rsidTr="00FC0F29">
        <w:trPr>
          <w:cantSplit/>
          <w:trHeight w:val="256"/>
        </w:trPr>
        <w:tc>
          <w:tcPr>
            <w:tcW w:w="848" w:type="dxa"/>
            <w:shd w:val="clear" w:color="auto" w:fill="auto"/>
            <w:vAlign w:val="center"/>
          </w:tcPr>
          <w:p w:rsidR="00423904" w:rsidRDefault="00423904" w:rsidP="00423904">
            <w:pPr>
              <w:jc w:val="center"/>
            </w:pPr>
            <w:r>
              <w:rPr>
                <w:sz w:val="20"/>
                <w:szCs w:val="20"/>
              </w:rPr>
              <w:t>2.170</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sz w:val="20"/>
                <w:szCs w:val="20"/>
              </w:rPr>
              <w:t>Workflow nad smlouvami (tvorba a schvalování smluv).</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10</w:t>
            </w:r>
          </w:p>
        </w:tc>
        <w:tc>
          <w:tcPr>
            <w:tcW w:w="1215" w:type="dxa"/>
            <w:gridSpan w:val="3"/>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9574CE">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R</w:t>
            </w:r>
          </w:p>
        </w:tc>
      </w:tr>
      <w:tr w:rsidR="00423904" w:rsidTr="00FC0F29">
        <w:trPr>
          <w:cantSplit/>
          <w:trHeight w:val="256"/>
        </w:trPr>
        <w:tc>
          <w:tcPr>
            <w:tcW w:w="848" w:type="dxa"/>
            <w:shd w:val="clear" w:color="auto" w:fill="auto"/>
            <w:vAlign w:val="center"/>
          </w:tcPr>
          <w:p w:rsidR="00423904" w:rsidRDefault="00423904" w:rsidP="00423904">
            <w:pPr>
              <w:jc w:val="center"/>
            </w:pPr>
            <w:r>
              <w:rPr>
                <w:sz w:val="20"/>
                <w:szCs w:val="20"/>
              </w:rPr>
              <w:t>2.171</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r>
              <w:rPr>
                <w:sz w:val="20"/>
                <w:szCs w:val="20"/>
              </w:rPr>
              <w:t>Záznam smlouvy v evidenci umožňuje zobrazení naskenovaného originálu smlouvy.</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4</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tcPr>
          <w:p w:rsidR="00423904" w:rsidRDefault="00423904" w:rsidP="00423904">
            <w:r w:rsidRPr="009574CE">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P</w:t>
            </w:r>
          </w:p>
        </w:tc>
      </w:tr>
      <w:tr w:rsidR="00423904" w:rsidTr="00FC0F29">
        <w:trPr>
          <w:cantSplit/>
          <w:trHeight w:val="256"/>
        </w:trPr>
        <w:tc>
          <w:tcPr>
            <w:tcW w:w="848" w:type="dxa"/>
            <w:shd w:val="clear" w:color="auto" w:fill="auto"/>
            <w:vAlign w:val="center"/>
          </w:tcPr>
          <w:p w:rsidR="00423904" w:rsidRDefault="00423904" w:rsidP="00423904">
            <w:pPr>
              <w:jc w:val="center"/>
            </w:pPr>
            <w:r>
              <w:rPr>
                <w:sz w:val="20"/>
                <w:szCs w:val="20"/>
              </w:rPr>
              <w:t>2.172</w:t>
            </w:r>
          </w:p>
        </w:tc>
        <w:tc>
          <w:tcPr>
            <w:tcW w:w="856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r>
              <w:rPr>
                <w:sz w:val="20"/>
                <w:szCs w:val="20"/>
              </w:rPr>
              <w:t>Možnost připojení dokumentů ke smlouvě vč. zobrazení příloh provázaných dokladů/záznamů.</w:t>
            </w:r>
          </w:p>
        </w:tc>
        <w:tc>
          <w:tcPr>
            <w:tcW w:w="1243" w:type="dxa"/>
            <w:gridSpan w:val="2"/>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4</w:t>
            </w:r>
          </w:p>
        </w:tc>
        <w:tc>
          <w:tcPr>
            <w:tcW w:w="1215" w:type="dxa"/>
            <w:gridSpan w:val="3"/>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auto"/>
            <w:tcMar>
              <w:left w:w="18" w:type="dxa"/>
              <w:right w:w="28" w:type="dxa"/>
            </w:tcMar>
          </w:tcPr>
          <w:p w:rsidR="00423904" w:rsidRDefault="00423904" w:rsidP="00423904">
            <w:r w:rsidRPr="009574CE">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P</w:t>
            </w:r>
          </w:p>
        </w:tc>
      </w:tr>
      <w:tr w:rsidR="00423904" w:rsidTr="00FC0F29">
        <w:trPr>
          <w:cantSplit/>
          <w:trHeight w:val="400"/>
        </w:trPr>
        <w:tc>
          <w:tcPr>
            <w:tcW w:w="848" w:type="dxa"/>
            <w:shd w:val="clear" w:color="auto" w:fill="auto"/>
            <w:vAlign w:val="center"/>
          </w:tcPr>
          <w:p w:rsidR="00423904" w:rsidRDefault="00423904" w:rsidP="00423904">
            <w:pPr>
              <w:jc w:val="center"/>
            </w:pPr>
            <w:r>
              <w:rPr>
                <w:sz w:val="20"/>
                <w:szCs w:val="20"/>
              </w:rPr>
              <w:t>2.173</w:t>
            </w:r>
          </w:p>
        </w:tc>
        <w:tc>
          <w:tcPr>
            <w:tcW w:w="856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sz w:val="20"/>
                <w:szCs w:val="20"/>
              </w:rPr>
              <w:t>Podpora zveřejňování smlouvy v ISRS (přes spisovou službu), možnost kategorizace smluv dle stavu zveřejnění, kontrola na stav zveřejnění vč. automatické notifikace.</w:t>
            </w:r>
          </w:p>
        </w:tc>
        <w:tc>
          <w:tcPr>
            <w:tcW w:w="1243" w:type="dxa"/>
            <w:gridSpan w:val="2"/>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10</w:t>
            </w:r>
          </w:p>
        </w:tc>
        <w:tc>
          <w:tcPr>
            <w:tcW w:w="1215" w:type="dxa"/>
            <w:gridSpan w:val="3"/>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07" w:type="dxa"/>
            <w:gridSpan w:val="2"/>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9574CE">
              <w:rPr>
                <w:i/>
                <w:sz w:val="20"/>
                <w:szCs w:val="20"/>
                <w:highlight w:val="black"/>
              </w:rPr>
              <w:t>vyplní uch.</w:t>
            </w:r>
          </w:p>
        </w:tc>
        <w:tc>
          <w:tcPr>
            <w:tcW w:w="1346"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R</w:t>
            </w:r>
          </w:p>
        </w:tc>
      </w:tr>
    </w:tbl>
    <w:p w:rsidR="00D27F66" w:rsidRDefault="00D27F66">
      <w:pPr>
        <w:rPr>
          <w:b/>
          <w:bCs/>
          <w:sz w:val="24"/>
        </w:rPr>
      </w:pPr>
    </w:p>
    <w:p w:rsidR="00D27F66" w:rsidRDefault="0093037D">
      <w:r>
        <w:rPr>
          <w:b/>
          <w:bCs/>
          <w:sz w:val="24"/>
        </w:rPr>
        <w:t>3. Cestovní příkazy</w:t>
      </w:r>
    </w:p>
    <w:tbl>
      <w:tblPr>
        <w:tblW w:w="14624" w:type="dxa"/>
        <w:tblInd w:w="-27" w:type="dxa"/>
        <w:tblCellMar>
          <w:left w:w="30" w:type="dxa"/>
          <w:right w:w="30" w:type="dxa"/>
        </w:tblCellMar>
        <w:tblLook w:val="04A0" w:firstRow="1" w:lastRow="0" w:firstColumn="1" w:lastColumn="0" w:noHBand="0" w:noVBand="1"/>
      </w:tblPr>
      <w:tblGrid>
        <w:gridCol w:w="848"/>
        <w:gridCol w:w="8562"/>
        <w:gridCol w:w="1178"/>
        <w:gridCol w:w="1259"/>
        <w:gridCol w:w="1416"/>
        <w:gridCol w:w="1361"/>
      </w:tblGrid>
      <w:tr w:rsidR="00D27F66" w:rsidTr="00423904">
        <w:trPr>
          <w:cantSplit/>
          <w:trHeight w:val="510"/>
          <w:tblHeader/>
        </w:trPr>
        <w:tc>
          <w:tcPr>
            <w:tcW w:w="848" w:type="dxa"/>
            <w:shd w:val="clear" w:color="auto" w:fill="auto"/>
            <w:vAlign w:val="center"/>
          </w:tcPr>
          <w:p w:rsidR="00D27F66" w:rsidRDefault="00D27F66">
            <w:pPr>
              <w:jc w:val="center"/>
              <w:rPr>
                <w:sz w:val="20"/>
                <w:szCs w:val="20"/>
              </w:rPr>
            </w:pPr>
          </w:p>
        </w:tc>
        <w:tc>
          <w:tcPr>
            <w:tcW w:w="8562"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r>
              <w:rPr>
                <w:b/>
                <w:szCs w:val="22"/>
              </w:rPr>
              <w:t>Požadavek na funkcionalitu</w:t>
            </w:r>
          </w:p>
        </w:tc>
        <w:tc>
          <w:tcPr>
            <w:tcW w:w="1178"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Body významnosti funkcionality</w:t>
            </w:r>
          </w:p>
        </w:tc>
        <w:tc>
          <w:tcPr>
            <w:tcW w:w="1259"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Standardní funkcionalita</w:t>
            </w:r>
          </w:p>
        </w:tc>
        <w:tc>
          <w:tcPr>
            <w:tcW w:w="1416"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Bude doplněno / doprogramováno</w:t>
            </w:r>
          </w:p>
        </w:tc>
        <w:tc>
          <w:tcPr>
            <w:tcW w:w="1361" w:type="dxa"/>
            <w:tcBorders>
              <w:top w:val="single" w:sz="4" w:space="0" w:color="000000"/>
              <w:left w:val="single" w:sz="4" w:space="0" w:color="000000"/>
              <w:bottom w:val="single" w:sz="4" w:space="0" w:color="000000"/>
              <w:right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Povinný / rozšiřující</w:t>
            </w:r>
          </w:p>
        </w:tc>
      </w:tr>
      <w:tr w:rsidR="00D27F66" w:rsidTr="00423904">
        <w:trPr>
          <w:cantSplit/>
          <w:trHeight w:val="220"/>
        </w:trPr>
        <w:tc>
          <w:tcPr>
            <w:tcW w:w="848" w:type="dxa"/>
            <w:shd w:val="clear" w:color="auto" w:fill="auto"/>
            <w:vAlign w:val="center"/>
          </w:tcPr>
          <w:p w:rsidR="00D27F66" w:rsidRDefault="0093037D">
            <w:pPr>
              <w:jc w:val="center"/>
            </w:pPr>
            <w:r>
              <w:rPr>
                <w:sz w:val="20"/>
                <w:szCs w:val="20"/>
              </w:rPr>
              <w:t>3.1</w:t>
            </w:r>
          </w:p>
        </w:tc>
        <w:tc>
          <w:tcPr>
            <w:tcW w:w="856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Vytváření, evidence a vícestupňové schvalování tuzemských i zahraničních pracovních cest ve workflow.</w:t>
            </w:r>
          </w:p>
        </w:tc>
        <w:tc>
          <w:tcPr>
            <w:tcW w:w="117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5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3.2</w:t>
            </w:r>
          </w:p>
        </w:tc>
        <w:tc>
          <w:tcPr>
            <w:tcW w:w="856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volby více finančních zdrojů na pracovní cestu. Přiřazení cestovního příkazu ke zdrojům financování (pro blokování finančních prostředků) včetně kontroly dostupných prostředků.</w:t>
            </w:r>
          </w:p>
        </w:tc>
        <w:tc>
          <w:tcPr>
            <w:tcW w:w="117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5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3.3</w:t>
            </w:r>
          </w:p>
        </w:tc>
        <w:tc>
          <w:tcPr>
            <w:tcW w:w="856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Podpora výpočtu nákladů/náhrad cesty včetně možnosti výplaty zálohy v hotovosti z pokladny případně bezhotovostně převodem na účet zaměstnance.</w:t>
            </w:r>
          </w:p>
        </w:tc>
        <w:tc>
          <w:tcPr>
            <w:tcW w:w="117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6</w:t>
            </w:r>
          </w:p>
        </w:tc>
        <w:tc>
          <w:tcPr>
            <w:tcW w:w="125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423904">
        <w:trPr>
          <w:cantSplit/>
          <w:trHeight w:val="1085"/>
        </w:trPr>
        <w:tc>
          <w:tcPr>
            <w:tcW w:w="848" w:type="dxa"/>
            <w:shd w:val="clear" w:color="auto" w:fill="auto"/>
            <w:vAlign w:val="center"/>
          </w:tcPr>
          <w:p w:rsidR="00D27F66" w:rsidRDefault="0093037D">
            <w:pPr>
              <w:jc w:val="center"/>
            </w:pPr>
            <w:r>
              <w:rPr>
                <w:sz w:val="20"/>
                <w:szCs w:val="20"/>
              </w:rPr>
              <w:lastRenderedPageBreak/>
              <w:t>3.4</w:t>
            </w:r>
          </w:p>
        </w:tc>
        <w:tc>
          <w:tcPr>
            <w:tcW w:w="856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 xml:space="preserve">Pokrytí celého životního cyklu cestovního příkazu workflow: </w:t>
            </w:r>
            <w:r>
              <w:rPr>
                <w:sz w:val="20"/>
                <w:szCs w:val="20"/>
              </w:rPr>
              <w:br/>
              <w:t xml:space="preserve">- vytvoření </w:t>
            </w:r>
            <w:r>
              <w:rPr>
                <w:sz w:val="20"/>
                <w:szCs w:val="20"/>
              </w:rPr>
              <w:br/>
              <w:t xml:space="preserve">- schválení </w:t>
            </w:r>
            <w:r>
              <w:rPr>
                <w:sz w:val="20"/>
                <w:szCs w:val="20"/>
              </w:rPr>
              <w:br/>
              <w:t xml:space="preserve">- vyúčtování včetně evidence zprávy o vykonané cestě </w:t>
            </w:r>
            <w:r>
              <w:rPr>
                <w:sz w:val="20"/>
                <w:szCs w:val="20"/>
              </w:rPr>
              <w:br/>
              <w:t>- vytvoření závazku či pohledávky vůči zaměstnanci z vyúčtování služební pracovní cesty do účetnictví.</w:t>
            </w:r>
          </w:p>
        </w:tc>
        <w:tc>
          <w:tcPr>
            <w:tcW w:w="117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7</w:t>
            </w:r>
          </w:p>
        </w:tc>
        <w:tc>
          <w:tcPr>
            <w:tcW w:w="125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423904" w:rsidTr="00423904">
        <w:trPr>
          <w:cantSplit/>
          <w:trHeight w:val="386"/>
        </w:trPr>
        <w:tc>
          <w:tcPr>
            <w:tcW w:w="848" w:type="dxa"/>
            <w:shd w:val="clear" w:color="auto" w:fill="auto"/>
            <w:vAlign w:val="center"/>
          </w:tcPr>
          <w:p w:rsidR="00423904" w:rsidRDefault="00423904" w:rsidP="00423904">
            <w:pPr>
              <w:jc w:val="center"/>
            </w:pPr>
            <w:r>
              <w:rPr>
                <w:sz w:val="20"/>
                <w:szCs w:val="20"/>
              </w:rPr>
              <w:t>3.5</w:t>
            </w:r>
          </w:p>
        </w:tc>
        <w:tc>
          <w:tcPr>
            <w:tcW w:w="856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r>
              <w:rPr>
                <w:sz w:val="20"/>
                <w:szCs w:val="20"/>
              </w:rPr>
              <w:t xml:space="preserve">Možnost, aby zaměstnanec při vyúčtování pracovní cesty přiložil scan dokladů, kterými prokazuje výdaje, a zprávu o vykonané cestě. </w:t>
            </w:r>
          </w:p>
        </w:tc>
        <w:tc>
          <w:tcPr>
            <w:tcW w:w="117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4</w:t>
            </w:r>
          </w:p>
        </w:tc>
        <w:tc>
          <w:tcPr>
            <w:tcW w:w="125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tcPr>
          <w:p w:rsidR="00423904" w:rsidRDefault="00423904" w:rsidP="00423904">
            <w:r w:rsidRPr="00263938">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P</w:t>
            </w:r>
          </w:p>
        </w:tc>
      </w:tr>
      <w:tr w:rsidR="00423904" w:rsidTr="00423904">
        <w:trPr>
          <w:cantSplit/>
          <w:trHeight w:val="400"/>
        </w:trPr>
        <w:tc>
          <w:tcPr>
            <w:tcW w:w="848" w:type="dxa"/>
            <w:shd w:val="clear" w:color="auto" w:fill="auto"/>
            <w:vAlign w:val="center"/>
          </w:tcPr>
          <w:p w:rsidR="00423904" w:rsidRDefault="00423904" w:rsidP="00423904">
            <w:pPr>
              <w:jc w:val="center"/>
            </w:pPr>
            <w:r>
              <w:rPr>
                <w:sz w:val="20"/>
                <w:szCs w:val="20"/>
              </w:rPr>
              <w:t>3.6</w:t>
            </w:r>
          </w:p>
        </w:tc>
        <w:tc>
          <w:tcPr>
            <w:tcW w:w="8562"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sz w:val="20"/>
                <w:szCs w:val="20"/>
              </w:rPr>
              <w:t>Vazba výdajů spojených s cestou na objednávku vzniklou v době schválení cestovního příkazu zakoupené letenky, konferenční poplatky a další).</w:t>
            </w:r>
          </w:p>
        </w:tc>
        <w:tc>
          <w:tcPr>
            <w:tcW w:w="117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8</w:t>
            </w:r>
          </w:p>
        </w:tc>
        <w:tc>
          <w:tcPr>
            <w:tcW w:w="1259"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263938">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color w:val="000000"/>
                <w:sz w:val="20"/>
                <w:szCs w:val="20"/>
              </w:rPr>
              <w:t>R</w:t>
            </w:r>
          </w:p>
        </w:tc>
      </w:tr>
      <w:tr w:rsidR="00423904" w:rsidTr="00423904">
        <w:trPr>
          <w:cantSplit/>
          <w:trHeight w:val="600"/>
        </w:trPr>
        <w:tc>
          <w:tcPr>
            <w:tcW w:w="848" w:type="dxa"/>
            <w:shd w:val="clear" w:color="auto" w:fill="auto"/>
            <w:vAlign w:val="center"/>
          </w:tcPr>
          <w:p w:rsidR="00423904" w:rsidRDefault="00423904" w:rsidP="00423904">
            <w:pPr>
              <w:jc w:val="center"/>
            </w:pPr>
            <w:r>
              <w:rPr>
                <w:sz w:val="20"/>
                <w:szCs w:val="20"/>
              </w:rPr>
              <w:t>3.7</w:t>
            </w:r>
          </w:p>
        </w:tc>
        <w:tc>
          <w:tcPr>
            <w:tcW w:w="856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r>
              <w:rPr>
                <w:sz w:val="20"/>
                <w:szCs w:val="20"/>
              </w:rPr>
              <w:t>Zaměstnanec má umožněn přístup jen ke svým cestovním příkazům. Vedoucí má umožněn přístup k cestovním příkazům svých podřízených. Specifické role (např. administrátor cestovních příkazů, sekretářka, nositel grantu) a schvalovatelé ve workflow mají přístup k cestovním příkazům podle zadaných oprávnění.</w:t>
            </w:r>
          </w:p>
        </w:tc>
        <w:tc>
          <w:tcPr>
            <w:tcW w:w="117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6</w:t>
            </w:r>
          </w:p>
        </w:tc>
        <w:tc>
          <w:tcPr>
            <w:tcW w:w="125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tcPr>
          <w:p w:rsidR="00423904" w:rsidRDefault="00423904" w:rsidP="00423904">
            <w:r w:rsidRPr="00263938">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P</w:t>
            </w:r>
          </w:p>
        </w:tc>
      </w:tr>
      <w:tr w:rsidR="00423904" w:rsidTr="00423904">
        <w:trPr>
          <w:cantSplit/>
          <w:trHeight w:val="381"/>
        </w:trPr>
        <w:tc>
          <w:tcPr>
            <w:tcW w:w="848" w:type="dxa"/>
            <w:shd w:val="clear" w:color="auto" w:fill="auto"/>
            <w:vAlign w:val="center"/>
          </w:tcPr>
          <w:p w:rsidR="00423904" w:rsidRDefault="00423904" w:rsidP="00423904">
            <w:pPr>
              <w:jc w:val="center"/>
            </w:pPr>
            <w:r>
              <w:rPr>
                <w:sz w:val="20"/>
                <w:szCs w:val="20"/>
              </w:rPr>
              <w:t>3.8</w:t>
            </w:r>
          </w:p>
        </w:tc>
        <w:tc>
          <w:tcPr>
            <w:tcW w:w="8562"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color w:val="000000"/>
                <w:sz w:val="20"/>
                <w:szCs w:val="20"/>
              </w:rPr>
              <w:t>Možnost tisku posloupnosti schvalovacích kroků a stavu cestovního příkazu v libovolném kroku ve workflow (včetně auditní stopy) a tisku cestovního příkazu v libovolném kroku.</w:t>
            </w:r>
          </w:p>
        </w:tc>
        <w:tc>
          <w:tcPr>
            <w:tcW w:w="117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color w:val="000000"/>
                <w:sz w:val="20"/>
                <w:szCs w:val="20"/>
              </w:rPr>
              <w:t>6</w:t>
            </w:r>
          </w:p>
        </w:tc>
        <w:tc>
          <w:tcPr>
            <w:tcW w:w="1259"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color w:val="000000"/>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263938">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color w:val="000000"/>
                <w:sz w:val="20"/>
                <w:szCs w:val="20"/>
              </w:rPr>
              <w:t>R</w:t>
            </w:r>
          </w:p>
        </w:tc>
      </w:tr>
      <w:tr w:rsidR="00423904" w:rsidTr="00423904">
        <w:trPr>
          <w:cantSplit/>
          <w:trHeight w:val="400"/>
        </w:trPr>
        <w:tc>
          <w:tcPr>
            <w:tcW w:w="848" w:type="dxa"/>
            <w:shd w:val="clear" w:color="auto" w:fill="auto"/>
            <w:vAlign w:val="center"/>
          </w:tcPr>
          <w:p w:rsidR="00423904" w:rsidRDefault="00423904" w:rsidP="00423904">
            <w:pPr>
              <w:jc w:val="center"/>
            </w:pPr>
            <w:r>
              <w:rPr>
                <w:sz w:val="20"/>
                <w:szCs w:val="20"/>
              </w:rPr>
              <w:t>3.9</w:t>
            </w:r>
          </w:p>
        </w:tc>
        <w:tc>
          <w:tcPr>
            <w:tcW w:w="856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r>
              <w:rPr>
                <w:color w:val="000000"/>
                <w:sz w:val="20"/>
                <w:szCs w:val="20"/>
              </w:rPr>
              <w:t>Filtrace cestovních příkazů podle položek ve formuláři cestovního příkazu a stavů cesty (plánovaná, schválená, stornovaná, vyúčtovaná, ukončená, vrácená k dopracování) včetně možnosti tiskových sestav.</w:t>
            </w:r>
          </w:p>
        </w:tc>
        <w:tc>
          <w:tcPr>
            <w:tcW w:w="117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8</w:t>
            </w:r>
          </w:p>
        </w:tc>
        <w:tc>
          <w:tcPr>
            <w:tcW w:w="125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tcPr>
          <w:p w:rsidR="00423904" w:rsidRDefault="00423904" w:rsidP="00423904">
            <w:r w:rsidRPr="00263938">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3.10</w:t>
            </w:r>
          </w:p>
        </w:tc>
        <w:tc>
          <w:tcPr>
            <w:tcW w:w="856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rFonts w:eastAsiaTheme="minorHAnsi" w:cs="Arial"/>
                <w:color w:val="000000"/>
                <w:kern w:val="0"/>
                <w:sz w:val="20"/>
                <w:szCs w:val="20"/>
                <w:lang w:eastAsia="en-US" w:bidi="ar-SA"/>
              </w:rPr>
              <w:t>Systém umožňuje vyúčtování pracovní cesty – poskytnutí zálohy v Kč i libovolné cizí měně, vyúčtování zahraniční cesty v libovolné cizí měně i v Kč.</w:t>
            </w:r>
          </w:p>
        </w:tc>
        <w:tc>
          <w:tcPr>
            <w:tcW w:w="117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7</w:t>
            </w:r>
          </w:p>
        </w:tc>
        <w:tc>
          <w:tcPr>
            <w:tcW w:w="125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3.11</w:t>
            </w:r>
          </w:p>
        </w:tc>
        <w:tc>
          <w:tcPr>
            <w:tcW w:w="856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rFonts w:eastAsiaTheme="minorHAnsi" w:cs="Arial"/>
                <w:color w:val="000000"/>
                <w:kern w:val="0"/>
                <w:sz w:val="20"/>
                <w:szCs w:val="20"/>
                <w:lang w:eastAsia="en-US" w:bidi="ar-SA"/>
              </w:rPr>
              <w:t>Systém umí provést výpočet cestovních náhrad jak před cestou (kalkulace) tak i po uskutečnění cesty. Tyto výpočty jsou prováděny jak v personálním portálu, tak v účetním systému pomocí modulu cestovních náhrad</w:t>
            </w:r>
            <w:r>
              <w:rPr>
                <w:rFonts w:asciiTheme="majorHAnsi" w:eastAsiaTheme="minorHAnsi" w:hAnsiTheme="majorHAnsi" w:cstheme="majorHAnsi"/>
                <w:color w:val="000000"/>
                <w:kern w:val="0"/>
                <w:szCs w:val="22"/>
                <w:lang w:eastAsia="en-US" w:bidi="ar-SA"/>
              </w:rPr>
              <w:t>.</w:t>
            </w:r>
          </w:p>
        </w:tc>
        <w:tc>
          <w:tcPr>
            <w:tcW w:w="117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7</w:t>
            </w:r>
          </w:p>
        </w:tc>
        <w:tc>
          <w:tcPr>
            <w:tcW w:w="125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P</w:t>
            </w:r>
          </w:p>
        </w:tc>
      </w:tr>
      <w:tr w:rsidR="00D27F66" w:rsidTr="00423904">
        <w:trPr>
          <w:cantSplit/>
          <w:trHeight w:val="400"/>
        </w:trPr>
        <w:tc>
          <w:tcPr>
            <w:tcW w:w="848" w:type="dxa"/>
            <w:shd w:val="clear" w:color="auto" w:fill="auto"/>
            <w:vAlign w:val="center"/>
          </w:tcPr>
          <w:p w:rsidR="00D27F66" w:rsidRDefault="0093037D">
            <w:pPr>
              <w:jc w:val="center"/>
            </w:pPr>
            <w:r>
              <w:rPr>
                <w:sz w:val="20"/>
                <w:szCs w:val="20"/>
              </w:rPr>
              <w:t>3.12</w:t>
            </w:r>
          </w:p>
        </w:tc>
        <w:tc>
          <w:tcPr>
            <w:tcW w:w="8562"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rFonts w:eastAsiaTheme="minorHAnsi" w:cs="Arial"/>
                <w:color w:val="000000"/>
                <w:kern w:val="0"/>
                <w:sz w:val="20"/>
                <w:szCs w:val="20"/>
                <w:lang w:eastAsia="en-US" w:bidi="ar-SA"/>
              </w:rPr>
              <w:t>Systém umožňuje automatický výpočet náhrad za použití vlastního vozidla na základě údajů evidovaných v EIS</w:t>
            </w:r>
          </w:p>
        </w:tc>
        <w:tc>
          <w:tcPr>
            <w:tcW w:w="117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7</w:t>
            </w:r>
          </w:p>
        </w:tc>
        <w:tc>
          <w:tcPr>
            <w:tcW w:w="1259"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423904">
            <w:pPr>
              <w:jc w:val="center"/>
              <w:rPr>
                <w:i/>
                <w:color w:val="000000"/>
                <w:sz w:val="20"/>
                <w:szCs w:val="20"/>
                <w:highlight w:val="black"/>
              </w:rPr>
            </w:pPr>
            <w:r w:rsidRPr="0093037D">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R</w:t>
            </w:r>
          </w:p>
        </w:tc>
      </w:tr>
      <w:tr w:rsidR="00D27F66" w:rsidTr="00423904">
        <w:trPr>
          <w:cantSplit/>
          <w:trHeight w:val="220"/>
        </w:trPr>
        <w:tc>
          <w:tcPr>
            <w:tcW w:w="848" w:type="dxa"/>
            <w:shd w:val="clear" w:color="auto" w:fill="auto"/>
            <w:vAlign w:val="center"/>
          </w:tcPr>
          <w:p w:rsidR="00D27F66" w:rsidRPr="0093037D" w:rsidRDefault="0093037D">
            <w:pPr>
              <w:jc w:val="center"/>
            </w:pPr>
            <w:r w:rsidRPr="0093037D">
              <w:rPr>
                <w:sz w:val="20"/>
                <w:szCs w:val="20"/>
              </w:rPr>
              <w:t>3.13</w:t>
            </w:r>
          </w:p>
        </w:tc>
        <w:tc>
          <w:tcPr>
            <w:tcW w:w="856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r w:rsidRPr="0093037D">
              <w:rPr>
                <w:sz w:val="20"/>
                <w:szCs w:val="20"/>
              </w:rPr>
              <w:t>Podpora vyplacení záloh a vyúčtování cestovního příkazu v různých měnách s možností změny.</w:t>
            </w:r>
          </w:p>
        </w:tc>
        <w:tc>
          <w:tcPr>
            <w:tcW w:w="117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pPr>
            <w:r w:rsidRPr="0093037D">
              <w:rPr>
                <w:sz w:val="20"/>
                <w:szCs w:val="20"/>
              </w:rPr>
              <w:t>6</w:t>
            </w:r>
          </w:p>
        </w:tc>
        <w:tc>
          <w:tcPr>
            <w:tcW w:w="125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sidRPr="0093037D">
              <w:rPr>
                <w:sz w:val="20"/>
                <w:szCs w:val="20"/>
              </w:rPr>
              <w:t>P</w:t>
            </w:r>
          </w:p>
        </w:tc>
      </w:tr>
    </w:tbl>
    <w:p w:rsidR="00D27F66" w:rsidRDefault="00D27F66"/>
    <w:p w:rsidR="00D27F66" w:rsidRDefault="0093037D">
      <w:r>
        <w:rPr>
          <w:b/>
          <w:bCs/>
          <w:sz w:val="24"/>
        </w:rPr>
        <w:t>4. Evidence a oběh dokumentů</w:t>
      </w:r>
    </w:p>
    <w:tbl>
      <w:tblPr>
        <w:tblW w:w="14661" w:type="dxa"/>
        <w:tblInd w:w="-30" w:type="dxa"/>
        <w:tblCellMar>
          <w:left w:w="30" w:type="dxa"/>
          <w:right w:w="30" w:type="dxa"/>
        </w:tblCellMar>
        <w:tblLook w:val="04A0" w:firstRow="1" w:lastRow="0" w:firstColumn="1" w:lastColumn="0" w:noHBand="0" w:noVBand="1"/>
      </w:tblPr>
      <w:tblGrid>
        <w:gridCol w:w="848"/>
        <w:gridCol w:w="8560"/>
        <w:gridCol w:w="1191"/>
        <w:gridCol w:w="1248"/>
        <w:gridCol w:w="1416"/>
        <w:gridCol w:w="1398"/>
      </w:tblGrid>
      <w:tr w:rsidR="00D27F66" w:rsidTr="0093037D">
        <w:trPr>
          <w:cantSplit/>
          <w:trHeight w:val="220"/>
          <w:tblHeader/>
        </w:trPr>
        <w:tc>
          <w:tcPr>
            <w:tcW w:w="848" w:type="dxa"/>
            <w:shd w:val="clear" w:color="auto" w:fill="auto"/>
            <w:vAlign w:val="center"/>
          </w:tcPr>
          <w:p w:rsidR="00D27F66" w:rsidRDefault="00D27F66">
            <w:pPr>
              <w:jc w:val="center"/>
              <w:rPr>
                <w:sz w:val="20"/>
                <w:szCs w:val="20"/>
              </w:rPr>
            </w:pPr>
          </w:p>
        </w:tc>
        <w:tc>
          <w:tcPr>
            <w:tcW w:w="8560"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r>
              <w:rPr>
                <w:b/>
                <w:szCs w:val="22"/>
              </w:rPr>
              <w:t>Požadavek na funkcionalitu</w:t>
            </w:r>
          </w:p>
        </w:tc>
        <w:tc>
          <w:tcPr>
            <w:tcW w:w="1191"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Body významnosti funkcionality</w:t>
            </w:r>
          </w:p>
        </w:tc>
        <w:tc>
          <w:tcPr>
            <w:tcW w:w="1248"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Standardní funkcionalita</w:t>
            </w:r>
          </w:p>
        </w:tc>
        <w:tc>
          <w:tcPr>
            <w:tcW w:w="1416"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Bude doplněno / doprogramováno</w:t>
            </w:r>
          </w:p>
        </w:tc>
        <w:tc>
          <w:tcPr>
            <w:tcW w:w="1398" w:type="dxa"/>
            <w:tcBorders>
              <w:top w:val="single" w:sz="4" w:space="0" w:color="000000"/>
              <w:left w:val="single" w:sz="4" w:space="0" w:color="000000"/>
              <w:bottom w:val="single" w:sz="4" w:space="0" w:color="000000"/>
              <w:right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Povinný / rozšiřující</w:t>
            </w:r>
          </w:p>
        </w:tc>
      </w:tr>
      <w:tr w:rsidR="00D27F66" w:rsidTr="0093037D">
        <w:trPr>
          <w:cantSplit/>
          <w:trHeight w:val="220"/>
        </w:trPr>
        <w:tc>
          <w:tcPr>
            <w:tcW w:w="848" w:type="dxa"/>
            <w:shd w:val="clear" w:color="auto" w:fill="auto"/>
            <w:vAlign w:val="center"/>
          </w:tcPr>
          <w:p w:rsidR="00D27F66" w:rsidRDefault="00D27F66">
            <w:pPr>
              <w:jc w:val="center"/>
              <w:rPr>
                <w:sz w:val="20"/>
                <w:szCs w:val="20"/>
              </w:rPr>
            </w:pPr>
          </w:p>
        </w:tc>
        <w:tc>
          <w:tcPr>
            <w:tcW w:w="13813" w:type="dxa"/>
            <w:gridSpan w:val="5"/>
            <w:shd w:val="clear" w:color="auto" w:fill="auto"/>
            <w:vAlign w:val="center"/>
          </w:tcPr>
          <w:p w:rsidR="00D27F66" w:rsidRDefault="0093037D">
            <w:r>
              <w:rPr>
                <w:b/>
                <w:sz w:val="20"/>
                <w:szCs w:val="20"/>
              </w:rPr>
              <w:t>Oběh dokumentů</w:t>
            </w:r>
          </w:p>
        </w:tc>
      </w:tr>
      <w:tr w:rsidR="00423904" w:rsidTr="00282A13">
        <w:trPr>
          <w:cantSplit/>
          <w:trHeight w:val="220"/>
        </w:trPr>
        <w:tc>
          <w:tcPr>
            <w:tcW w:w="848" w:type="dxa"/>
            <w:shd w:val="clear" w:color="auto" w:fill="auto"/>
            <w:vAlign w:val="center"/>
          </w:tcPr>
          <w:p w:rsidR="00423904" w:rsidRDefault="00423904" w:rsidP="00423904">
            <w:pPr>
              <w:jc w:val="center"/>
            </w:pPr>
            <w:r>
              <w:rPr>
                <w:sz w:val="20"/>
                <w:szCs w:val="20"/>
              </w:rPr>
              <w:t>4.1</w:t>
            </w:r>
          </w:p>
        </w:tc>
        <w:tc>
          <w:tcPr>
            <w:tcW w:w="856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sz w:val="20"/>
                <w:szCs w:val="20"/>
              </w:rPr>
              <w:t>Systém umožňuje uživatelsky definovat oběh interních dokumentů (workflow).</w:t>
            </w:r>
          </w:p>
        </w:tc>
        <w:tc>
          <w:tcPr>
            <w:tcW w:w="1191"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color w:val="000000"/>
                <w:sz w:val="20"/>
                <w:szCs w:val="20"/>
              </w:rPr>
              <w:t>6</w:t>
            </w:r>
          </w:p>
        </w:tc>
        <w:tc>
          <w:tcPr>
            <w:tcW w:w="124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3D1555">
              <w:rPr>
                <w:i/>
                <w:sz w:val="20"/>
                <w:szCs w:val="20"/>
                <w:highlight w:val="black"/>
              </w:rPr>
              <w:t>vyplní uch.</w:t>
            </w:r>
          </w:p>
        </w:tc>
        <w:tc>
          <w:tcPr>
            <w:tcW w:w="139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R</w:t>
            </w:r>
          </w:p>
        </w:tc>
      </w:tr>
      <w:tr w:rsidR="00423904" w:rsidTr="00282A13">
        <w:trPr>
          <w:cantSplit/>
          <w:trHeight w:val="220"/>
        </w:trPr>
        <w:tc>
          <w:tcPr>
            <w:tcW w:w="848" w:type="dxa"/>
            <w:shd w:val="clear" w:color="auto" w:fill="auto"/>
            <w:vAlign w:val="center"/>
          </w:tcPr>
          <w:p w:rsidR="00423904" w:rsidRDefault="00423904" w:rsidP="00423904">
            <w:pPr>
              <w:jc w:val="center"/>
            </w:pPr>
            <w:r>
              <w:rPr>
                <w:sz w:val="20"/>
                <w:szCs w:val="20"/>
              </w:rPr>
              <w:t>4.2</w:t>
            </w:r>
          </w:p>
        </w:tc>
        <w:tc>
          <w:tcPr>
            <w:tcW w:w="856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sz w:val="20"/>
                <w:szCs w:val="20"/>
              </w:rPr>
              <w:t>Dokumenty ve workflow pro oběh interních dokumentů jsou automaticky verzovány s uvedením autora verze.</w:t>
            </w:r>
          </w:p>
        </w:tc>
        <w:tc>
          <w:tcPr>
            <w:tcW w:w="1191"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color w:val="000000"/>
                <w:sz w:val="20"/>
                <w:szCs w:val="20"/>
              </w:rPr>
              <w:t>6</w:t>
            </w:r>
          </w:p>
        </w:tc>
        <w:tc>
          <w:tcPr>
            <w:tcW w:w="124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3D1555">
              <w:rPr>
                <w:i/>
                <w:sz w:val="20"/>
                <w:szCs w:val="20"/>
                <w:highlight w:val="black"/>
              </w:rPr>
              <w:t>vyplní uch.</w:t>
            </w:r>
          </w:p>
        </w:tc>
        <w:tc>
          <w:tcPr>
            <w:tcW w:w="139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R</w:t>
            </w:r>
          </w:p>
        </w:tc>
      </w:tr>
      <w:tr w:rsidR="00D27F66" w:rsidTr="0093037D">
        <w:trPr>
          <w:cantSplit/>
          <w:trHeight w:val="220"/>
        </w:trPr>
        <w:tc>
          <w:tcPr>
            <w:tcW w:w="848" w:type="dxa"/>
            <w:shd w:val="clear" w:color="auto" w:fill="auto"/>
            <w:vAlign w:val="center"/>
          </w:tcPr>
          <w:p w:rsidR="00D27F66" w:rsidRDefault="0093037D">
            <w:pPr>
              <w:jc w:val="center"/>
            </w:pPr>
            <w:r>
              <w:rPr>
                <w:sz w:val="20"/>
                <w:szCs w:val="20"/>
              </w:rPr>
              <w:lastRenderedPageBreak/>
              <w:t>4.3</w:t>
            </w:r>
          </w:p>
        </w:tc>
        <w:tc>
          <w:tcPr>
            <w:tcW w:w="856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Workflow pro oběh interních dokumentů obsahuje historii všech verzí s možností zobrazení každé verze dokumentu.</w:t>
            </w:r>
          </w:p>
        </w:tc>
        <w:tc>
          <w:tcPr>
            <w:tcW w:w="1191"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6</w:t>
            </w:r>
          </w:p>
        </w:tc>
        <w:tc>
          <w:tcPr>
            <w:tcW w:w="124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i/>
                <w:sz w:val="20"/>
                <w:szCs w:val="20"/>
                <w:highlight w:val="black"/>
              </w:rPr>
            </w:pPr>
            <w:r w:rsidRPr="0093037D">
              <w:rPr>
                <w:i/>
                <w:sz w:val="20"/>
                <w:szCs w:val="20"/>
                <w:highlight w:val="black"/>
              </w:rPr>
              <w:t>vyplní uch.</w:t>
            </w:r>
          </w:p>
        </w:tc>
        <w:tc>
          <w:tcPr>
            <w:tcW w:w="139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93037D">
        <w:trPr>
          <w:cantSplit/>
          <w:trHeight w:val="270"/>
        </w:trPr>
        <w:tc>
          <w:tcPr>
            <w:tcW w:w="848" w:type="dxa"/>
            <w:shd w:val="clear" w:color="auto" w:fill="auto"/>
            <w:vAlign w:val="center"/>
          </w:tcPr>
          <w:p w:rsidR="00D27F66" w:rsidRDefault="00D27F66">
            <w:pPr>
              <w:jc w:val="center"/>
              <w:rPr>
                <w:sz w:val="20"/>
                <w:szCs w:val="20"/>
              </w:rPr>
            </w:pPr>
          </w:p>
        </w:tc>
        <w:tc>
          <w:tcPr>
            <w:tcW w:w="13813" w:type="dxa"/>
            <w:gridSpan w:val="5"/>
            <w:shd w:val="clear" w:color="auto" w:fill="auto"/>
            <w:vAlign w:val="center"/>
          </w:tcPr>
          <w:p w:rsidR="00D27F66" w:rsidRDefault="0093037D">
            <w:r>
              <w:rPr>
                <w:b/>
                <w:sz w:val="20"/>
                <w:szCs w:val="20"/>
              </w:rPr>
              <w:t>Správa revizí a odborných prohlídek</w:t>
            </w:r>
          </w:p>
        </w:tc>
      </w:tr>
      <w:tr w:rsidR="00D27F66" w:rsidTr="0093037D">
        <w:trPr>
          <w:cantSplit/>
          <w:trHeight w:val="400"/>
        </w:trPr>
        <w:tc>
          <w:tcPr>
            <w:tcW w:w="848" w:type="dxa"/>
            <w:shd w:val="clear" w:color="auto" w:fill="auto"/>
            <w:vAlign w:val="center"/>
          </w:tcPr>
          <w:p w:rsidR="00D27F66" w:rsidRDefault="0093037D">
            <w:pPr>
              <w:jc w:val="center"/>
            </w:pPr>
            <w:r>
              <w:rPr>
                <w:sz w:val="20"/>
                <w:szCs w:val="20"/>
              </w:rPr>
              <w:t>4.4</w:t>
            </w:r>
          </w:p>
        </w:tc>
        <w:tc>
          <w:tcPr>
            <w:tcW w:w="856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Evidence a historie jednotlivých servisních prohlídek, revizí, včetně možnosti připojovat dokumenty v nástroji pro správu revizí, prohlídek a kontrol.</w:t>
            </w:r>
          </w:p>
        </w:tc>
        <w:tc>
          <w:tcPr>
            <w:tcW w:w="1191"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6</w:t>
            </w:r>
          </w:p>
        </w:tc>
        <w:tc>
          <w:tcPr>
            <w:tcW w:w="124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i/>
                <w:sz w:val="20"/>
                <w:szCs w:val="20"/>
                <w:highlight w:val="black"/>
              </w:rPr>
            </w:pPr>
            <w:r w:rsidRPr="0093037D">
              <w:rPr>
                <w:i/>
                <w:sz w:val="20"/>
                <w:szCs w:val="20"/>
                <w:highlight w:val="black"/>
              </w:rPr>
              <w:t>vyplní uch.</w:t>
            </w:r>
          </w:p>
        </w:tc>
        <w:tc>
          <w:tcPr>
            <w:tcW w:w="139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93037D">
        <w:trPr>
          <w:cantSplit/>
          <w:trHeight w:val="256"/>
        </w:trPr>
        <w:tc>
          <w:tcPr>
            <w:tcW w:w="848" w:type="dxa"/>
            <w:shd w:val="clear" w:color="auto" w:fill="auto"/>
            <w:vAlign w:val="center"/>
          </w:tcPr>
          <w:p w:rsidR="00D27F66" w:rsidRDefault="0093037D">
            <w:pPr>
              <w:jc w:val="center"/>
            </w:pPr>
            <w:r>
              <w:rPr>
                <w:sz w:val="20"/>
                <w:szCs w:val="20"/>
              </w:rPr>
              <w:t>4.5</w:t>
            </w:r>
          </w:p>
        </w:tc>
        <w:tc>
          <w:tcPr>
            <w:tcW w:w="856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 xml:space="preserve">Tvorba plánů pro údržbu, revize, prohlídky, kontroly (zákonné revize, pravidelný servis). </w:t>
            </w:r>
          </w:p>
        </w:tc>
        <w:tc>
          <w:tcPr>
            <w:tcW w:w="1191"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6</w:t>
            </w:r>
          </w:p>
        </w:tc>
        <w:tc>
          <w:tcPr>
            <w:tcW w:w="124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i/>
                <w:sz w:val="20"/>
                <w:szCs w:val="20"/>
                <w:highlight w:val="black"/>
              </w:rPr>
            </w:pPr>
            <w:r w:rsidRPr="0093037D">
              <w:rPr>
                <w:i/>
                <w:sz w:val="20"/>
                <w:szCs w:val="20"/>
                <w:highlight w:val="black"/>
              </w:rPr>
              <w:t>vyplní uch.</w:t>
            </w:r>
          </w:p>
        </w:tc>
        <w:tc>
          <w:tcPr>
            <w:tcW w:w="139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93037D">
        <w:trPr>
          <w:cantSplit/>
          <w:trHeight w:val="256"/>
        </w:trPr>
        <w:tc>
          <w:tcPr>
            <w:tcW w:w="848" w:type="dxa"/>
            <w:shd w:val="clear" w:color="auto" w:fill="auto"/>
            <w:vAlign w:val="center"/>
          </w:tcPr>
          <w:p w:rsidR="00D27F66" w:rsidRDefault="0093037D">
            <w:pPr>
              <w:jc w:val="center"/>
            </w:pPr>
            <w:r>
              <w:rPr>
                <w:sz w:val="20"/>
                <w:szCs w:val="20"/>
              </w:rPr>
              <w:t>4.6</w:t>
            </w:r>
          </w:p>
        </w:tc>
        <w:tc>
          <w:tcPr>
            <w:tcW w:w="856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Připomínání termínů (servisních prohlídek, revizí, kalibrací), notifikace e-mailem.</w:t>
            </w:r>
          </w:p>
        </w:tc>
        <w:tc>
          <w:tcPr>
            <w:tcW w:w="1191"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6</w:t>
            </w:r>
          </w:p>
        </w:tc>
        <w:tc>
          <w:tcPr>
            <w:tcW w:w="124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i/>
                <w:sz w:val="20"/>
                <w:szCs w:val="20"/>
                <w:highlight w:val="black"/>
              </w:rPr>
            </w:pPr>
            <w:r w:rsidRPr="0093037D">
              <w:rPr>
                <w:i/>
                <w:sz w:val="20"/>
                <w:szCs w:val="20"/>
                <w:highlight w:val="black"/>
              </w:rPr>
              <w:t>vyplní uch.</w:t>
            </w:r>
          </w:p>
        </w:tc>
        <w:tc>
          <w:tcPr>
            <w:tcW w:w="139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93037D">
        <w:trPr>
          <w:cantSplit/>
          <w:trHeight w:val="256"/>
        </w:trPr>
        <w:tc>
          <w:tcPr>
            <w:tcW w:w="848" w:type="dxa"/>
            <w:shd w:val="clear" w:color="auto" w:fill="auto"/>
            <w:vAlign w:val="center"/>
          </w:tcPr>
          <w:p w:rsidR="00D27F66" w:rsidRDefault="0093037D">
            <w:pPr>
              <w:jc w:val="center"/>
            </w:pPr>
            <w:r>
              <w:rPr>
                <w:sz w:val="20"/>
                <w:szCs w:val="20"/>
              </w:rPr>
              <w:t>4.7</w:t>
            </w:r>
          </w:p>
        </w:tc>
        <w:tc>
          <w:tcPr>
            <w:tcW w:w="856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Číselník servisních organizací s kontakty.</w:t>
            </w:r>
          </w:p>
        </w:tc>
        <w:tc>
          <w:tcPr>
            <w:tcW w:w="1191"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6</w:t>
            </w:r>
          </w:p>
        </w:tc>
        <w:tc>
          <w:tcPr>
            <w:tcW w:w="124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i/>
                <w:sz w:val="20"/>
                <w:szCs w:val="20"/>
                <w:highlight w:val="black"/>
              </w:rPr>
            </w:pPr>
            <w:r w:rsidRPr="0093037D">
              <w:rPr>
                <w:i/>
                <w:sz w:val="20"/>
                <w:szCs w:val="20"/>
                <w:highlight w:val="black"/>
              </w:rPr>
              <w:t>vyplní uch.</w:t>
            </w:r>
          </w:p>
        </w:tc>
        <w:tc>
          <w:tcPr>
            <w:tcW w:w="139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93037D">
        <w:trPr>
          <w:cantSplit/>
          <w:trHeight w:val="256"/>
        </w:trPr>
        <w:tc>
          <w:tcPr>
            <w:tcW w:w="848" w:type="dxa"/>
            <w:shd w:val="clear" w:color="auto" w:fill="auto"/>
            <w:vAlign w:val="center"/>
          </w:tcPr>
          <w:p w:rsidR="00D27F66" w:rsidRDefault="00D27F66">
            <w:pPr>
              <w:jc w:val="center"/>
            </w:pPr>
          </w:p>
        </w:tc>
        <w:tc>
          <w:tcPr>
            <w:tcW w:w="13813" w:type="dxa"/>
            <w:gridSpan w:val="5"/>
            <w:tcBorders>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r>
              <w:rPr>
                <w:b/>
                <w:color w:val="000000"/>
                <w:sz w:val="20"/>
                <w:szCs w:val="20"/>
              </w:rPr>
              <w:t>Evidence vozidel a řidičů (ÚBO)</w:t>
            </w:r>
          </w:p>
        </w:tc>
      </w:tr>
      <w:tr w:rsidR="00D27F66" w:rsidTr="0093037D">
        <w:trPr>
          <w:cantSplit/>
          <w:trHeight w:val="256"/>
        </w:trPr>
        <w:tc>
          <w:tcPr>
            <w:tcW w:w="848" w:type="dxa"/>
            <w:shd w:val="clear" w:color="auto" w:fill="auto"/>
            <w:vAlign w:val="center"/>
          </w:tcPr>
          <w:p w:rsidR="00D27F66" w:rsidRDefault="0093037D">
            <w:pPr>
              <w:jc w:val="center"/>
            </w:pPr>
            <w:r>
              <w:rPr>
                <w:sz w:val="20"/>
                <w:szCs w:val="20"/>
              </w:rPr>
              <w:t>4.8</w:t>
            </w:r>
          </w:p>
        </w:tc>
        <w:tc>
          <w:tcPr>
            <w:tcW w:w="8560" w:type="dxa"/>
            <w:tcBorders>
              <w:left w:val="single" w:sz="4" w:space="0" w:color="000000"/>
              <w:bottom w:val="single" w:sz="4" w:space="0" w:color="000000"/>
            </w:tcBorders>
            <w:shd w:val="clear" w:color="auto" w:fill="E6E6FF"/>
            <w:tcMar>
              <w:left w:w="18" w:type="dxa"/>
              <w:right w:w="28" w:type="dxa"/>
            </w:tcMar>
            <w:vAlign w:val="center"/>
          </w:tcPr>
          <w:p w:rsidR="00D27F66" w:rsidRDefault="0093037D">
            <w:r>
              <w:rPr>
                <w:color w:val="000000"/>
                <w:sz w:val="20"/>
                <w:szCs w:val="20"/>
              </w:rPr>
              <w:t>Evidence vozového parku ústavu (služební vozidla ústavu, soukromá vozidla zaměstnanců):</w:t>
            </w:r>
          </w:p>
          <w:p w:rsidR="00D27F66" w:rsidRDefault="0093037D">
            <w:r>
              <w:rPr>
                <w:color w:val="000000"/>
                <w:sz w:val="20"/>
                <w:szCs w:val="20"/>
              </w:rPr>
              <w:t>- pojištění vozidla – POV, HAV</w:t>
            </w:r>
          </w:p>
          <w:p w:rsidR="00D27F66" w:rsidRDefault="0093037D">
            <w:r>
              <w:rPr>
                <w:color w:val="000000"/>
                <w:sz w:val="20"/>
                <w:szCs w:val="20"/>
              </w:rPr>
              <w:t>- daň silniční</w:t>
            </w:r>
          </w:p>
          <w:p w:rsidR="00D27F66" w:rsidRDefault="0093037D">
            <w:r>
              <w:rPr>
                <w:color w:val="000000"/>
                <w:sz w:val="20"/>
                <w:szCs w:val="20"/>
              </w:rPr>
              <w:t>- STK</w:t>
            </w:r>
          </w:p>
          <w:p w:rsidR="00D27F66" w:rsidRDefault="0093037D">
            <w:r>
              <w:rPr>
                <w:color w:val="000000"/>
                <w:sz w:val="20"/>
                <w:szCs w:val="20"/>
              </w:rPr>
              <w:t>- průměrná spotřeba PHM dle TP.</w:t>
            </w:r>
          </w:p>
        </w:tc>
        <w:tc>
          <w:tcPr>
            <w:tcW w:w="1191" w:type="dxa"/>
            <w:tcBorders>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6</w:t>
            </w:r>
          </w:p>
        </w:tc>
        <w:tc>
          <w:tcPr>
            <w:tcW w:w="1248" w:type="dxa"/>
            <w:tcBorders>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416" w:type="dxa"/>
            <w:tcBorders>
              <w:left w:val="single" w:sz="4" w:space="0" w:color="000000"/>
              <w:bottom w:val="single" w:sz="4" w:space="0" w:color="000000"/>
            </w:tcBorders>
            <w:shd w:val="clear" w:color="auto" w:fill="E6E6FF"/>
            <w:tcMar>
              <w:left w:w="18" w:type="dxa"/>
              <w:right w:w="28" w:type="dxa"/>
            </w:tcMar>
            <w:vAlign w:val="center"/>
          </w:tcPr>
          <w:p w:rsidR="00D27F66" w:rsidRDefault="0093037D">
            <w:pPr>
              <w:jc w:val="center"/>
              <w:rPr>
                <w:i/>
                <w:color w:val="000000"/>
                <w:sz w:val="20"/>
                <w:szCs w:val="20"/>
              </w:rPr>
            </w:pPr>
            <w:r w:rsidRPr="0093037D">
              <w:rPr>
                <w:i/>
                <w:sz w:val="20"/>
                <w:szCs w:val="20"/>
                <w:highlight w:val="black"/>
              </w:rPr>
              <w:t>vyplní uch.</w:t>
            </w:r>
          </w:p>
        </w:tc>
        <w:tc>
          <w:tcPr>
            <w:tcW w:w="1398" w:type="dxa"/>
            <w:tcBorders>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R</w:t>
            </w:r>
          </w:p>
        </w:tc>
      </w:tr>
      <w:tr w:rsidR="0093037D" w:rsidTr="0093037D">
        <w:trPr>
          <w:cantSplit/>
          <w:trHeight w:val="256"/>
        </w:trPr>
        <w:tc>
          <w:tcPr>
            <w:tcW w:w="848" w:type="dxa"/>
            <w:shd w:val="clear" w:color="auto" w:fill="auto"/>
            <w:vAlign w:val="center"/>
          </w:tcPr>
          <w:p w:rsidR="0093037D" w:rsidRDefault="0093037D" w:rsidP="0093037D">
            <w:pPr>
              <w:jc w:val="center"/>
            </w:pPr>
            <w:r>
              <w:rPr>
                <w:sz w:val="20"/>
                <w:szCs w:val="20"/>
              </w:rPr>
              <w:t>4.9</w:t>
            </w:r>
          </w:p>
        </w:tc>
        <w:tc>
          <w:tcPr>
            <w:tcW w:w="8560" w:type="dxa"/>
            <w:tcBorders>
              <w:left w:val="single" w:sz="4" w:space="0" w:color="000000"/>
              <w:bottom w:val="single" w:sz="4" w:space="0" w:color="000000"/>
            </w:tcBorders>
            <w:shd w:val="clear" w:color="auto" w:fill="E6E6FF"/>
            <w:tcMar>
              <w:left w:w="18" w:type="dxa"/>
              <w:right w:w="28" w:type="dxa"/>
            </w:tcMar>
            <w:vAlign w:val="center"/>
          </w:tcPr>
          <w:p w:rsidR="0093037D" w:rsidRDefault="0093037D" w:rsidP="0093037D">
            <w:r>
              <w:rPr>
                <w:color w:val="000000"/>
                <w:sz w:val="20"/>
                <w:szCs w:val="20"/>
              </w:rPr>
              <w:t>Evidence technických prohlídek včetně STK a oprav vozidel.</w:t>
            </w:r>
          </w:p>
        </w:tc>
        <w:tc>
          <w:tcPr>
            <w:tcW w:w="1191" w:type="dxa"/>
            <w:tcBorders>
              <w:left w:val="single" w:sz="4" w:space="0" w:color="000000"/>
              <w:bottom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6</w:t>
            </w:r>
          </w:p>
        </w:tc>
        <w:tc>
          <w:tcPr>
            <w:tcW w:w="1248" w:type="dxa"/>
            <w:tcBorders>
              <w:left w:val="single" w:sz="4" w:space="0" w:color="000000"/>
              <w:bottom w:val="single" w:sz="4" w:space="0" w:color="000000"/>
            </w:tcBorders>
            <w:shd w:val="clear" w:color="auto" w:fill="E6E6FF"/>
            <w:tcMar>
              <w:left w:w="18" w:type="dxa"/>
              <w:right w:w="28" w:type="dxa"/>
            </w:tcMar>
            <w:vAlign w:val="center"/>
          </w:tcPr>
          <w:p w:rsidR="0093037D" w:rsidRPr="0093037D" w:rsidRDefault="0093037D" w:rsidP="0093037D">
            <w:pPr>
              <w:jc w:val="center"/>
              <w:rPr>
                <w:highlight w:val="black"/>
              </w:rPr>
            </w:pPr>
            <w:r w:rsidRPr="0093037D">
              <w:rPr>
                <w:i/>
                <w:color w:val="000000"/>
                <w:sz w:val="20"/>
                <w:szCs w:val="20"/>
                <w:highlight w:val="black"/>
              </w:rPr>
              <w:t>vyplní uch.</w:t>
            </w:r>
          </w:p>
        </w:tc>
        <w:tc>
          <w:tcPr>
            <w:tcW w:w="1416" w:type="dxa"/>
            <w:tcBorders>
              <w:left w:val="single" w:sz="4" w:space="0" w:color="000000"/>
              <w:bottom w:val="single" w:sz="4" w:space="0" w:color="000000"/>
            </w:tcBorders>
            <w:shd w:val="clear" w:color="auto" w:fill="E6E6FF"/>
            <w:tcMar>
              <w:left w:w="18" w:type="dxa"/>
              <w:right w:w="28" w:type="dxa"/>
            </w:tcMar>
          </w:tcPr>
          <w:p w:rsidR="0093037D" w:rsidRDefault="0093037D" w:rsidP="0093037D">
            <w:r w:rsidRPr="00A95B47">
              <w:rPr>
                <w:i/>
                <w:sz w:val="20"/>
                <w:szCs w:val="20"/>
                <w:highlight w:val="black"/>
              </w:rPr>
              <w:t>vyplní uch.</w:t>
            </w:r>
          </w:p>
        </w:tc>
        <w:tc>
          <w:tcPr>
            <w:tcW w:w="1398" w:type="dxa"/>
            <w:tcBorders>
              <w:left w:val="single" w:sz="4" w:space="0" w:color="000000"/>
              <w:bottom w:val="single" w:sz="4" w:space="0" w:color="000000"/>
              <w:right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R</w:t>
            </w:r>
          </w:p>
        </w:tc>
      </w:tr>
      <w:tr w:rsidR="0093037D" w:rsidTr="0093037D">
        <w:trPr>
          <w:cantSplit/>
          <w:trHeight w:val="256"/>
        </w:trPr>
        <w:tc>
          <w:tcPr>
            <w:tcW w:w="848" w:type="dxa"/>
            <w:shd w:val="clear" w:color="auto" w:fill="auto"/>
            <w:vAlign w:val="center"/>
          </w:tcPr>
          <w:p w:rsidR="0093037D" w:rsidRDefault="0093037D" w:rsidP="0093037D">
            <w:pPr>
              <w:jc w:val="center"/>
            </w:pPr>
            <w:r>
              <w:rPr>
                <w:sz w:val="20"/>
                <w:szCs w:val="20"/>
              </w:rPr>
              <w:t>4.10</w:t>
            </w:r>
          </w:p>
        </w:tc>
        <w:tc>
          <w:tcPr>
            <w:tcW w:w="8560" w:type="dxa"/>
            <w:tcBorders>
              <w:left w:val="single" w:sz="4" w:space="0" w:color="000000"/>
              <w:bottom w:val="single" w:sz="4" w:space="0" w:color="000000"/>
            </w:tcBorders>
            <w:shd w:val="clear" w:color="auto" w:fill="E6E6FF"/>
            <w:tcMar>
              <w:left w:w="18" w:type="dxa"/>
              <w:right w:w="28" w:type="dxa"/>
            </w:tcMar>
            <w:vAlign w:val="center"/>
          </w:tcPr>
          <w:p w:rsidR="0093037D" w:rsidRDefault="0093037D" w:rsidP="0093037D">
            <w:r>
              <w:rPr>
                <w:color w:val="000000"/>
                <w:sz w:val="20"/>
                <w:szCs w:val="20"/>
              </w:rPr>
              <w:t>Zpracování karet CCS.</w:t>
            </w:r>
          </w:p>
        </w:tc>
        <w:tc>
          <w:tcPr>
            <w:tcW w:w="1191" w:type="dxa"/>
            <w:tcBorders>
              <w:left w:val="single" w:sz="4" w:space="0" w:color="000000"/>
              <w:bottom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6</w:t>
            </w:r>
          </w:p>
        </w:tc>
        <w:tc>
          <w:tcPr>
            <w:tcW w:w="1248" w:type="dxa"/>
            <w:tcBorders>
              <w:left w:val="single" w:sz="4" w:space="0" w:color="000000"/>
              <w:bottom w:val="single" w:sz="4" w:space="0" w:color="000000"/>
            </w:tcBorders>
            <w:shd w:val="clear" w:color="auto" w:fill="E6E6FF"/>
            <w:tcMar>
              <w:left w:w="18" w:type="dxa"/>
              <w:right w:w="28" w:type="dxa"/>
            </w:tcMar>
            <w:vAlign w:val="center"/>
          </w:tcPr>
          <w:p w:rsidR="0093037D" w:rsidRPr="0093037D" w:rsidRDefault="0093037D" w:rsidP="0093037D">
            <w:pPr>
              <w:jc w:val="center"/>
              <w:rPr>
                <w:highlight w:val="black"/>
              </w:rPr>
            </w:pPr>
            <w:r w:rsidRPr="0093037D">
              <w:rPr>
                <w:i/>
                <w:color w:val="000000"/>
                <w:sz w:val="20"/>
                <w:szCs w:val="20"/>
                <w:highlight w:val="black"/>
              </w:rPr>
              <w:t>vyplní uch.</w:t>
            </w:r>
          </w:p>
        </w:tc>
        <w:tc>
          <w:tcPr>
            <w:tcW w:w="1416" w:type="dxa"/>
            <w:tcBorders>
              <w:left w:val="single" w:sz="4" w:space="0" w:color="000000"/>
              <w:bottom w:val="single" w:sz="4" w:space="0" w:color="000000"/>
            </w:tcBorders>
            <w:shd w:val="clear" w:color="auto" w:fill="E6E6FF"/>
            <w:tcMar>
              <w:left w:w="18" w:type="dxa"/>
              <w:right w:w="28" w:type="dxa"/>
            </w:tcMar>
          </w:tcPr>
          <w:p w:rsidR="0093037D" w:rsidRDefault="0093037D" w:rsidP="0093037D">
            <w:r w:rsidRPr="00A95B47">
              <w:rPr>
                <w:i/>
                <w:sz w:val="20"/>
                <w:szCs w:val="20"/>
                <w:highlight w:val="black"/>
              </w:rPr>
              <w:t>vyplní uch.</w:t>
            </w:r>
          </w:p>
        </w:tc>
        <w:tc>
          <w:tcPr>
            <w:tcW w:w="1398" w:type="dxa"/>
            <w:tcBorders>
              <w:left w:val="single" w:sz="4" w:space="0" w:color="000000"/>
              <w:bottom w:val="single" w:sz="4" w:space="0" w:color="000000"/>
              <w:right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R</w:t>
            </w:r>
          </w:p>
        </w:tc>
      </w:tr>
      <w:tr w:rsidR="0093037D" w:rsidTr="0093037D">
        <w:trPr>
          <w:cantSplit/>
          <w:trHeight w:val="256"/>
        </w:trPr>
        <w:tc>
          <w:tcPr>
            <w:tcW w:w="848" w:type="dxa"/>
            <w:shd w:val="clear" w:color="auto" w:fill="auto"/>
            <w:vAlign w:val="center"/>
          </w:tcPr>
          <w:p w:rsidR="0093037D" w:rsidRDefault="0093037D" w:rsidP="0093037D">
            <w:pPr>
              <w:jc w:val="center"/>
            </w:pPr>
            <w:r>
              <w:rPr>
                <w:sz w:val="20"/>
                <w:szCs w:val="20"/>
              </w:rPr>
              <w:t>4.11</w:t>
            </w:r>
          </w:p>
        </w:tc>
        <w:tc>
          <w:tcPr>
            <w:tcW w:w="8560" w:type="dxa"/>
            <w:tcBorders>
              <w:left w:val="single" w:sz="4" w:space="0" w:color="000000"/>
              <w:bottom w:val="single" w:sz="4" w:space="0" w:color="000000"/>
            </w:tcBorders>
            <w:shd w:val="clear" w:color="auto" w:fill="E6E6FF"/>
            <w:tcMar>
              <w:left w:w="18" w:type="dxa"/>
              <w:right w:w="28" w:type="dxa"/>
            </w:tcMar>
            <w:vAlign w:val="center"/>
          </w:tcPr>
          <w:p w:rsidR="0093037D" w:rsidRDefault="0093037D" w:rsidP="0093037D">
            <w:r>
              <w:rPr>
                <w:color w:val="000000"/>
                <w:sz w:val="20"/>
                <w:szCs w:val="20"/>
              </w:rPr>
              <w:t>Vazba na cestovní příkazy  - přenos informací o vozidle do CP, výpočet náhrad cesty.</w:t>
            </w:r>
          </w:p>
        </w:tc>
        <w:tc>
          <w:tcPr>
            <w:tcW w:w="1191" w:type="dxa"/>
            <w:tcBorders>
              <w:left w:val="single" w:sz="4" w:space="0" w:color="000000"/>
              <w:bottom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6</w:t>
            </w:r>
          </w:p>
        </w:tc>
        <w:tc>
          <w:tcPr>
            <w:tcW w:w="1248" w:type="dxa"/>
            <w:tcBorders>
              <w:left w:val="single" w:sz="4" w:space="0" w:color="000000"/>
              <w:bottom w:val="single" w:sz="4" w:space="0" w:color="000000"/>
            </w:tcBorders>
            <w:shd w:val="clear" w:color="auto" w:fill="E6E6FF"/>
            <w:tcMar>
              <w:left w:w="18" w:type="dxa"/>
              <w:right w:w="28" w:type="dxa"/>
            </w:tcMar>
            <w:vAlign w:val="center"/>
          </w:tcPr>
          <w:p w:rsidR="0093037D" w:rsidRPr="0093037D" w:rsidRDefault="0093037D" w:rsidP="0093037D">
            <w:pPr>
              <w:jc w:val="center"/>
              <w:rPr>
                <w:highlight w:val="black"/>
              </w:rPr>
            </w:pPr>
            <w:r w:rsidRPr="0093037D">
              <w:rPr>
                <w:i/>
                <w:color w:val="000000"/>
                <w:sz w:val="20"/>
                <w:szCs w:val="20"/>
                <w:highlight w:val="black"/>
              </w:rPr>
              <w:t>vyplní uch.</w:t>
            </w:r>
          </w:p>
        </w:tc>
        <w:tc>
          <w:tcPr>
            <w:tcW w:w="1416" w:type="dxa"/>
            <w:tcBorders>
              <w:left w:val="single" w:sz="4" w:space="0" w:color="000000"/>
              <w:bottom w:val="single" w:sz="4" w:space="0" w:color="000000"/>
            </w:tcBorders>
            <w:shd w:val="clear" w:color="auto" w:fill="E6E6FF"/>
            <w:tcMar>
              <w:left w:w="18" w:type="dxa"/>
              <w:right w:w="28" w:type="dxa"/>
            </w:tcMar>
          </w:tcPr>
          <w:p w:rsidR="0093037D" w:rsidRDefault="0093037D" w:rsidP="0093037D">
            <w:r w:rsidRPr="00A95B47">
              <w:rPr>
                <w:i/>
                <w:sz w:val="20"/>
                <w:szCs w:val="20"/>
                <w:highlight w:val="black"/>
              </w:rPr>
              <w:t>vyplní uch.</w:t>
            </w:r>
          </w:p>
        </w:tc>
        <w:tc>
          <w:tcPr>
            <w:tcW w:w="1398" w:type="dxa"/>
            <w:tcBorders>
              <w:left w:val="single" w:sz="4" w:space="0" w:color="000000"/>
              <w:bottom w:val="single" w:sz="4" w:space="0" w:color="000000"/>
              <w:right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R</w:t>
            </w:r>
          </w:p>
        </w:tc>
      </w:tr>
      <w:tr w:rsidR="0093037D" w:rsidTr="0093037D">
        <w:trPr>
          <w:cantSplit/>
          <w:trHeight w:val="256"/>
        </w:trPr>
        <w:tc>
          <w:tcPr>
            <w:tcW w:w="848" w:type="dxa"/>
            <w:shd w:val="clear" w:color="auto" w:fill="auto"/>
            <w:vAlign w:val="center"/>
          </w:tcPr>
          <w:p w:rsidR="0093037D" w:rsidRDefault="0093037D" w:rsidP="0093037D">
            <w:pPr>
              <w:jc w:val="center"/>
            </w:pPr>
            <w:r>
              <w:rPr>
                <w:sz w:val="20"/>
                <w:szCs w:val="20"/>
              </w:rPr>
              <w:t>4.12</w:t>
            </w:r>
          </w:p>
        </w:tc>
        <w:tc>
          <w:tcPr>
            <w:tcW w:w="8560" w:type="dxa"/>
            <w:tcBorders>
              <w:left w:val="single" w:sz="4" w:space="0" w:color="000000"/>
              <w:bottom w:val="single" w:sz="4" w:space="0" w:color="000000"/>
            </w:tcBorders>
            <w:shd w:val="clear" w:color="auto" w:fill="E6E6FF"/>
            <w:tcMar>
              <w:left w:w="18" w:type="dxa"/>
              <w:right w:w="28" w:type="dxa"/>
            </w:tcMar>
            <w:vAlign w:val="center"/>
          </w:tcPr>
          <w:p w:rsidR="0093037D" w:rsidRDefault="0093037D" w:rsidP="0093037D">
            <w:r>
              <w:rPr>
                <w:color w:val="000000"/>
                <w:sz w:val="20"/>
                <w:szCs w:val="20"/>
              </w:rPr>
              <w:t>Rezervační systém vozidel.</w:t>
            </w:r>
          </w:p>
        </w:tc>
        <w:tc>
          <w:tcPr>
            <w:tcW w:w="1191" w:type="dxa"/>
            <w:tcBorders>
              <w:left w:val="single" w:sz="4" w:space="0" w:color="000000"/>
              <w:bottom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6</w:t>
            </w:r>
          </w:p>
        </w:tc>
        <w:tc>
          <w:tcPr>
            <w:tcW w:w="1248" w:type="dxa"/>
            <w:tcBorders>
              <w:left w:val="single" w:sz="4" w:space="0" w:color="000000"/>
              <w:bottom w:val="single" w:sz="4" w:space="0" w:color="000000"/>
            </w:tcBorders>
            <w:shd w:val="clear" w:color="auto" w:fill="E6E6FF"/>
            <w:tcMar>
              <w:left w:w="18" w:type="dxa"/>
              <w:right w:w="28" w:type="dxa"/>
            </w:tcMar>
            <w:vAlign w:val="center"/>
          </w:tcPr>
          <w:p w:rsidR="0093037D" w:rsidRPr="0093037D" w:rsidRDefault="0093037D" w:rsidP="0093037D">
            <w:pPr>
              <w:jc w:val="center"/>
              <w:rPr>
                <w:highlight w:val="black"/>
              </w:rPr>
            </w:pPr>
            <w:r w:rsidRPr="0093037D">
              <w:rPr>
                <w:i/>
                <w:color w:val="000000"/>
                <w:sz w:val="20"/>
                <w:szCs w:val="20"/>
                <w:highlight w:val="black"/>
              </w:rPr>
              <w:t>vyplní uch.</w:t>
            </w:r>
          </w:p>
        </w:tc>
        <w:tc>
          <w:tcPr>
            <w:tcW w:w="1416" w:type="dxa"/>
            <w:tcBorders>
              <w:left w:val="single" w:sz="4" w:space="0" w:color="000000"/>
              <w:bottom w:val="single" w:sz="4" w:space="0" w:color="000000"/>
            </w:tcBorders>
            <w:shd w:val="clear" w:color="auto" w:fill="E6E6FF"/>
            <w:tcMar>
              <w:left w:w="18" w:type="dxa"/>
              <w:right w:w="28" w:type="dxa"/>
            </w:tcMar>
          </w:tcPr>
          <w:p w:rsidR="0093037D" w:rsidRDefault="0093037D" w:rsidP="0093037D">
            <w:r w:rsidRPr="00A95B47">
              <w:rPr>
                <w:i/>
                <w:sz w:val="20"/>
                <w:szCs w:val="20"/>
                <w:highlight w:val="black"/>
              </w:rPr>
              <w:t>vyplní uch.</w:t>
            </w:r>
          </w:p>
        </w:tc>
        <w:tc>
          <w:tcPr>
            <w:tcW w:w="1398" w:type="dxa"/>
            <w:tcBorders>
              <w:left w:val="single" w:sz="4" w:space="0" w:color="000000"/>
              <w:bottom w:val="single" w:sz="4" w:space="0" w:color="000000"/>
              <w:right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R</w:t>
            </w:r>
          </w:p>
        </w:tc>
      </w:tr>
      <w:tr w:rsidR="0093037D" w:rsidTr="0093037D">
        <w:trPr>
          <w:cantSplit/>
          <w:trHeight w:val="256"/>
        </w:trPr>
        <w:tc>
          <w:tcPr>
            <w:tcW w:w="848" w:type="dxa"/>
            <w:shd w:val="clear" w:color="auto" w:fill="auto"/>
            <w:vAlign w:val="center"/>
          </w:tcPr>
          <w:p w:rsidR="0093037D" w:rsidRDefault="0093037D" w:rsidP="0093037D">
            <w:pPr>
              <w:jc w:val="center"/>
            </w:pPr>
            <w:r>
              <w:rPr>
                <w:sz w:val="20"/>
                <w:szCs w:val="20"/>
              </w:rPr>
              <w:t>4.13</w:t>
            </w:r>
          </w:p>
        </w:tc>
        <w:tc>
          <w:tcPr>
            <w:tcW w:w="8560" w:type="dxa"/>
            <w:tcBorders>
              <w:left w:val="single" w:sz="4" w:space="0" w:color="000000"/>
              <w:bottom w:val="single" w:sz="4" w:space="0" w:color="000000"/>
            </w:tcBorders>
            <w:shd w:val="clear" w:color="auto" w:fill="E6E6FF"/>
            <w:tcMar>
              <w:left w:w="18" w:type="dxa"/>
              <w:right w:w="28" w:type="dxa"/>
            </w:tcMar>
            <w:vAlign w:val="center"/>
          </w:tcPr>
          <w:p w:rsidR="0093037D" w:rsidRDefault="0093037D" w:rsidP="0093037D">
            <w:r>
              <w:rPr>
                <w:color w:val="000000"/>
                <w:sz w:val="20"/>
                <w:szCs w:val="20"/>
              </w:rPr>
              <w:t>Workflow pro elektronické schvalování žádostí vozidel.</w:t>
            </w:r>
          </w:p>
        </w:tc>
        <w:tc>
          <w:tcPr>
            <w:tcW w:w="1191" w:type="dxa"/>
            <w:tcBorders>
              <w:left w:val="single" w:sz="4" w:space="0" w:color="000000"/>
              <w:bottom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6</w:t>
            </w:r>
          </w:p>
        </w:tc>
        <w:tc>
          <w:tcPr>
            <w:tcW w:w="1248" w:type="dxa"/>
            <w:tcBorders>
              <w:left w:val="single" w:sz="4" w:space="0" w:color="000000"/>
              <w:bottom w:val="single" w:sz="4" w:space="0" w:color="000000"/>
            </w:tcBorders>
            <w:shd w:val="clear" w:color="auto" w:fill="E6E6FF"/>
            <w:tcMar>
              <w:left w:w="18" w:type="dxa"/>
              <w:right w:w="28" w:type="dxa"/>
            </w:tcMar>
            <w:vAlign w:val="center"/>
          </w:tcPr>
          <w:p w:rsidR="0093037D" w:rsidRPr="0093037D" w:rsidRDefault="0093037D" w:rsidP="0093037D">
            <w:pPr>
              <w:jc w:val="center"/>
              <w:rPr>
                <w:highlight w:val="black"/>
              </w:rPr>
            </w:pPr>
            <w:r w:rsidRPr="0093037D">
              <w:rPr>
                <w:i/>
                <w:sz w:val="20"/>
                <w:szCs w:val="20"/>
                <w:highlight w:val="black"/>
              </w:rPr>
              <w:t>vyplní uch.</w:t>
            </w:r>
          </w:p>
        </w:tc>
        <w:tc>
          <w:tcPr>
            <w:tcW w:w="1416" w:type="dxa"/>
            <w:tcBorders>
              <w:left w:val="single" w:sz="4" w:space="0" w:color="000000"/>
              <w:bottom w:val="single" w:sz="4" w:space="0" w:color="000000"/>
            </w:tcBorders>
            <w:shd w:val="clear" w:color="auto" w:fill="E6E6FF"/>
            <w:tcMar>
              <w:left w:w="18" w:type="dxa"/>
              <w:right w:w="28" w:type="dxa"/>
            </w:tcMar>
          </w:tcPr>
          <w:p w:rsidR="0093037D" w:rsidRDefault="0093037D" w:rsidP="0093037D">
            <w:r w:rsidRPr="00A95B47">
              <w:rPr>
                <w:i/>
                <w:sz w:val="20"/>
                <w:szCs w:val="20"/>
                <w:highlight w:val="black"/>
              </w:rPr>
              <w:t>vyplní uch.</w:t>
            </w:r>
          </w:p>
        </w:tc>
        <w:tc>
          <w:tcPr>
            <w:tcW w:w="1398" w:type="dxa"/>
            <w:tcBorders>
              <w:left w:val="single" w:sz="4" w:space="0" w:color="000000"/>
              <w:bottom w:val="single" w:sz="4" w:space="0" w:color="000000"/>
              <w:right w:val="single" w:sz="4" w:space="0" w:color="000000"/>
            </w:tcBorders>
            <w:shd w:val="clear" w:color="auto" w:fill="E6E6FF"/>
            <w:tcMar>
              <w:left w:w="18" w:type="dxa"/>
              <w:right w:w="28" w:type="dxa"/>
            </w:tcMar>
            <w:vAlign w:val="center"/>
          </w:tcPr>
          <w:p w:rsidR="0093037D" w:rsidRDefault="0093037D" w:rsidP="0093037D">
            <w:pPr>
              <w:jc w:val="center"/>
            </w:pPr>
            <w:r>
              <w:rPr>
                <w:sz w:val="20"/>
                <w:szCs w:val="20"/>
              </w:rPr>
              <w:t>R</w:t>
            </w:r>
          </w:p>
        </w:tc>
      </w:tr>
    </w:tbl>
    <w:p w:rsidR="00D27F66" w:rsidRDefault="00D27F66"/>
    <w:p w:rsidR="00D27F66" w:rsidRDefault="0093037D">
      <w:r>
        <w:rPr>
          <w:b/>
          <w:bCs/>
          <w:sz w:val="24"/>
        </w:rPr>
        <w:t>5. Personalistika a mzdy</w:t>
      </w:r>
    </w:p>
    <w:tbl>
      <w:tblPr>
        <w:tblW w:w="14570" w:type="dxa"/>
        <w:tblInd w:w="-30" w:type="dxa"/>
        <w:tblCellMar>
          <w:left w:w="30" w:type="dxa"/>
          <w:right w:w="30" w:type="dxa"/>
        </w:tblCellMar>
        <w:tblLook w:val="04A0" w:firstRow="1" w:lastRow="0" w:firstColumn="1" w:lastColumn="0" w:noHBand="0" w:noVBand="1"/>
      </w:tblPr>
      <w:tblGrid>
        <w:gridCol w:w="847"/>
        <w:gridCol w:w="8558"/>
        <w:gridCol w:w="1192"/>
        <w:gridCol w:w="1247"/>
        <w:gridCol w:w="1418"/>
        <w:gridCol w:w="1308"/>
      </w:tblGrid>
      <w:tr w:rsidR="00D27F66" w:rsidTr="0093037D">
        <w:trPr>
          <w:cantSplit/>
          <w:trHeight w:val="255"/>
          <w:tblHeader/>
        </w:trPr>
        <w:tc>
          <w:tcPr>
            <w:tcW w:w="847" w:type="dxa"/>
            <w:shd w:val="clear" w:color="auto" w:fill="auto"/>
            <w:vAlign w:val="center"/>
          </w:tcPr>
          <w:p w:rsidR="00D27F66" w:rsidRDefault="00D27F66">
            <w:pPr>
              <w:jc w:val="center"/>
              <w:rPr>
                <w:sz w:val="20"/>
                <w:szCs w:val="20"/>
              </w:rPr>
            </w:pPr>
          </w:p>
        </w:tc>
        <w:tc>
          <w:tcPr>
            <w:tcW w:w="8558"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r>
              <w:rPr>
                <w:b/>
                <w:szCs w:val="22"/>
              </w:rPr>
              <w:t>Požadavek na funkcionalitu</w:t>
            </w:r>
          </w:p>
        </w:tc>
        <w:tc>
          <w:tcPr>
            <w:tcW w:w="1192"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Body významnosti funkcionality</w:t>
            </w:r>
          </w:p>
        </w:tc>
        <w:tc>
          <w:tcPr>
            <w:tcW w:w="1247"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Standardní funkcionalita</w:t>
            </w:r>
          </w:p>
        </w:tc>
        <w:tc>
          <w:tcPr>
            <w:tcW w:w="1418"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Bude doplněno / doprogramováno</w:t>
            </w:r>
          </w:p>
        </w:tc>
        <w:tc>
          <w:tcPr>
            <w:tcW w:w="1308" w:type="dxa"/>
            <w:tcBorders>
              <w:top w:val="single" w:sz="4" w:space="0" w:color="000000"/>
              <w:left w:val="single" w:sz="4" w:space="0" w:color="000000"/>
              <w:bottom w:val="single" w:sz="4" w:space="0" w:color="000000"/>
              <w:right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Povinný / rozšiřující</w:t>
            </w:r>
          </w:p>
        </w:tc>
      </w:tr>
      <w:tr w:rsidR="00D27F66" w:rsidTr="0093037D">
        <w:trPr>
          <w:cantSplit/>
          <w:trHeight w:val="400"/>
        </w:trPr>
        <w:tc>
          <w:tcPr>
            <w:tcW w:w="847" w:type="dxa"/>
            <w:shd w:val="clear" w:color="auto" w:fill="auto"/>
            <w:vAlign w:val="center"/>
          </w:tcPr>
          <w:p w:rsidR="00D27F66" w:rsidRDefault="0093037D">
            <w:pPr>
              <w:jc w:val="center"/>
            </w:pPr>
            <w:r>
              <w:rPr>
                <w:sz w:val="20"/>
                <w:szCs w:val="20"/>
              </w:rPr>
              <w:t>5.1</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Číselníky budou nastavitelné v požadovaném formátu (složky mezd – číselný formát XXXX, účetní souvztažnosti na úrovni analytik – číselný formát XXXXXXXXXX, CZ-ISCO, atd.).</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5.2</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Individuálních číselníky pro kalendáře, směny, mzdové tabulky, číselník odesílatelů a příjemců, mzdové postupy atd..</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5.3</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 xml:space="preserve">Číselník osob musí být jen jeden, aby se ID zaměstnance nemohlo v systému opakovat, stejně jako OSČ (osobní číslo). </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400"/>
        </w:trPr>
        <w:tc>
          <w:tcPr>
            <w:tcW w:w="847" w:type="dxa"/>
            <w:shd w:val="clear" w:color="auto" w:fill="auto"/>
            <w:vAlign w:val="center"/>
          </w:tcPr>
          <w:p w:rsidR="00D27F66" w:rsidRDefault="0093037D">
            <w:pPr>
              <w:jc w:val="center"/>
            </w:pPr>
            <w:r>
              <w:rPr>
                <w:sz w:val="20"/>
                <w:szCs w:val="20"/>
              </w:rPr>
              <w:t>5.4</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vyčlenění pouze určité skupiny zaměstnanců dle předem daného parametru (například dle konkrétního zdroje financování), uložení tohoto výběru a možnost práce pouze s touto skupinou (načítání sestav a jejich export a tisk, hromadné změny, atd.).</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5.5</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zrušení výpočtu mezd za aktuální období a uzávěrky a to i opakovaně.</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lastRenderedPageBreak/>
              <w:t>5.6</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Nástroje pro podporu a oddělení výpočtu odvodů sociálního pojištění, zdravotního pojištění a daní.</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5.7</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Výpočet odvodů dle legislativy vybraných států EU: Slovensko, Německo, Rakousko, Polsko, Norsko. Pro Slovensko výpočet s ohledem na maximální limit odvodů v EUR přepočtený na Kč dle příslušného kurzovního lístku.</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5.8</w:t>
            </w:r>
          </w:p>
        </w:tc>
        <w:tc>
          <w:tcPr>
            <w:tcW w:w="855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color w:val="000000"/>
                <w:sz w:val="20"/>
                <w:szCs w:val="20"/>
              </w:rPr>
              <w:t>Výpočet odvodů dle legislativy jiných států EU neuvedených v předchozím požadavku.</w:t>
            </w:r>
          </w:p>
        </w:tc>
        <w:tc>
          <w:tcPr>
            <w:tcW w:w="1192"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10</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i/>
                <w:color w:val="000000"/>
                <w:sz w:val="20"/>
                <w:szCs w:val="20"/>
                <w:highlight w:val="black"/>
              </w:rPr>
            </w:pP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R</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5.9</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Plná implementace české legislativy v systému.</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400"/>
        </w:trPr>
        <w:tc>
          <w:tcPr>
            <w:tcW w:w="847" w:type="dxa"/>
            <w:shd w:val="clear" w:color="auto" w:fill="auto"/>
            <w:vAlign w:val="center"/>
          </w:tcPr>
          <w:p w:rsidR="00D27F66" w:rsidRDefault="0093037D">
            <w:pPr>
              <w:jc w:val="center"/>
            </w:pPr>
            <w:r>
              <w:rPr>
                <w:sz w:val="20"/>
                <w:szCs w:val="20"/>
              </w:rPr>
              <w:t>5.10</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Parametrizované sestavy zohledňující dodržování podmínek pro čerpání osobních nákladů jednotlivých poskytovatelů (např. Grantové agentury ČR (GAČR), TA ČR, MPO, MŠMT a jiné) pro jednotlivé roky.</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400"/>
        </w:trPr>
        <w:tc>
          <w:tcPr>
            <w:tcW w:w="847" w:type="dxa"/>
            <w:shd w:val="clear" w:color="auto" w:fill="auto"/>
            <w:vAlign w:val="center"/>
          </w:tcPr>
          <w:p w:rsidR="00D27F66" w:rsidRDefault="0093037D">
            <w:pPr>
              <w:jc w:val="center"/>
            </w:pPr>
            <w:r>
              <w:rPr>
                <w:sz w:val="20"/>
                <w:szCs w:val="20"/>
              </w:rPr>
              <w:t>5.11</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Nástroje pro průběžné sledování čerpání osobních nákladů na jednotlivých zdrojích financování (možnost nastavení rozpočtu na zdroj financování přímo ve mzdovém systému, na úrovni zdrojů financování i osobních čísel; kontrola prostřednictvím uživatelské sestavy).</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5.12</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Vedení elektronického spisu (osobní složka zaměstnance) s možností připojování dokumentů (v libovolném formátu).</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8</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5.13</w:t>
            </w:r>
          </w:p>
        </w:tc>
        <w:tc>
          <w:tcPr>
            <w:tcW w:w="855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Podpora evidence souhlasů udělených subjekty údajů a přístupu na osobní data podle GDPR.</w:t>
            </w:r>
          </w:p>
        </w:tc>
        <w:tc>
          <w:tcPr>
            <w:tcW w:w="1192"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5</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i/>
                <w:sz w:val="20"/>
                <w:szCs w:val="20"/>
                <w:highlight w:val="black"/>
              </w:rPr>
            </w:pP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5.14</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evidence osob bez rodného čísla (cizinci) pomocí ID osoby, které je vázáno na osobní číslo a datum narození.</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5.15</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Evidence základních personálních údajů o osobě.</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5.16</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Uchovávání historie změny záznamů pro personální a mzdové údaje (platnost údaje od – do) včetně zobrazení konkrétní změny.</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423904" w:rsidTr="00522EE6">
        <w:trPr>
          <w:cantSplit/>
          <w:trHeight w:val="400"/>
        </w:trPr>
        <w:tc>
          <w:tcPr>
            <w:tcW w:w="847" w:type="dxa"/>
            <w:shd w:val="clear" w:color="auto" w:fill="auto"/>
            <w:vAlign w:val="center"/>
          </w:tcPr>
          <w:p w:rsidR="00423904" w:rsidRDefault="00423904" w:rsidP="00423904">
            <w:pPr>
              <w:jc w:val="center"/>
            </w:pPr>
            <w:bookmarkStart w:id="0" w:name="_GoBack" w:colFirst="4" w:colLast="4"/>
            <w:r>
              <w:rPr>
                <w:sz w:val="20"/>
                <w:szCs w:val="20"/>
              </w:rPr>
              <w:t>5.17</w:t>
            </w:r>
          </w:p>
        </w:tc>
        <w:tc>
          <w:tcPr>
            <w:tcW w:w="855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color w:val="000000"/>
                <w:sz w:val="20"/>
                <w:szCs w:val="20"/>
              </w:rPr>
              <w:t>Kontaktní informace v rámci ústavu (e-mail, budova, číslo kanceláře, telefonní spojení…), možnost přenosu nebo exportu vybraných informací pro webové stránky ústavu.</w:t>
            </w:r>
          </w:p>
        </w:tc>
        <w:tc>
          <w:tcPr>
            <w:tcW w:w="1192"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5</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031CE8">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R</w:t>
            </w:r>
          </w:p>
        </w:tc>
      </w:tr>
      <w:tr w:rsidR="00423904" w:rsidTr="00522EE6">
        <w:trPr>
          <w:cantSplit/>
          <w:trHeight w:val="256"/>
        </w:trPr>
        <w:tc>
          <w:tcPr>
            <w:tcW w:w="847" w:type="dxa"/>
            <w:shd w:val="clear" w:color="auto" w:fill="auto"/>
            <w:vAlign w:val="center"/>
          </w:tcPr>
          <w:p w:rsidR="00423904" w:rsidRDefault="00423904" w:rsidP="00423904">
            <w:pPr>
              <w:jc w:val="center"/>
            </w:pPr>
            <w:r>
              <w:rPr>
                <w:sz w:val="20"/>
                <w:szCs w:val="20"/>
              </w:rPr>
              <w:t>5.18</w:t>
            </w:r>
          </w:p>
        </w:tc>
        <w:tc>
          <w:tcPr>
            <w:tcW w:w="855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r>
              <w:rPr>
                <w:color w:val="000000"/>
                <w:sz w:val="20"/>
                <w:szCs w:val="20"/>
              </w:rPr>
              <w:t>Evidence osobního rozvoje (vzdělávání poskytnuté zaměstnavatelem).</w:t>
            </w:r>
          </w:p>
        </w:tc>
        <w:tc>
          <w:tcPr>
            <w:tcW w:w="1192"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5</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left w:w="18" w:type="dxa"/>
              <w:right w:w="28" w:type="dxa"/>
            </w:tcMar>
          </w:tcPr>
          <w:p w:rsidR="00423904" w:rsidRDefault="00423904" w:rsidP="00423904">
            <w:r w:rsidRPr="00031CE8">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423904" w:rsidRDefault="00423904" w:rsidP="00423904">
            <w:pPr>
              <w:jc w:val="center"/>
            </w:pPr>
            <w:r>
              <w:rPr>
                <w:sz w:val="20"/>
                <w:szCs w:val="20"/>
              </w:rPr>
              <w:t>R</w:t>
            </w:r>
          </w:p>
        </w:tc>
      </w:tr>
      <w:tr w:rsidR="00423904" w:rsidTr="00522EE6">
        <w:trPr>
          <w:cantSplit/>
          <w:trHeight w:val="256"/>
        </w:trPr>
        <w:tc>
          <w:tcPr>
            <w:tcW w:w="847" w:type="dxa"/>
            <w:shd w:val="clear" w:color="auto" w:fill="auto"/>
            <w:vAlign w:val="center"/>
          </w:tcPr>
          <w:p w:rsidR="00423904" w:rsidRDefault="00423904" w:rsidP="00423904">
            <w:pPr>
              <w:jc w:val="center"/>
            </w:pPr>
            <w:r>
              <w:rPr>
                <w:sz w:val="20"/>
                <w:szCs w:val="20"/>
              </w:rPr>
              <w:t>5.19</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r>
              <w:rPr>
                <w:sz w:val="20"/>
                <w:szCs w:val="20"/>
              </w:rPr>
              <w:t>Evidence lékařských prohlídek a způsobilosti k výkonu práce.</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8</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423904" w:rsidRPr="0093037D" w:rsidRDefault="00423904" w:rsidP="00423904">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tcPr>
          <w:p w:rsidR="00423904" w:rsidRDefault="00423904" w:rsidP="00423904">
            <w:r w:rsidRPr="00031CE8">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423904" w:rsidRDefault="00423904" w:rsidP="00423904">
            <w:pPr>
              <w:jc w:val="center"/>
            </w:pPr>
            <w:r>
              <w:rPr>
                <w:sz w:val="20"/>
                <w:szCs w:val="20"/>
              </w:rPr>
              <w:t>P</w:t>
            </w:r>
          </w:p>
        </w:tc>
      </w:tr>
      <w:bookmarkEnd w:id="0"/>
      <w:tr w:rsidR="00D27F66" w:rsidTr="0093037D">
        <w:trPr>
          <w:cantSplit/>
          <w:trHeight w:val="400"/>
        </w:trPr>
        <w:tc>
          <w:tcPr>
            <w:tcW w:w="847" w:type="dxa"/>
            <w:shd w:val="clear" w:color="auto" w:fill="auto"/>
            <w:vAlign w:val="center"/>
          </w:tcPr>
          <w:p w:rsidR="00D27F66" w:rsidRDefault="0093037D">
            <w:pPr>
              <w:jc w:val="center"/>
            </w:pPr>
            <w:r>
              <w:rPr>
                <w:sz w:val="20"/>
                <w:szCs w:val="20"/>
              </w:rPr>
              <w:t>5.20</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On-line nástěnka nebo upozornění na vybrané události (konec smlouvy na dobu určitou, konec zkušební doby, odchody do důchodu, životní jubilea, nesplněné zdravotní prohlídky) pro personalistu.</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8</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400"/>
        </w:trPr>
        <w:tc>
          <w:tcPr>
            <w:tcW w:w="847" w:type="dxa"/>
            <w:shd w:val="clear" w:color="auto" w:fill="auto"/>
            <w:vAlign w:val="center"/>
          </w:tcPr>
          <w:p w:rsidR="00D27F66" w:rsidRDefault="0093037D">
            <w:pPr>
              <w:jc w:val="center"/>
            </w:pPr>
            <w:r>
              <w:rPr>
                <w:sz w:val="20"/>
                <w:szCs w:val="20"/>
              </w:rPr>
              <w:t>5.21</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Nástroj pro sledování a hlídání platnosti atestací, lékařských prohlídek (např. notifikace zaměstnancům e-mailem o nutnosti nové lékařské prohlídky (vypršení platnosti stávající)), ukončení RD a MD.</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5.22</w:t>
            </w:r>
          </w:p>
        </w:tc>
        <w:tc>
          <w:tcPr>
            <w:tcW w:w="855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color w:val="000000"/>
                <w:sz w:val="20"/>
                <w:szCs w:val="20"/>
              </w:rPr>
              <w:t>Nástroj pro sledování a hlídání životních a pracovních jubileí.</w:t>
            </w:r>
          </w:p>
        </w:tc>
        <w:tc>
          <w:tcPr>
            <w:tcW w:w="1192"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3</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i/>
                <w:sz w:val="20"/>
                <w:szCs w:val="20"/>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R</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5.23</w:t>
            </w:r>
          </w:p>
        </w:tc>
        <w:tc>
          <w:tcPr>
            <w:tcW w:w="855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color w:val="000000"/>
                <w:sz w:val="20"/>
                <w:szCs w:val="20"/>
              </w:rPr>
              <w:t>U cizích státních příslušníků evidence pracovního povolení včetně jeho platnosti, evidence pojištění.</w:t>
            </w:r>
          </w:p>
        </w:tc>
        <w:tc>
          <w:tcPr>
            <w:tcW w:w="1192"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8</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i/>
                <w:sz w:val="20"/>
                <w:szCs w:val="20"/>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R</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5.24</w:t>
            </w:r>
          </w:p>
        </w:tc>
        <w:tc>
          <w:tcPr>
            <w:tcW w:w="855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color w:val="000000"/>
                <w:sz w:val="20"/>
                <w:szCs w:val="20"/>
              </w:rPr>
              <w:t>U cizích státních příslušníků podpora vyplnění formulářů pro úřad práce.</w:t>
            </w:r>
          </w:p>
        </w:tc>
        <w:tc>
          <w:tcPr>
            <w:tcW w:w="1192"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5</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i/>
                <w:sz w:val="20"/>
                <w:szCs w:val="20"/>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R</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lastRenderedPageBreak/>
              <w:t>5.25</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Evidence benefitů (peněžní i nepeněžní) včetně automatického přenesení benefitů do zpracování mezd.</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5.26</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Hlídání mzdových limitů dle vnitřního mzdového předpisu (limity tarifních tříd, osobních příplatků).</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5.27</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Evidence půjček ze sociálního fondu a jejich splácení formou srážek ze mzdy.</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781"/>
        </w:trPr>
        <w:tc>
          <w:tcPr>
            <w:tcW w:w="847" w:type="dxa"/>
            <w:shd w:val="clear" w:color="auto" w:fill="auto"/>
            <w:vAlign w:val="center"/>
          </w:tcPr>
          <w:p w:rsidR="00D27F66" w:rsidRDefault="0093037D">
            <w:pPr>
              <w:jc w:val="center"/>
            </w:pPr>
            <w:r>
              <w:rPr>
                <w:sz w:val="20"/>
                <w:szCs w:val="20"/>
              </w:rPr>
              <w:t>5.28</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vytváření vlastních formulářů připravených k následnému exportu. Jedná se o textovou/grafickou šablonu, která je uživatelsky předdefinována a některé její části jsou doplňovány daty ze systému pro jednotlivé zaměstnance.</w:t>
            </w:r>
            <w:r>
              <w:rPr>
                <w:sz w:val="20"/>
                <w:szCs w:val="20"/>
              </w:rPr>
              <w:br/>
              <w:t xml:space="preserve">Pozn.: Součástí implementace je příprava formulářů pro pracovní smlouvy, dohoda o provedení práce, dohoda o pracovní činnosti, dodatek k pracovní smlouvě, mzdový výměr; všechny dokumenty v českém a anglickém jazyce, případně v kombinaci těchto jazyků. </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400"/>
        </w:trPr>
        <w:tc>
          <w:tcPr>
            <w:tcW w:w="847" w:type="dxa"/>
            <w:shd w:val="clear" w:color="auto" w:fill="auto"/>
            <w:vAlign w:val="center"/>
          </w:tcPr>
          <w:p w:rsidR="00D27F66" w:rsidRDefault="0093037D">
            <w:pPr>
              <w:jc w:val="center"/>
            </w:pPr>
            <w:r>
              <w:rPr>
                <w:sz w:val="20"/>
                <w:szCs w:val="20"/>
              </w:rPr>
              <w:t>5.29</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U jedné osoby (pod stejným osobním číslem) je možné evidovat více souběžně probíhajících pracovních vztahů. Změny úvazků, mzdových tříd, osobních příplatků a ostatní změny vedeny časovým řezem se zachováním prohlížení historie.</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5.30</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Evidence základních údajů o pracovněprávním vztahu.</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5.31</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Evidence mimoevidenčních stavů (rodičovská dovolená, mateřská dovolená, neplacené volno, vyslání na stáž apod.).</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6</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400"/>
        </w:trPr>
        <w:tc>
          <w:tcPr>
            <w:tcW w:w="847" w:type="dxa"/>
            <w:shd w:val="clear" w:color="auto" w:fill="auto"/>
            <w:vAlign w:val="center"/>
          </w:tcPr>
          <w:p w:rsidR="00D27F66" w:rsidRDefault="0093037D">
            <w:pPr>
              <w:jc w:val="center"/>
            </w:pPr>
            <w:r>
              <w:rPr>
                <w:sz w:val="20"/>
                <w:szCs w:val="20"/>
              </w:rPr>
              <w:t>5.32</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Zavedení různých druhů kalendářů/směn pro docházku a výpočet mezd včetně možnosti nastavení pevné i pružné pracovní doby včetně všech návazností jako je např. dovolená, benefity.</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400"/>
        </w:trPr>
        <w:tc>
          <w:tcPr>
            <w:tcW w:w="847" w:type="dxa"/>
            <w:shd w:val="clear" w:color="auto" w:fill="auto"/>
            <w:vAlign w:val="center"/>
          </w:tcPr>
          <w:p w:rsidR="00D27F66" w:rsidRDefault="0093037D">
            <w:pPr>
              <w:jc w:val="center"/>
            </w:pPr>
            <w:r>
              <w:rPr>
                <w:sz w:val="20"/>
                <w:szCs w:val="20"/>
              </w:rPr>
              <w:t>5.33</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 xml:space="preserve">Pro nerovnoměrný rozpis hodin na jednotlivé dny v týdnu uvádět v rámci nastavení individuálního kalendáře správné zobrazení hodin na mzdových listech – odpracovaná doba, náhrady mzdy za nemoc, dovolená dle jednotlivých složek mzdy. </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5.34</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Zavedení stromové organizační struktury v systému.</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400"/>
        </w:trPr>
        <w:tc>
          <w:tcPr>
            <w:tcW w:w="847" w:type="dxa"/>
            <w:shd w:val="clear" w:color="auto" w:fill="auto"/>
            <w:vAlign w:val="center"/>
          </w:tcPr>
          <w:p w:rsidR="00D27F66" w:rsidRDefault="0093037D">
            <w:pPr>
              <w:jc w:val="center"/>
            </w:pPr>
            <w:r>
              <w:rPr>
                <w:sz w:val="20"/>
                <w:szCs w:val="20"/>
              </w:rPr>
              <w:t>5.35</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Při zadávání nového pracovního poměru (HPP / DPP / DPČ) automatické přednastavení vybraných hodnot např. u sociálního a zdravotního pojištění a daně z příjmu, včetně přenosu do navazujících agend (formulářů).</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7</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400"/>
        </w:trPr>
        <w:tc>
          <w:tcPr>
            <w:tcW w:w="847" w:type="dxa"/>
            <w:shd w:val="clear" w:color="auto" w:fill="auto"/>
            <w:vAlign w:val="center"/>
          </w:tcPr>
          <w:p w:rsidR="00D27F66" w:rsidRDefault="0093037D">
            <w:pPr>
              <w:jc w:val="center"/>
            </w:pPr>
            <w:r>
              <w:rPr>
                <w:sz w:val="20"/>
                <w:szCs w:val="20"/>
              </w:rPr>
              <w:t>5.36</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Vícesložkové nastavení mzdy – tarifní mzda institucionální, tarifní mzda grantová, osobní příplatek institucionální, osobní příplatek grantový, příplatek za vedení, rizikový příplatek.</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400"/>
        </w:trPr>
        <w:tc>
          <w:tcPr>
            <w:tcW w:w="847" w:type="dxa"/>
            <w:shd w:val="clear" w:color="auto" w:fill="auto"/>
            <w:vAlign w:val="center"/>
          </w:tcPr>
          <w:p w:rsidR="00D27F66" w:rsidRDefault="0093037D">
            <w:pPr>
              <w:jc w:val="center"/>
            </w:pPr>
            <w:r>
              <w:rPr>
                <w:sz w:val="20"/>
                <w:szCs w:val="20"/>
              </w:rPr>
              <w:t>5.37</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hromadného importu mzdových složek (dovolená, nemoc, stravné apod.) z docházky a hromadného zadávání mzdových složek vybraným zaměstnancům (odměny, srážky).</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5.38</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Rozúčtování mezd na zdroj financování (zakázky, granty) dle úvazku/procentuálně/korunově a to pro jednotlivé složky mezd odděleně.</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5.39</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Evidence a výpočet průměrů pro náhrady a nemocenské pojištění s časovým řezem se zachováním prohlížení historie.</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lastRenderedPageBreak/>
              <w:t>5.40</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U DPP hlídání maximálního počtu hodin ročně, automatické upozornění při překročení zákonného limitu.</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400"/>
        </w:trPr>
        <w:tc>
          <w:tcPr>
            <w:tcW w:w="847" w:type="dxa"/>
            <w:shd w:val="clear" w:color="auto" w:fill="auto"/>
            <w:vAlign w:val="center"/>
          </w:tcPr>
          <w:p w:rsidR="00D27F66" w:rsidRDefault="0093037D">
            <w:pPr>
              <w:jc w:val="center"/>
            </w:pPr>
            <w:r>
              <w:rPr>
                <w:sz w:val="20"/>
                <w:szCs w:val="20"/>
              </w:rPr>
              <w:t>5.41</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Zaměstnání malého rozsahu – dle platné legislativy hlídání odvodů SP a ZP, upozornění po výpočtu mzdy na odvod SP a ZP v případě překročení zákonného limitu a naopak na neodvádění SP a ZP v případě nedosažení limitu.</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5.42</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Dovolená - možnost zadat dovolenou i do následujícího období, případně zadat dovolenou trvající přes dvě měsíční období.</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5.43</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Automaticky přepočítávat nároky dovolené při změně kalendáře pracovní doby.</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5.44</w:t>
            </w:r>
          </w:p>
        </w:tc>
        <w:tc>
          <w:tcPr>
            <w:tcW w:w="855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Evidence a výpočet příplatků (noční, pohotovost, rizikové příplatky, práce o víkendu, práce ve svátek) z docházky a jejich přenos do mezd.</w:t>
            </w:r>
          </w:p>
        </w:tc>
        <w:tc>
          <w:tcPr>
            <w:tcW w:w="1192"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5</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i/>
                <w:sz w:val="20"/>
                <w:szCs w:val="20"/>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93037D">
        <w:trPr>
          <w:cantSplit/>
          <w:trHeight w:val="400"/>
        </w:trPr>
        <w:tc>
          <w:tcPr>
            <w:tcW w:w="847" w:type="dxa"/>
            <w:shd w:val="clear" w:color="auto" w:fill="auto"/>
            <w:vAlign w:val="center"/>
          </w:tcPr>
          <w:p w:rsidR="00D27F66" w:rsidRDefault="0093037D">
            <w:pPr>
              <w:jc w:val="center"/>
            </w:pPr>
            <w:r>
              <w:rPr>
                <w:sz w:val="20"/>
                <w:szCs w:val="20"/>
              </w:rPr>
              <w:t>5.45</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Srážky ze mzdy – možnost rozúčtovat na různé analytické účty dle druhu srážky (půjčky, příspěvky jiným organizacím, penzijní připojištění (příspěvek zaměstnavatele), nájemné, dětská skupina, exekuce aj.</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5.46</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Evidence a výpočet exekucí (přednostní, nepřednostní).</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5.47</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Napojení na insolvenční rejstřík.</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5.48</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Evidence a výpočet odvodů do sociálního fondu (daňové a nedaňové).</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5.49</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Výpočet a evidence odvodů na SP a ZP.</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400"/>
        </w:trPr>
        <w:tc>
          <w:tcPr>
            <w:tcW w:w="847" w:type="dxa"/>
            <w:shd w:val="clear" w:color="auto" w:fill="auto"/>
            <w:vAlign w:val="center"/>
          </w:tcPr>
          <w:p w:rsidR="00D27F66" w:rsidRDefault="0093037D">
            <w:pPr>
              <w:jc w:val="center"/>
            </w:pPr>
            <w:r>
              <w:rPr>
                <w:sz w:val="20"/>
                <w:szCs w:val="20"/>
              </w:rPr>
              <w:t>5.50</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Hromadné i dílčí (individuální) vyhotovování evidenčních listů důchodového pojištění (elektronicky), přihlášky a odhlášky SP a ZP (elektronicky), kontrola správnosti vyplnění, úplnost požadovaných údajů.</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5.51</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Výpočet ročního zúčtování daní zaměstnanců a přenos výpočtu do mezd.</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5.52</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Výpočet ročního zúčtování daní zaměstnava</w:t>
            </w:r>
            <w:r>
              <w:rPr>
                <w:color w:val="000000"/>
                <w:sz w:val="20"/>
                <w:szCs w:val="20"/>
              </w:rPr>
              <w:t>tele včetně možnosti exportu xml souboru (ve vztahu k FÚ).</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5.53</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Hlídání termínů konce slev na dani, studenti, děti, aj. – upozornit ve zvoleném časovém předstihu před koncem slevy.</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7</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5.54</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 xml:space="preserve">Možnost zpětných přepočtů včetně modelování zadaných kritérií (opravy pracovní neschopnosti, členění dle různých zdrojů, aj.). </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400"/>
        </w:trPr>
        <w:tc>
          <w:tcPr>
            <w:tcW w:w="847" w:type="dxa"/>
            <w:shd w:val="clear" w:color="auto" w:fill="auto"/>
            <w:vAlign w:val="center"/>
          </w:tcPr>
          <w:p w:rsidR="00D27F66" w:rsidRDefault="0093037D">
            <w:pPr>
              <w:jc w:val="center"/>
            </w:pPr>
            <w:r>
              <w:rPr>
                <w:sz w:val="20"/>
                <w:szCs w:val="20"/>
              </w:rPr>
              <w:t>5.55</w:t>
            </w:r>
          </w:p>
        </w:tc>
        <w:tc>
          <w:tcPr>
            <w:tcW w:w="855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 xml:space="preserve">Možnost zpětných přepočtů včetně modelování zadaných kritérií (opravy pracovní neschopnosti, členění dle různých zdrojů, aj.) až za 3 měsíce zpětně. </w:t>
            </w:r>
          </w:p>
        </w:tc>
        <w:tc>
          <w:tcPr>
            <w:tcW w:w="1192"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7</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i/>
                <w:sz w:val="20"/>
                <w:szCs w:val="20"/>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5.56</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sledování zadávaných změn (tarif, osobní příplatek, úvazek, atd.) za vybrané období formou reportu (sestavy) – vč. historie</w:t>
            </w:r>
            <w:r>
              <w:rPr>
                <w:color w:val="000000"/>
                <w:sz w:val="20"/>
                <w:szCs w:val="20"/>
              </w:rPr>
              <w:t xml:space="preserve"> původních hodnot + nová hodnota.</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5.57</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přeúčtovat zakázku, ze které je zaměstnanec vyplácen, včetně odvodů, které se přeúčtovávají automaticky se mzdou.</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5.58</w:t>
            </w:r>
          </w:p>
        </w:tc>
        <w:tc>
          <w:tcPr>
            <w:tcW w:w="855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Výpočet ušlého výdělku při pracovním úrazu.</w:t>
            </w:r>
          </w:p>
        </w:tc>
        <w:tc>
          <w:tcPr>
            <w:tcW w:w="1192"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sz w:val="20"/>
                <w:szCs w:val="20"/>
              </w:rPr>
              <w:t>9</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i/>
                <w:sz w:val="20"/>
                <w:szCs w:val="20"/>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bookmarkStart w:id="1" w:name="__DdeLink__9256_3881216477"/>
            <w:r>
              <w:rPr>
                <w:sz w:val="20"/>
                <w:szCs w:val="20"/>
              </w:rPr>
              <w:t>R</w:t>
            </w:r>
            <w:bookmarkEnd w:id="1"/>
          </w:p>
        </w:tc>
      </w:tr>
      <w:tr w:rsidR="00D27F66" w:rsidTr="0093037D">
        <w:trPr>
          <w:cantSplit/>
          <w:trHeight w:val="400"/>
        </w:trPr>
        <w:tc>
          <w:tcPr>
            <w:tcW w:w="847" w:type="dxa"/>
            <w:shd w:val="clear" w:color="auto" w:fill="auto"/>
            <w:vAlign w:val="center"/>
          </w:tcPr>
          <w:p w:rsidR="00D27F66" w:rsidRDefault="0093037D">
            <w:pPr>
              <w:jc w:val="center"/>
            </w:pPr>
            <w:r>
              <w:rPr>
                <w:sz w:val="20"/>
                <w:szCs w:val="20"/>
              </w:rPr>
              <w:lastRenderedPageBreak/>
              <w:t>5.59</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 xml:space="preserve">Výstup údajů ve formátech požadovaných finančními úřady, zdravotními pojišťovnami, penzijními fondy a ČSSZ (veřejné rozhraní pro e-Podání). </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5.60</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Možnost hromadného tisku všech dokumentů pro státní správu na originální formulář.</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5.61</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Výplatní lístky v elektronické i tištěné podobě.</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P</w:t>
            </w:r>
          </w:p>
        </w:tc>
      </w:tr>
      <w:tr w:rsidR="00D27F66" w:rsidTr="0093037D">
        <w:trPr>
          <w:cantSplit/>
        </w:trPr>
        <w:tc>
          <w:tcPr>
            <w:tcW w:w="847" w:type="dxa"/>
            <w:shd w:val="clear" w:color="auto" w:fill="auto"/>
            <w:vAlign w:val="center"/>
          </w:tcPr>
          <w:p w:rsidR="00D27F66" w:rsidRDefault="0093037D">
            <w:pPr>
              <w:jc w:val="center"/>
            </w:pPr>
            <w:r>
              <w:rPr>
                <w:sz w:val="20"/>
                <w:szCs w:val="20"/>
              </w:rPr>
              <w:t>5.62</w:t>
            </w:r>
          </w:p>
        </w:tc>
        <w:tc>
          <w:tcPr>
            <w:tcW w:w="855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sz w:val="20"/>
                <w:szCs w:val="20"/>
              </w:rPr>
              <w:t xml:space="preserve"> Tisk výplatních lístků ve formě krytých výplatních lístků s kapsou.</w:t>
            </w:r>
          </w:p>
        </w:tc>
        <w:tc>
          <w:tcPr>
            <w:tcW w:w="1192"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t>7</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i/>
                <w:sz w:val="20"/>
                <w:szCs w:val="20"/>
                <w:highlight w:val="black"/>
              </w:rPr>
            </w:pP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sz w:val="20"/>
                <w:szCs w:val="20"/>
              </w:rPr>
              <w:t>R</w:t>
            </w:r>
          </w:p>
        </w:tc>
      </w:tr>
      <w:tr w:rsidR="00D27F66" w:rsidTr="0093037D">
        <w:trPr>
          <w:cantSplit/>
          <w:trHeight w:val="581"/>
        </w:trPr>
        <w:tc>
          <w:tcPr>
            <w:tcW w:w="847" w:type="dxa"/>
            <w:shd w:val="clear" w:color="auto" w:fill="auto"/>
            <w:vAlign w:val="center"/>
          </w:tcPr>
          <w:p w:rsidR="00D27F66" w:rsidRDefault="0093037D">
            <w:pPr>
              <w:jc w:val="center"/>
            </w:pPr>
            <w:r>
              <w:rPr>
                <w:sz w:val="20"/>
                <w:szCs w:val="20"/>
              </w:rPr>
              <w:t>5.63</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Standardní přehledové personální a mzdové sestavy pro kontrolní účely zaměstnavatele vč. kontroly limitu pro zaměstnávání zdravotně postižených. Sestavy za delší období vyčíslit jednotlivě po měsících, ale i sumárně za celé požadované období, a to i včetně přesahu kalendářních let.</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5</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5.64</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Možnost (hromadného) tisku mzdových listů a mzdových výměrů.</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3</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5.65</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Výkazy/formuláře vyžadované státními orgány včetně statistických výkazů Trexima, ČSÚ (VTR5-01(b)), Úřadu práce atd.</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8</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400"/>
        </w:trPr>
        <w:tc>
          <w:tcPr>
            <w:tcW w:w="847" w:type="dxa"/>
            <w:shd w:val="clear" w:color="auto" w:fill="auto"/>
            <w:vAlign w:val="center"/>
          </w:tcPr>
          <w:p w:rsidR="00D27F66" w:rsidRDefault="0093037D">
            <w:pPr>
              <w:jc w:val="center"/>
            </w:pPr>
            <w:r>
              <w:rPr>
                <w:sz w:val="20"/>
                <w:szCs w:val="20"/>
              </w:rPr>
              <w:t>5.66</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Výpočet srážky pro odbory, jejich stržení z mezd zaměstnanců a příprava podkladů na jejich odeslání na účet odborů. Tisk příslušného potvrzení pro roční zúčtování daně.</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400"/>
        </w:trPr>
        <w:tc>
          <w:tcPr>
            <w:tcW w:w="847" w:type="dxa"/>
            <w:shd w:val="clear" w:color="auto" w:fill="auto"/>
            <w:vAlign w:val="center"/>
          </w:tcPr>
          <w:p w:rsidR="00D27F66" w:rsidRDefault="0093037D">
            <w:pPr>
              <w:jc w:val="center"/>
            </w:pPr>
            <w:r>
              <w:rPr>
                <w:sz w:val="20"/>
                <w:szCs w:val="20"/>
              </w:rPr>
              <w:t>5.67</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sz w:val="20"/>
                <w:szCs w:val="20"/>
              </w:rPr>
              <w:t>Filtrování mzdových a personálních dat podle věkové struktury, rozdělení podle pohlaví, vzdělání, organizační struktury s možností jejího exportu ve formátu MS Excel.</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Height w:val="568"/>
        </w:trPr>
        <w:tc>
          <w:tcPr>
            <w:tcW w:w="847" w:type="dxa"/>
            <w:shd w:val="clear" w:color="auto" w:fill="auto"/>
            <w:vAlign w:val="center"/>
          </w:tcPr>
          <w:p w:rsidR="00D27F66" w:rsidRDefault="0093037D">
            <w:pPr>
              <w:jc w:val="center"/>
            </w:pPr>
            <w:r>
              <w:rPr>
                <w:sz w:val="20"/>
                <w:szCs w:val="20"/>
              </w:rPr>
              <w:t>5.68</w:t>
            </w:r>
          </w:p>
        </w:tc>
        <w:tc>
          <w:tcPr>
            <w:tcW w:w="8558" w:type="dxa"/>
            <w:tcBorders>
              <w:left w:val="single" w:sz="4" w:space="0" w:color="000000"/>
            </w:tcBorders>
            <w:shd w:val="clear" w:color="auto" w:fill="auto"/>
            <w:tcMar>
              <w:left w:w="18" w:type="dxa"/>
              <w:right w:w="28" w:type="dxa"/>
            </w:tcMar>
            <w:vAlign w:val="center"/>
          </w:tcPr>
          <w:p w:rsidR="00D27F66" w:rsidRDefault="0093037D">
            <w:r>
              <w:rPr>
                <w:sz w:val="20"/>
                <w:szCs w:val="20"/>
              </w:rPr>
              <w:t xml:space="preserve">Systém umožňuje konfigurovat tiskové sestavy podle nastavených filtrů včetně hromadných sestav zahrnujících více dílčích sestav. Např. u sestavy se zůstatky dovolených vytvořit tiskovou sestavu seřazenou podle jmen zaměstnanců pro celý ústav a zároveň možnost vytvořit tiskovou sestavu obsahující tytéž údaje v členění zaměstnanců podle středisek, přičemž každé středisko začíná na nové stránce. </w:t>
            </w:r>
          </w:p>
        </w:tc>
        <w:tc>
          <w:tcPr>
            <w:tcW w:w="1192" w:type="dxa"/>
            <w:tcBorders>
              <w:left w:val="single" w:sz="4" w:space="0" w:color="000000"/>
            </w:tcBorders>
            <w:shd w:val="clear" w:color="auto" w:fill="auto"/>
            <w:tcMar>
              <w:left w:w="18" w:type="dxa"/>
              <w:right w:w="28" w:type="dxa"/>
            </w:tcMar>
            <w:vAlign w:val="center"/>
          </w:tcPr>
          <w:p w:rsidR="00D27F66" w:rsidRDefault="0093037D">
            <w:pPr>
              <w:jc w:val="center"/>
            </w:pPr>
            <w:r>
              <w:rPr>
                <w:sz w:val="20"/>
                <w:szCs w:val="20"/>
              </w:rPr>
              <w:t>10</w:t>
            </w:r>
          </w:p>
        </w:tc>
        <w:tc>
          <w:tcPr>
            <w:tcW w:w="1247" w:type="dxa"/>
            <w:tcBorders>
              <w:left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418" w:type="dxa"/>
            <w:tcBorders>
              <w:left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sz w:val="20"/>
                <w:szCs w:val="20"/>
                <w:highlight w:val="black"/>
              </w:rPr>
              <w:t>vyplní uch.</w:t>
            </w:r>
          </w:p>
        </w:tc>
        <w:tc>
          <w:tcPr>
            <w:tcW w:w="1308" w:type="dxa"/>
            <w:tcBorders>
              <w:left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sz w:val="20"/>
                <w:szCs w:val="20"/>
              </w:rPr>
              <w:t>P</w:t>
            </w:r>
          </w:p>
        </w:tc>
      </w:tr>
      <w:tr w:rsidR="00D27F66" w:rsidTr="0093037D">
        <w:trPr>
          <w:cantSplit/>
        </w:trPr>
        <w:tc>
          <w:tcPr>
            <w:tcW w:w="847" w:type="dxa"/>
            <w:shd w:val="clear" w:color="auto" w:fill="auto"/>
            <w:vAlign w:val="center"/>
          </w:tcPr>
          <w:p w:rsidR="00D27F66" w:rsidRDefault="0093037D">
            <w:pPr>
              <w:jc w:val="center"/>
            </w:pPr>
            <w:r>
              <w:rPr>
                <w:color w:val="000000"/>
                <w:sz w:val="20"/>
                <w:szCs w:val="20"/>
              </w:rPr>
              <w:t>5.69</w:t>
            </w:r>
          </w:p>
        </w:tc>
        <w:tc>
          <w:tcPr>
            <w:tcW w:w="855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Možnost kontroly zadané adresy zaměstnance na územní registr adres  RÚIAN.</w:t>
            </w:r>
          </w:p>
        </w:tc>
        <w:tc>
          <w:tcPr>
            <w:tcW w:w="1192"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P</w:t>
            </w:r>
          </w:p>
        </w:tc>
      </w:tr>
      <w:tr w:rsidR="00D27F66" w:rsidTr="0093037D">
        <w:trPr>
          <w:cantSplit/>
        </w:trPr>
        <w:tc>
          <w:tcPr>
            <w:tcW w:w="847" w:type="dxa"/>
            <w:shd w:val="clear" w:color="auto" w:fill="auto"/>
            <w:vAlign w:val="center"/>
          </w:tcPr>
          <w:p w:rsidR="00D27F66" w:rsidRDefault="0093037D">
            <w:pPr>
              <w:jc w:val="center"/>
            </w:pPr>
            <w:r>
              <w:rPr>
                <w:rFonts w:cs="Arial"/>
                <w:color w:val="000000"/>
                <w:sz w:val="20"/>
                <w:szCs w:val="20"/>
              </w:rPr>
              <w:t>5.70</w:t>
            </w:r>
          </w:p>
        </w:tc>
        <w:tc>
          <w:tcPr>
            <w:tcW w:w="8558" w:type="dxa"/>
            <w:tcBorders>
              <w:top w:val="single" w:sz="4" w:space="0" w:color="000000"/>
              <w:left w:val="single" w:sz="4" w:space="0" w:color="000000"/>
              <w:bottom w:val="single" w:sz="4" w:space="0" w:color="000000"/>
            </w:tcBorders>
            <w:shd w:val="clear" w:color="auto" w:fill="auto"/>
            <w:tcMar>
              <w:top w:w="55" w:type="dxa"/>
              <w:bottom w:w="55" w:type="dxa"/>
              <w:right w:w="55" w:type="dxa"/>
            </w:tcMar>
            <w:vAlign w:val="center"/>
          </w:tcPr>
          <w:p w:rsidR="00D27F66" w:rsidRDefault="0093037D">
            <w:pPr>
              <w:pStyle w:val="Odstavecseseznamem"/>
              <w:ind w:left="6" w:hanging="6"/>
            </w:pPr>
            <w:r>
              <w:rPr>
                <w:rFonts w:cs="Arial"/>
                <w:color w:val="000000"/>
                <w:sz w:val="20"/>
                <w:szCs w:val="20"/>
              </w:rPr>
              <w:t>Evidence obsazení dozorčí rady a rady ústavu. Možnost evidence personálního obsazení včetně externích funkcionářů a členů s časovým rozlišením.</w:t>
            </w:r>
          </w:p>
        </w:tc>
        <w:tc>
          <w:tcPr>
            <w:tcW w:w="1192" w:type="dxa"/>
            <w:tcBorders>
              <w:top w:val="single" w:sz="4" w:space="0" w:color="000000"/>
              <w:left w:val="single" w:sz="4" w:space="0" w:color="000000"/>
              <w:bottom w:val="single" w:sz="4" w:space="0" w:color="000000"/>
            </w:tcBorders>
            <w:shd w:val="clear" w:color="auto" w:fill="auto"/>
            <w:tcMar>
              <w:top w:w="55" w:type="dxa"/>
              <w:bottom w:w="55" w:type="dxa"/>
              <w:right w:w="55" w:type="dxa"/>
            </w:tcMar>
            <w:vAlign w:val="center"/>
          </w:tcPr>
          <w:p w:rsidR="00D27F66" w:rsidRDefault="0093037D">
            <w:pPr>
              <w:jc w:val="center"/>
            </w:pPr>
            <w:r>
              <w:rPr>
                <w:rFonts w:cs="Arial"/>
                <w:color w:val="000000"/>
                <w:sz w:val="20"/>
                <w:szCs w:val="20"/>
              </w:rPr>
              <w:t>10</w:t>
            </w:r>
          </w:p>
        </w:tc>
        <w:tc>
          <w:tcPr>
            <w:tcW w:w="1247" w:type="dxa"/>
            <w:tcBorders>
              <w:top w:val="single" w:sz="4" w:space="0" w:color="000000"/>
              <w:left w:val="single" w:sz="4" w:space="0" w:color="000000"/>
              <w:bottom w:val="single" w:sz="4" w:space="0" w:color="000000"/>
            </w:tcBorders>
            <w:shd w:val="clear" w:color="auto" w:fill="auto"/>
            <w:tcMar>
              <w:top w:w="55" w:type="dxa"/>
              <w:bottom w:w="55" w:type="dxa"/>
              <w:right w:w="55" w:type="dxa"/>
            </w:tcMar>
            <w:vAlign w:val="center"/>
          </w:tcPr>
          <w:p w:rsidR="00D27F66" w:rsidRPr="0093037D" w:rsidRDefault="0093037D">
            <w:pPr>
              <w:jc w:val="center"/>
              <w:rPr>
                <w:highlight w:val="black"/>
              </w:rPr>
            </w:pPr>
            <w:r w:rsidRPr="0093037D">
              <w:rPr>
                <w:rFonts w:cs="Arial"/>
                <w:i/>
                <w:iCs/>
                <w:color w:val="000000"/>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top w:w="55" w:type="dxa"/>
              <w:bottom w:w="55" w:type="dxa"/>
              <w:right w:w="55" w:type="dxa"/>
            </w:tcMar>
            <w:vAlign w:val="center"/>
          </w:tcPr>
          <w:p w:rsidR="00D27F66" w:rsidRPr="0093037D" w:rsidRDefault="0093037D">
            <w:pPr>
              <w:jc w:val="center"/>
              <w:rPr>
                <w:highlight w:val="black"/>
              </w:rPr>
            </w:pPr>
            <w:r w:rsidRPr="0093037D">
              <w:rPr>
                <w:rFonts w:cs="Arial"/>
                <w:i/>
                <w:iCs/>
                <w:color w:val="000000"/>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55" w:type="dxa"/>
              <w:bottom w:w="55" w:type="dxa"/>
              <w:right w:w="55" w:type="dxa"/>
            </w:tcMar>
            <w:vAlign w:val="center"/>
          </w:tcPr>
          <w:p w:rsidR="00D27F66" w:rsidRDefault="0093037D">
            <w:pPr>
              <w:jc w:val="center"/>
            </w:pPr>
            <w:r>
              <w:rPr>
                <w:rFonts w:cs="Arial"/>
                <w:color w:val="000000"/>
                <w:sz w:val="20"/>
                <w:szCs w:val="20"/>
              </w:rPr>
              <w:t>P</w:t>
            </w:r>
          </w:p>
        </w:tc>
      </w:tr>
      <w:tr w:rsidR="0093037D" w:rsidTr="0093037D">
        <w:trPr>
          <w:cantSplit/>
        </w:trPr>
        <w:tc>
          <w:tcPr>
            <w:tcW w:w="847" w:type="dxa"/>
            <w:shd w:val="clear" w:color="auto" w:fill="auto"/>
            <w:vAlign w:val="center"/>
          </w:tcPr>
          <w:p w:rsidR="0093037D" w:rsidRDefault="0093037D" w:rsidP="0093037D">
            <w:pPr>
              <w:jc w:val="center"/>
            </w:pPr>
            <w:r>
              <w:rPr>
                <w:rFonts w:cs="Arial"/>
                <w:color w:val="000000"/>
                <w:sz w:val="20"/>
                <w:szCs w:val="20"/>
              </w:rPr>
              <w:t>5.71</w:t>
            </w:r>
          </w:p>
        </w:tc>
        <w:tc>
          <w:tcPr>
            <w:tcW w:w="8558"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Default="0093037D" w:rsidP="0093037D">
            <w:pPr>
              <w:pStyle w:val="Odstavecseseznamem"/>
              <w:ind w:left="6" w:hanging="6"/>
            </w:pPr>
            <w:r>
              <w:rPr>
                <w:rFonts w:cs="Arial"/>
                <w:color w:val="000000"/>
                <w:sz w:val="20"/>
                <w:szCs w:val="20"/>
              </w:rPr>
              <w:t>Využití pracovních míst pro definici charakteristických vlastností pracovního místa (zdravotní prohlídky, zdravotní rizika, kvalifikační předpoklady, kompetence, a další), provázanost s personalistikou.</w:t>
            </w:r>
          </w:p>
        </w:tc>
        <w:tc>
          <w:tcPr>
            <w:tcW w:w="1192"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Default="0093037D" w:rsidP="0093037D">
            <w:pPr>
              <w:jc w:val="center"/>
            </w:pPr>
            <w:r>
              <w:rPr>
                <w:rFonts w:cs="Arial"/>
                <w:color w:val="000000"/>
                <w:sz w:val="20"/>
                <w:szCs w:val="20"/>
              </w:rPr>
              <w:t>10</w:t>
            </w:r>
          </w:p>
        </w:tc>
        <w:tc>
          <w:tcPr>
            <w:tcW w:w="1247"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Pr="0093037D" w:rsidRDefault="0093037D" w:rsidP="0093037D">
            <w:pPr>
              <w:jc w:val="center"/>
              <w:rPr>
                <w:highlight w:val="black"/>
              </w:rPr>
            </w:pPr>
            <w:r w:rsidRPr="0093037D">
              <w:rPr>
                <w:rFonts w:cs="Arial"/>
                <w:i/>
                <w:iCs/>
                <w:color w:val="000000"/>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top w:w="55" w:type="dxa"/>
              <w:bottom w:w="55" w:type="dxa"/>
              <w:right w:w="55" w:type="dxa"/>
            </w:tcMar>
          </w:tcPr>
          <w:p w:rsidR="0093037D" w:rsidRDefault="0093037D" w:rsidP="0093037D">
            <w:r w:rsidRPr="00006EB8">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top w:w="55" w:type="dxa"/>
              <w:bottom w:w="55" w:type="dxa"/>
              <w:right w:w="55" w:type="dxa"/>
            </w:tcMar>
            <w:vAlign w:val="center"/>
          </w:tcPr>
          <w:p w:rsidR="0093037D" w:rsidRDefault="0093037D" w:rsidP="0093037D">
            <w:pPr>
              <w:jc w:val="center"/>
            </w:pPr>
            <w:r>
              <w:rPr>
                <w:rFonts w:cs="Arial"/>
                <w:color w:val="000000"/>
                <w:sz w:val="20"/>
                <w:szCs w:val="20"/>
              </w:rPr>
              <w:t>R</w:t>
            </w:r>
          </w:p>
        </w:tc>
      </w:tr>
      <w:tr w:rsidR="0093037D" w:rsidTr="0093037D">
        <w:trPr>
          <w:cantSplit/>
        </w:trPr>
        <w:tc>
          <w:tcPr>
            <w:tcW w:w="847" w:type="dxa"/>
            <w:shd w:val="clear" w:color="auto" w:fill="auto"/>
            <w:vAlign w:val="center"/>
          </w:tcPr>
          <w:p w:rsidR="0093037D" w:rsidRDefault="0093037D" w:rsidP="0093037D">
            <w:pPr>
              <w:jc w:val="center"/>
            </w:pPr>
            <w:r>
              <w:rPr>
                <w:rFonts w:cs="Arial"/>
                <w:color w:val="000000"/>
                <w:sz w:val="20"/>
                <w:szCs w:val="20"/>
              </w:rPr>
              <w:t>5.72</w:t>
            </w:r>
          </w:p>
        </w:tc>
        <w:tc>
          <w:tcPr>
            <w:tcW w:w="8558"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Default="0093037D" w:rsidP="0093037D">
            <w:pPr>
              <w:pStyle w:val="Odstavecseseznamem"/>
              <w:ind w:left="6" w:hanging="6"/>
            </w:pPr>
            <w:r>
              <w:rPr>
                <w:rFonts w:cs="Arial"/>
                <w:color w:val="000000"/>
                <w:sz w:val="20"/>
                <w:szCs w:val="20"/>
              </w:rPr>
              <w:t>Přeúčtování mzdových prostředků na jiné analytiky pomocí samostatné úlohy bez nutnosti zpětných oprav při zpracování mezd, možnost simulace dopadů přeúčtování, promítnutí přeúčtovaných nákladů do sestav čerpání mzdových prostředků, automatizované zahrnutí přeúčtovaných nákladů do účetního systému v reálném čase. Automatizované přeúčtování odvodů zdravotního a sociálního pojištění bez možnosti změny uživatelem.</w:t>
            </w:r>
          </w:p>
        </w:tc>
        <w:tc>
          <w:tcPr>
            <w:tcW w:w="1192"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Default="0093037D" w:rsidP="0093037D">
            <w:pPr>
              <w:jc w:val="center"/>
            </w:pPr>
            <w:r>
              <w:rPr>
                <w:rFonts w:cs="Arial"/>
                <w:color w:val="000000"/>
                <w:sz w:val="20"/>
                <w:szCs w:val="20"/>
              </w:rPr>
              <w:t>10</w:t>
            </w:r>
          </w:p>
        </w:tc>
        <w:tc>
          <w:tcPr>
            <w:tcW w:w="1247"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Pr="0093037D" w:rsidRDefault="0093037D" w:rsidP="0093037D">
            <w:pPr>
              <w:jc w:val="center"/>
              <w:rPr>
                <w:highlight w:val="black"/>
              </w:rPr>
            </w:pPr>
            <w:r w:rsidRPr="0093037D">
              <w:rPr>
                <w:rFonts w:cs="Arial"/>
                <w:i/>
                <w:iCs/>
                <w:color w:val="000000"/>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top w:w="55" w:type="dxa"/>
              <w:bottom w:w="55" w:type="dxa"/>
              <w:right w:w="55" w:type="dxa"/>
            </w:tcMar>
          </w:tcPr>
          <w:p w:rsidR="0093037D" w:rsidRDefault="0093037D" w:rsidP="0093037D">
            <w:r w:rsidRPr="00006EB8">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top w:w="55" w:type="dxa"/>
              <w:bottom w:w="55" w:type="dxa"/>
              <w:right w:w="55" w:type="dxa"/>
            </w:tcMar>
            <w:vAlign w:val="center"/>
          </w:tcPr>
          <w:p w:rsidR="0093037D" w:rsidRDefault="0093037D" w:rsidP="0093037D">
            <w:pPr>
              <w:jc w:val="center"/>
            </w:pPr>
            <w:r>
              <w:rPr>
                <w:rFonts w:cs="Arial"/>
                <w:color w:val="000000"/>
                <w:sz w:val="20"/>
                <w:szCs w:val="20"/>
              </w:rPr>
              <w:t>R</w:t>
            </w:r>
          </w:p>
        </w:tc>
      </w:tr>
      <w:tr w:rsidR="0093037D" w:rsidTr="0093037D">
        <w:trPr>
          <w:cantSplit/>
        </w:trPr>
        <w:tc>
          <w:tcPr>
            <w:tcW w:w="847" w:type="dxa"/>
            <w:shd w:val="clear" w:color="auto" w:fill="auto"/>
            <w:vAlign w:val="center"/>
          </w:tcPr>
          <w:p w:rsidR="0093037D" w:rsidRDefault="0093037D" w:rsidP="0093037D">
            <w:pPr>
              <w:jc w:val="center"/>
            </w:pPr>
            <w:r>
              <w:rPr>
                <w:rFonts w:cs="Arial"/>
                <w:color w:val="000000"/>
                <w:sz w:val="20"/>
                <w:szCs w:val="20"/>
              </w:rPr>
              <w:t>5.73</w:t>
            </w:r>
          </w:p>
        </w:tc>
        <w:tc>
          <w:tcPr>
            <w:tcW w:w="8558"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Default="0093037D" w:rsidP="0093037D">
            <w:pPr>
              <w:pStyle w:val="Odstavecseseznamem"/>
              <w:ind w:left="6" w:hanging="6"/>
            </w:pPr>
            <w:r>
              <w:rPr>
                <w:rFonts w:cs="Arial"/>
                <w:color w:val="000000"/>
                <w:sz w:val="20"/>
                <w:szCs w:val="20"/>
              </w:rPr>
              <w:t>Vyhodnocování neuznatelných náhrad pro projekty v závislosti na trvání zařazení zaměstnance na projektu s ohledem na nárok zaměstnance na dovolenou stanovené pro jednotlivé projekty.</w:t>
            </w:r>
          </w:p>
        </w:tc>
        <w:tc>
          <w:tcPr>
            <w:tcW w:w="1192"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Default="0093037D" w:rsidP="0093037D">
            <w:pPr>
              <w:jc w:val="center"/>
            </w:pPr>
            <w:r>
              <w:rPr>
                <w:rFonts w:cs="Arial"/>
                <w:color w:val="000000"/>
                <w:sz w:val="20"/>
                <w:szCs w:val="20"/>
              </w:rPr>
              <w:t>10</w:t>
            </w:r>
          </w:p>
        </w:tc>
        <w:tc>
          <w:tcPr>
            <w:tcW w:w="1247"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Pr="0093037D" w:rsidRDefault="0093037D" w:rsidP="0093037D">
            <w:pPr>
              <w:jc w:val="center"/>
              <w:rPr>
                <w:highlight w:val="black"/>
              </w:rPr>
            </w:pPr>
            <w:r w:rsidRPr="0093037D">
              <w:rPr>
                <w:rFonts w:cs="Arial"/>
                <w:i/>
                <w:iCs/>
                <w:color w:val="000000"/>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top w:w="55" w:type="dxa"/>
              <w:bottom w:w="55" w:type="dxa"/>
              <w:right w:w="55" w:type="dxa"/>
            </w:tcMar>
          </w:tcPr>
          <w:p w:rsidR="0093037D" w:rsidRDefault="0093037D" w:rsidP="0093037D">
            <w:r w:rsidRPr="00006EB8">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top w:w="55" w:type="dxa"/>
              <w:bottom w:w="55" w:type="dxa"/>
              <w:right w:w="55" w:type="dxa"/>
            </w:tcMar>
            <w:vAlign w:val="center"/>
          </w:tcPr>
          <w:p w:rsidR="0093037D" w:rsidRDefault="0093037D" w:rsidP="0093037D">
            <w:pPr>
              <w:jc w:val="center"/>
            </w:pPr>
            <w:r>
              <w:rPr>
                <w:rFonts w:cs="Arial"/>
                <w:color w:val="000000"/>
                <w:sz w:val="20"/>
                <w:szCs w:val="20"/>
              </w:rPr>
              <w:t>R</w:t>
            </w:r>
          </w:p>
        </w:tc>
      </w:tr>
      <w:tr w:rsidR="0093037D" w:rsidTr="0093037D">
        <w:trPr>
          <w:cantSplit/>
        </w:trPr>
        <w:tc>
          <w:tcPr>
            <w:tcW w:w="847" w:type="dxa"/>
            <w:shd w:val="clear" w:color="auto" w:fill="auto"/>
            <w:vAlign w:val="center"/>
          </w:tcPr>
          <w:p w:rsidR="0093037D" w:rsidRDefault="0093037D" w:rsidP="0093037D">
            <w:pPr>
              <w:jc w:val="center"/>
            </w:pPr>
            <w:r>
              <w:rPr>
                <w:rFonts w:cs="Arial"/>
                <w:color w:val="000000"/>
                <w:sz w:val="20"/>
                <w:szCs w:val="20"/>
              </w:rPr>
              <w:lastRenderedPageBreak/>
              <w:t>5.74</w:t>
            </w:r>
          </w:p>
        </w:tc>
        <w:tc>
          <w:tcPr>
            <w:tcW w:w="8558"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Default="0093037D" w:rsidP="0093037D">
            <w:pPr>
              <w:pStyle w:val="Odstavecseseznamem"/>
              <w:ind w:left="6" w:hanging="6"/>
            </w:pPr>
            <w:r>
              <w:rPr>
                <w:rFonts w:cs="Arial"/>
                <w:color w:val="000000"/>
                <w:sz w:val="20"/>
                <w:szCs w:val="20"/>
              </w:rPr>
              <w:t>Vytváření datových souborů pro informační systém IS KP14+ (např. pro projekty OP VVV a OP Zaměstnanost).</w:t>
            </w:r>
          </w:p>
        </w:tc>
        <w:tc>
          <w:tcPr>
            <w:tcW w:w="1192"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Default="0093037D" w:rsidP="0093037D">
            <w:pPr>
              <w:jc w:val="center"/>
            </w:pPr>
            <w:r>
              <w:rPr>
                <w:rFonts w:cs="Arial"/>
                <w:color w:val="000000"/>
                <w:sz w:val="20"/>
                <w:szCs w:val="20"/>
              </w:rPr>
              <w:t>10</w:t>
            </w:r>
          </w:p>
        </w:tc>
        <w:tc>
          <w:tcPr>
            <w:tcW w:w="1247"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Pr="0093037D" w:rsidRDefault="0093037D" w:rsidP="0093037D">
            <w:pPr>
              <w:jc w:val="center"/>
              <w:rPr>
                <w:highlight w:val="black"/>
              </w:rPr>
            </w:pPr>
            <w:r w:rsidRPr="0093037D">
              <w:rPr>
                <w:rFonts w:cs="Arial"/>
                <w:i/>
                <w:iCs/>
                <w:color w:val="000000"/>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top w:w="55" w:type="dxa"/>
              <w:bottom w:w="55" w:type="dxa"/>
              <w:right w:w="55" w:type="dxa"/>
            </w:tcMar>
          </w:tcPr>
          <w:p w:rsidR="0093037D" w:rsidRDefault="0093037D" w:rsidP="0093037D">
            <w:r w:rsidRPr="00BB63C3">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top w:w="55" w:type="dxa"/>
              <w:bottom w:w="55" w:type="dxa"/>
              <w:right w:w="55" w:type="dxa"/>
            </w:tcMar>
            <w:vAlign w:val="center"/>
          </w:tcPr>
          <w:p w:rsidR="0093037D" w:rsidRDefault="0093037D" w:rsidP="0093037D">
            <w:pPr>
              <w:jc w:val="center"/>
            </w:pPr>
            <w:r>
              <w:rPr>
                <w:rFonts w:cs="Arial"/>
                <w:color w:val="000000"/>
                <w:sz w:val="20"/>
                <w:szCs w:val="20"/>
              </w:rPr>
              <w:t>R</w:t>
            </w:r>
          </w:p>
        </w:tc>
      </w:tr>
      <w:tr w:rsidR="0093037D" w:rsidTr="0093037D">
        <w:trPr>
          <w:cantSplit/>
        </w:trPr>
        <w:tc>
          <w:tcPr>
            <w:tcW w:w="847" w:type="dxa"/>
            <w:shd w:val="clear" w:color="auto" w:fill="auto"/>
            <w:vAlign w:val="center"/>
          </w:tcPr>
          <w:p w:rsidR="0093037D" w:rsidRDefault="0093037D" w:rsidP="0093037D">
            <w:pPr>
              <w:jc w:val="center"/>
            </w:pPr>
            <w:r>
              <w:rPr>
                <w:rFonts w:cs="Arial"/>
                <w:color w:val="000000"/>
                <w:sz w:val="20"/>
                <w:szCs w:val="20"/>
              </w:rPr>
              <w:t>5.75</w:t>
            </w:r>
          </w:p>
        </w:tc>
        <w:tc>
          <w:tcPr>
            <w:tcW w:w="8558"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Default="0093037D" w:rsidP="0093037D">
            <w:pPr>
              <w:pStyle w:val="Odstavecseseznamem"/>
              <w:ind w:left="6" w:hanging="6"/>
            </w:pPr>
            <w:r>
              <w:rPr>
                <w:rFonts w:cs="Arial"/>
                <w:color w:val="000000"/>
                <w:sz w:val="20"/>
                <w:szCs w:val="20"/>
              </w:rPr>
              <w:t>Evidence dohod - možnost zadání více druhů prací spolu s různými sazbami a hodinami v rámci jedné dohody.</w:t>
            </w:r>
          </w:p>
        </w:tc>
        <w:tc>
          <w:tcPr>
            <w:tcW w:w="1192"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Default="0093037D" w:rsidP="0093037D">
            <w:pPr>
              <w:jc w:val="center"/>
            </w:pPr>
            <w:r>
              <w:rPr>
                <w:rFonts w:cs="Arial"/>
                <w:color w:val="000000"/>
                <w:sz w:val="20"/>
                <w:szCs w:val="20"/>
              </w:rPr>
              <w:t>10</w:t>
            </w:r>
          </w:p>
        </w:tc>
        <w:tc>
          <w:tcPr>
            <w:tcW w:w="1247"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Pr="0093037D" w:rsidRDefault="0093037D" w:rsidP="0093037D">
            <w:pPr>
              <w:jc w:val="center"/>
              <w:rPr>
                <w:highlight w:val="black"/>
              </w:rPr>
            </w:pPr>
            <w:r w:rsidRPr="0093037D">
              <w:rPr>
                <w:rFonts w:cs="Arial"/>
                <w:i/>
                <w:iCs/>
                <w:color w:val="000000"/>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top w:w="55" w:type="dxa"/>
              <w:bottom w:w="55" w:type="dxa"/>
              <w:right w:w="55" w:type="dxa"/>
            </w:tcMar>
          </w:tcPr>
          <w:p w:rsidR="0093037D" w:rsidRDefault="0093037D" w:rsidP="0093037D">
            <w:r w:rsidRPr="00BB63C3">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top w:w="55" w:type="dxa"/>
              <w:bottom w:w="55" w:type="dxa"/>
              <w:right w:w="55" w:type="dxa"/>
            </w:tcMar>
            <w:vAlign w:val="center"/>
          </w:tcPr>
          <w:p w:rsidR="0093037D" w:rsidRDefault="0093037D" w:rsidP="0093037D">
            <w:pPr>
              <w:jc w:val="center"/>
            </w:pPr>
            <w:r>
              <w:rPr>
                <w:rFonts w:cs="Arial"/>
                <w:color w:val="000000"/>
                <w:sz w:val="20"/>
                <w:szCs w:val="20"/>
              </w:rPr>
              <w:t>R</w:t>
            </w:r>
          </w:p>
        </w:tc>
      </w:tr>
      <w:tr w:rsidR="0093037D" w:rsidTr="0093037D">
        <w:trPr>
          <w:cantSplit/>
          <w:trHeight w:val="240"/>
        </w:trPr>
        <w:tc>
          <w:tcPr>
            <w:tcW w:w="847" w:type="dxa"/>
            <w:shd w:val="clear" w:color="auto" w:fill="auto"/>
            <w:vAlign w:val="center"/>
          </w:tcPr>
          <w:p w:rsidR="0093037D" w:rsidRDefault="0093037D" w:rsidP="0093037D">
            <w:pPr>
              <w:jc w:val="center"/>
            </w:pPr>
            <w:r>
              <w:rPr>
                <w:rFonts w:cs="Arial"/>
                <w:color w:val="000000"/>
                <w:sz w:val="20"/>
                <w:szCs w:val="20"/>
              </w:rPr>
              <w:t>5.76</w:t>
            </w:r>
          </w:p>
        </w:tc>
        <w:tc>
          <w:tcPr>
            <w:tcW w:w="8558"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Default="0093037D" w:rsidP="0093037D">
            <w:pPr>
              <w:pStyle w:val="Odstavecseseznamem"/>
              <w:ind w:left="6" w:hanging="6"/>
            </w:pPr>
            <w:r>
              <w:rPr>
                <w:rFonts w:cs="Arial"/>
                <w:color w:val="000000"/>
                <w:sz w:val="20"/>
                <w:szCs w:val="20"/>
              </w:rPr>
              <w:t>Možnost odesílání plateb zaměstnancům na zahraniční účty.</w:t>
            </w:r>
          </w:p>
        </w:tc>
        <w:tc>
          <w:tcPr>
            <w:tcW w:w="1192"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Default="0093037D" w:rsidP="0093037D">
            <w:pPr>
              <w:jc w:val="center"/>
            </w:pPr>
            <w:r>
              <w:rPr>
                <w:rFonts w:cs="Arial"/>
                <w:color w:val="000000"/>
                <w:sz w:val="20"/>
                <w:szCs w:val="20"/>
              </w:rPr>
              <w:t>10</w:t>
            </w:r>
          </w:p>
        </w:tc>
        <w:tc>
          <w:tcPr>
            <w:tcW w:w="1247"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Pr="0093037D" w:rsidRDefault="0093037D" w:rsidP="0093037D">
            <w:pPr>
              <w:jc w:val="center"/>
              <w:rPr>
                <w:highlight w:val="black"/>
              </w:rPr>
            </w:pPr>
            <w:r w:rsidRPr="0093037D">
              <w:rPr>
                <w:rFonts w:cs="Arial"/>
                <w:i/>
                <w:iCs/>
                <w:color w:val="000000"/>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top w:w="55" w:type="dxa"/>
              <w:bottom w:w="55" w:type="dxa"/>
              <w:right w:w="55" w:type="dxa"/>
            </w:tcMar>
          </w:tcPr>
          <w:p w:rsidR="0093037D" w:rsidRDefault="0093037D" w:rsidP="0093037D">
            <w:r w:rsidRPr="00BB63C3">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top w:w="55" w:type="dxa"/>
              <w:bottom w:w="55" w:type="dxa"/>
              <w:right w:w="55" w:type="dxa"/>
            </w:tcMar>
            <w:vAlign w:val="center"/>
          </w:tcPr>
          <w:p w:rsidR="0093037D" w:rsidRDefault="0093037D" w:rsidP="0093037D">
            <w:pPr>
              <w:jc w:val="center"/>
            </w:pPr>
            <w:r>
              <w:rPr>
                <w:rFonts w:cs="Arial"/>
                <w:color w:val="000000"/>
                <w:sz w:val="20"/>
                <w:szCs w:val="20"/>
              </w:rPr>
              <w:t>R</w:t>
            </w:r>
          </w:p>
        </w:tc>
      </w:tr>
      <w:tr w:rsidR="0093037D" w:rsidTr="0093037D">
        <w:trPr>
          <w:cantSplit/>
          <w:trHeight w:val="380"/>
        </w:trPr>
        <w:tc>
          <w:tcPr>
            <w:tcW w:w="847" w:type="dxa"/>
            <w:shd w:val="clear" w:color="auto" w:fill="auto"/>
            <w:vAlign w:val="center"/>
          </w:tcPr>
          <w:p w:rsidR="0093037D" w:rsidRDefault="0093037D" w:rsidP="0093037D">
            <w:pPr>
              <w:jc w:val="center"/>
            </w:pPr>
            <w:r>
              <w:rPr>
                <w:rFonts w:cs="Arial"/>
                <w:color w:val="000000"/>
                <w:sz w:val="20"/>
                <w:szCs w:val="20"/>
              </w:rPr>
              <w:t>5.77</w:t>
            </w:r>
          </w:p>
        </w:tc>
        <w:tc>
          <w:tcPr>
            <w:tcW w:w="8558"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Default="0093037D" w:rsidP="0093037D">
            <w:r>
              <w:rPr>
                <w:rFonts w:cs="Arial"/>
                <w:color w:val="000000"/>
                <w:sz w:val="20"/>
                <w:szCs w:val="20"/>
              </w:rPr>
              <w:t>Možnost sledování celkového přepočteného stavu zaměstnanců včetně DOPČ (u DOPČ výpočet stavu na základě odpracovaných hodin), kontrola na stanovený maximální limit úvazků.</w:t>
            </w:r>
          </w:p>
        </w:tc>
        <w:tc>
          <w:tcPr>
            <w:tcW w:w="1192"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Default="0093037D" w:rsidP="0093037D">
            <w:pPr>
              <w:jc w:val="center"/>
            </w:pPr>
            <w:r>
              <w:rPr>
                <w:rFonts w:cs="Arial"/>
                <w:color w:val="000000"/>
                <w:sz w:val="20"/>
                <w:szCs w:val="20"/>
              </w:rPr>
              <w:t>10</w:t>
            </w:r>
          </w:p>
        </w:tc>
        <w:tc>
          <w:tcPr>
            <w:tcW w:w="1247" w:type="dxa"/>
            <w:tcBorders>
              <w:top w:val="single" w:sz="4" w:space="0" w:color="000000"/>
              <w:left w:val="single" w:sz="4" w:space="0" w:color="000000"/>
              <w:bottom w:val="single" w:sz="4" w:space="0" w:color="000000"/>
            </w:tcBorders>
            <w:shd w:val="clear" w:color="auto" w:fill="E6E6FF"/>
            <w:tcMar>
              <w:top w:w="55" w:type="dxa"/>
              <w:bottom w:w="55" w:type="dxa"/>
              <w:right w:w="55" w:type="dxa"/>
            </w:tcMar>
            <w:vAlign w:val="center"/>
          </w:tcPr>
          <w:p w:rsidR="0093037D" w:rsidRPr="0093037D" w:rsidRDefault="0093037D" w:rsidP="0093037D">
            <w:pPr>
              <w:jc w:val="center"/>
              <w:rPr>
                <w:highlight w:val="black"/>
              </w:rPr>
            </w:pPr>
            <w:r w:rsidRPr="0093037D">
              <w:rPr>
                <w:rFonts w:cs="Arial"/>
                <w:i/>
                <w:iCs/>
                <w:color w:val="000000"/>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top w:w="55" w:type="dxa"/>
              <w:bottom w:w="55" w:type="dxa"/>
              <w:right w:w="55" w:type="dxa"/>
            </w:tcMar>
          </w:tcPr>
          <w:p w:rsidR="0093037D" w:rsidRDefault="0093037D" w:rsidP="0093037D">
            <w:r w:rsidRPr="00BB63C3">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top w:w="55" w:type="dxa"/>
              <w:bottom w:w="55" w:type="dxa"/>
              <w:right w:w="55" w:type="dxa"/>
            </w:tcMar>
            <w:vAlign w:val="center"/>
          </w:tcPr>
          <w:p w:rsidR="0093037D" w:rsidRDefault="0093037D" w:rsidP="0093037D">
            <w:pPr>
              <w:jc w:val="center"/>
            </w:pPr>
            <w:r>
              <w:rPr>
                <w:rFonts w:cs="Arial"/>
                <w:color w:val="000000"/>
                <w:sz w:val="20"/>
                <w:szCs w:val="20"/>
              </w:rPr>
              <w:t>R</w:t>
            </w:r>
          </w:p>
        </w:tc>
      </w:tr>
    </w:tbl>
    <w:p w:rsidR="00D27F66" w:rsidRDefault="00D27F66">
      <w:pPr>
        <w:pStyle w:val="Nadpis3"/>
      </w:pPr>
    </w:p>
    <w:p w:rsidR="00D27F66" w:rsidRDefault="0093037D">
      <w:pPr>
        <w:pStyle w:val="Zkladntext"/>
        <w:spacing w:after="0"/>
      </w:pPr>
      <w:r>
        <w:rPr>
          <w:b/>
          <w:bCs/>
          <w:sz w:val="24"/>
        </w:rPr>
        <w:t>6. Docházka, stravování</w:t>
      </w:r>
    </w:p>
    <w:tbl>
      <w:tblPr>
        <w:tblW w:w="14570" w:type="dxa"/>
        <w:tblInd w:w="-30" w:type="dxa"/>
        <w:tblCellMar>
          <w:left w:w="30" w:type="dxa"/>
          <w:right w:w="30" w:type="dxa"/>
        </w:tblCellMar>
        <w:tblLook w:val="04A0" w:firstRow="1" w:lastRow="0" w:firstColumn="1" w:lastColumn="0" w:noHBand="0" w:noVBand="1"/>
      </w:tblPr>
      <w:tblGrid>
        <w:gridCol w:w="847"/>
        <w:gridCol w:w="8505"/>
        <w:gridCol w:w="1247"/>
        <w:gridCol w:w="1247"/>
        <w:gridCol w:w="1416"/>
        <w:gridCol w:w="1308"/>
      </w:tblGrid>
      <w:tr w:rsidR="00D27F66" w:rsidTr="0093037D">
        <w:trPr>
          <w:cantSplit/>
          <w:trHeight w:val="255"/>
          <w:tblHeader/>
        </w:trPr>
        <w:tc>
          <w:tcPr>
            <w:tcW w:w="847" w:type="dxa"/>
            <w:shd w:val="clear" w:color="auto" w:fill="auto"/>
            <w:vAlign w:val="center"/>
          </w:tcPr>
          <w:p w:rsidR="00D27F66" w:rsidRDefault="00D27F66">
            <w:pPr>
              <w:jc w:val="center"/>
              <w:rPr>
                <w:sz w:val="20"/>
                <w:szCs w:val="20"/>
              </w:rPr>
            </w:pPr>
          </w:p>
        </w:tc>
        <w:tc>
          <w:tcPr>
            <w:tcW w:w="8505"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r>
              <w:rPr>
                <w:b/>
                <w:szCs w:val="22"/>
              </w:rPr>
              <w:t>Požadavek na funkcionalitu</w:t>
            </w:r>
          </w:p>
        </w:tc>
        <w:tc>
          <w:tcPr>
            <w:tcW w:w="1247"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Body významnosti funkcionality</w:t>
            </w:r>
          </w:p>
        </w:tc>
        <w:tc>
          <w:tcPr>
            <w:tcW w:w="1247"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Standardní funkcionalita</w:t>
            </w:r>
          </w:p>
        </w:tc>
        <w:tc>
          <w:tcPr>
            <w:tcW w:w="1416"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Bude doplněno / doprogramováno</w:t>
            </w:r>
          </w:p>
        </w:tc>
        <w:tc>
          <w:tcPr>
            <w:tcW w:w="1308" w:type="dxa"/>
            <w:tcBorders>
              <w:top w:val="single" w:sz="4" w:space="0" w:color="000000"/>
              <w:left w:val="single" w:sz="4" w:space="0" w:color="000000"/>
              <w:bottom w:val="single" w:sz="4" w:space="0" w:color="000000"/>
              <w:right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Povinný / rozšiřující</w:t>
            </w:r>
          </w:p>
        </w:tc>
      </w:tr>
      <w:tr w:rsidR="00D27F66" w:rsidTr="0093037D">
        <w:trPr>
          <w:cantSplit/>
        </w:trPr>
        <w:tc>
          <w:tcPr>
            <w:tcW w:w="847" w:type="dxa"/>
            <w:shd w:val="clear" w:color="auto" w:fill="auto"/>
            <w:vAlign w:val="center"/>
          </w:tcPr>
          <w:p w:rsidR="00D27F66" w:rsidRDefault="00D27F66">
            <w:pPr>
              <w:jc w:val="center"/>
              <w:rPr>
                <w:sz w:val="20"/>
                <w:szCs w:val="20"/>
              </w:rPr>
            </w:pPr>
          </w:p>
        </w:tc>
        <w:tc>
          <w:tcPr>
            <w:tcW w:w="8505" w:type="dxa"/>
            <w:shd w:val="clear" w:color="auto" w:fill="auto"/>
            <w:vAlign w:val="center"/>
          </w:tcPr>
          <w:p w:rsidR="00D27F66" w:rsidRDefault="0093037D">
            <w:r>
              <w:rPr>
                <w:b/>
                <w:bCs/>
                <w:sz w:val="20"/>
                <w:szCs w:val="20"/>
              </w:rPr>
              <w:t xml:space="preserve">Docházka </w:t>
            </w:r>
          </w:p>
        </w:tc>
        <w:tc>
          <w:tcPr>
            <w:tcW w:w="1247" w:type="dxa"/>
            <w:shd w:val="clear" w:color="auto" w:fill="auto"/>
            <w:vAlign w:val="center"/>
          </w:tcPr>
          <w:p w:rsidR="00D27F66" w:rsidRDefault="00D27F66">
            <w:pPr>
              <w:jc w:val="center"/>
              <w:rPr>
                <w:sz w:val="20"/>
                <w:szCs w:val="20"/>
              </w:rPr>
            </w:pPr>
          </w:p>
        </w:tc>
        <w:tc>
          <w:tcPr>
            <w:tcW w:w="1247" w:type="dxa"/>
            <w:shd w:val="clear" w:color="auto" w:fill="auto"/>
            <w:vAlign w:val="center"/>
          </w:tcPr>
          <w:p w:rsidR="00D27F66" w:rsidRDefault="00D27F66">
            <w:pPr>
              <w:jc w:val="center"/>
              <w:rPr>
                <w:sz w:val="20"/>
                <w:szCs w:val="20"/>
              </w:rPr>
            </w:pPr>
          </w:p>
        </w:tc>
        <w:tc>
          <w:tcPr>
            <w:tcW w:w="1416" w:type="dxa"/>
            <w:shd w:val="clear" w:color="auto" w:fill="auto"/>
            <w:vAlign w:val="center"/>
          </w:tcPr>
          <w:p w:rsidR="00D27F66" w:rsidRDefault="00D27F66">
            <w:pPr>
              <w:jc w:val="center"/>
              <w:rPr>
                <w:i/>
                <w:sz w:val="20"/>
                <w:szCs w:val="20"/>
              </w:rPr>
            </w:pPr>
          </w:p>
        </w:tc>
        <w:tc>
          <w:tcPr>
            <w:tcW w:w="1308" w:type="dxa"/>
            <w:shd w:val="clear" w:color="auto" w:fill="auto"/>
            <w:vAlign w:val="center"/>
          </w:tcPr>
          <w:p w:rsidR="00D27F66" w:rsidRDefault="00D27F66">
            <w:pPr>
              <w:jc w:val="center"/>
              <w:rPr>
                <w:sz w:val="20"/>
                <w:szCs w:val="20"/>
              </w:rPr>
            </w:pPr>
          </w:p>
        </w:tc>
      </w:tr>
      <w:tr w:rsidR="00D27F66" w:rsidTr="0093037D">
        <w:trPr>
          <w:cantSplit/>
          <w:trHeight w:val="718"/>
        </w:trPr>
        <w:tc>
          <w:tcPr>
            <w:tcW w:w="847" w:type="dxa"/>
            <w:shd w:val="clear" w:color="auto" w:fill="auto"/>
            <w:vAlign w:val="center"/>
          </w:tcPr>
          <w:p w:rsidR="00D27F66" w:rsidRDefault="0093037D">
            <w:pPr>
              <w:jc w:val="center"/>
            </w:pPr>
            <w:r>
              <w:rPr>
                <w:sz w:val="20"/>
                <w:szCs w:val="20"/>
              </w:rPr>
              <w:t>6.1</w:t>
            </w:r>
          </w:p>
        </w:tc>
        <w:tc>
          <w:tcPr>
            <w:tcW w:w="850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Vytváření, schvalování a evidence nepřítomností na pracovišti:</w:t>
            </w:r>
            <w:r>
              <w:rPr>
                <w:color w:val="000000"/>
                <w:sz w:val="20"/>
                <w:szCs w:val="20"/>
              </w:rPr>
              <w:br/>
              <w:t>- Dovolená, nemoc, sick-days, vč. plánu dovolených (§ 217 odst. 1 zákoníku práce)</w:t>
            </w:r>
            <w:r>
              <w:rPr>
                <w:color w:val="000000"/>
                <w:sz w:val="20"/>
                <w:szCs w:val="20"/>
              </w:rPr>
              <w:br/>
              <w:t>- Placené pracovní volno</w:t>
            </w:r>
            <w:r>
              <w:rPr>
                <w:color w:val="000000"/>
                <w:sz w:val="20"/>
                <w:szCs w:val="20"/>
              </w:rPr>
              <w:br/>
              <w:t>- Studijní volno.</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7</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P</w:t>
            </w:r>
          </w:p>
        </w:tc>
      </w:tr>
      <w:tr w:rsidR="00D27F66" w:rsidTr="0093037D">
        <w:trPr>
          <w:cantSplit/>
          <w:trHeight w:val="581"/>
        </w:trPr>
        <w:tc>
          <w:tcPr>
            <w:tcW w:w="847" w:type="dxa"/>
            <w:shd w:val="clear" w:color="auto" w:fill="auto"/>
            <w:vAlign w:val="center"/>
          </w:tcPr>
          <w:p w:rsidR="00D27F66" w:rsidRDefault="0093037D">
            <w:pPr>
              <w:jc w:val="center"/>
            </w:pPr>
            <w:r>
              <w:rPr>
                <w:sz w:val="20"/>
                <w:szCs w:val="20"/>
              </w:rPr>
              <w:t>6.2</w:t>
            </w:r>
          </w:p>
        </w:tc>
        <w:tc>
          <w:tcPr>
            <w:tcW w:w="850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 xml:space="preserve">Systém musí umožnit generování docházky podle kalendáře zaměstnance s tím, že zaměstnanec zadává pouze nepřítomnosti na pracovišti. V docházce musí být možnost nastavení délky přestávky a její automatické generování. Automatické označování dnů státních svátků a dnů volna. </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6</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P</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6.3</w:t>
            </w:r>
          </w:p>
        </w:tc>
        <w:tc>
          <w:tcPr>
            <w:tcW w:w="850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r>
              <w:rPr>
                <w:color w:val="000000"/>
                <w:sz w:val="20"/>
                <w:szCs w:val="20"/>
              </w:rPr>
              <w:t>Workflow schvalování docházky, možnost zástupu / bez zástupu ve schvalovacích procesech.</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6</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D27F66" w:rsidRPr="0093037D" w:rsidRDefault="00D27F66">
            <w:pPr>
              <w:jc w:val="center"/>
              <w:rPr>
                <w:i/>
                <w:color w:val="000000"/>
                <w:sz w:val="20"/>
                <w:szCs w:val="20"/>
                <w:highlight w:val="black"/>
              </w:rPr>
            </w:pP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D27F66" w:rsidRDefault="0093037D">
            <w:pPr>
              <w:jc w:val="center"/>
            </w:pPr>
            <w:r>
              <w:rPr>
                <w:color w:val="000000"/>
                <w:sz w:val="20"/>
                <w:szCs w:val="20"/>
              </w:rPr>
              <w:t>R</w:t>
            </w:r>
          </w:p>
        </w:tc>
      </w:tr>
      <w:tr w:rsidR="00D27F66" w:rsidTr="0093037D">
        <w:trPr>
          <w:cantSplit/>
          <w:trHeight w:val="256"/>
        </w:trPr>
        <w:tc>
          <w:tcPr>
            <w:tcW w:w="847" w:type="dxa"/>
            <w:shd w:val="clear" w:color="auto" w:fill="auto"/>
            <w:vAlign w:val="center"/>
          </w:tcPr>
          <w:p w:rsidR="00D27F66" w:rsidRDefault="0093037D">
            <w:pPr>
              <w:jc w:val="center"/>
            </w:pPr>
            <w:r>
              <w:rPr>
                <w:sz w:val="20"/>
                <w:szCs w:val="20"/>
              </w:rPr>
              <w:t>6.4</w:t>
            </w:r>
          </w:p>
        </w:tc>
        <w:tc>
          <w:tcPr>
            <w:tcW w:w="8505"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r>
              <w:rPr>
                <w:color w:val="000000"/>
                <w:sz w:val="20"/>
                <w:szCs w:val="20"/>
              </w:rPr>
              <w:t>Workflow schvalování dovolených, možnost zástupu / bez zástupu ve schvalovacích procesech.</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10</w:t>
            </w:r>
          </w:p>
        </w:tc>
        <w:tc>
          <w:tcPr>
            <w:tcW w:w="1247"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D27F66" w:rsidRPr="0093037D" w:rsidRDefault="0093037D">
            <w:pPr>
              <w:jc w:val="center"/>
              <w:rPr>
                <w:highlight w:val="black"/>
              </w:rPr>
            </w:pPr>
            <w:r w:rsidRPr="0093037D">
              <w:rPr>
                <w:i/>
                <w:color w:val="000000"/>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D27F66" w:rsidRDefault="0093037D">
            <w:pPr>
              <w:jc w:val="center"/>
            </w:pPr>
            <w:r>
              <w:rPr>
                <w:color w:val="000000"/>
                <w:sz w:val="20"/>
                <w:szCs w:val="20"/>
              </w:rPr>
              <w:t>P</w:t>
            </w:r>
          </w:p>
        </w:tc>
      </w:tr>
      <w:tr w:rsidR="0093037D" w:rsidTr="0093037D">
        <w:trPr>
          <w:cantSplit/>
          <w:trHeight w:val="568"/>
        </w:trPr>
        <w:tc>
          <w:tcPr>
            <w:tcW w:w="847" w:type="dxa"/>
            <w:shd w:val="clear" w:color="auto" w:fill="auto"/>
            <w:vAlign w:val="center"/>
          </w:tcPr>
          <w:p w:rsidR="0093037D" w:rsidRDefault="0093037D" w:rsidP="0093037D">
            <w:pPr>
              <w:jc w:val="center"/>
            </w:pPr>
            <w:r>
              <w:rPr>
                <w:sz w:val="20"/>
                <w:szCs w:val="20"/>
              </w:rPr>
              <w:t>6.5</w:t>
            </w:r>
          </w:p>
        </w:tc>
        <w:tc>
          <w:tcPr>
            <w:tcW w:w="850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r>
              <w:rPr>
                <w:color w:val="000000"/>
                <w:sz w:val="20"/>
                <w:szCs w:val="20"/>
              </w:rPr>
              <w:t>Zadávání a evidence docházky je prováděna zaměstnancem přes personalizované rozhraní zaměstnance.</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6</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Pr="0093037D" w:rsidRDefault="0093037D" w:rsidP="0093037D">
            <w:pPr>
              <w:jc w:val="center"/>
              <w:rPr>
                <w:highlight w:val="black"/>
              </w:rPr>
            </w:pPr>
            <w:r w:rsidRPr="0093037D">
              <w:rPr>
                <w:i/>
                <w:color w:val="000000"/>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7761DF">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R</w:t>
            </w:r>
          </w:p>
        </w:tc>
      </w:tr>
      <w:tr w:rsidR="0093037D" w:rsidTr="0093037D">
        <w:trPr>
          <w:cantSplit/>
          <w:trHeight w:val="400"/>
        </w:trPr>
        <w:tc>
          <w:tcPr>
            <w:tcW w:w="847" w:type="dxa"/>
            <w:shd w:val="clear" w:color="auto" w:fill="auto"/>
            <w:vAlign w:val="center"/>
          </w:tcPr>
          <w:p w:rsidR="0093037D" w:rsidRDefault="0093037D" w:rsidP="0093037D">
            <w:pPr>
              <w:jc w:val="center"/>
            </w:pPr>
            <w:r>
              <w:rPr>
                <w:sz w:val="20"/>
                <w:szCs w:val="20"/>
              </w:rPr>
              <w:t>6.6</w:t>
            </w:r>
          </w:p>
        </w:tc>
        <w:tc>
          <w:tcPr>
            <w:tcW w:w="850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r>
              <w:rPr>
                <w:color w:val="000000"/>
                <w:sz w:val="20"/>
                <w:szCs w:val="20"/>
              </w:rPr>
              <w:t>Evidence jednotlivých činností vybíraných z předem definovaného číselníku činností a volné pole pro detailní popis činnosti a jejich přiřazení k docházce.</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3</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Pr="0093037D" w:rsidRDefault="0093037D" w:rsidP="0093037D">
            <w:pPr>
              <w:jc w:val="center"/>
              <w:rPr>
                <w:highlight w:val="black"/>
              </w:rPr>
            </w:pPr>
            <w:r w:rsidRPr="0093037D">
              <w:rPr>
                <w:i/>
                <w:color w:val="000000"/>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7761DF">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R</w:t>
            </w:r>
          </w:p>
        </w:tc>
      </w:tr>
      <w:tr w:rsidR="0093037D" w:rsidTr="0093037D">
        <w:trPr>
          <w:cantSplit/>
          <w:trHeight w:val="256"/>
        </w:trPr>
        <w:tc>
          <w:tcPr>
            <w:tcW w:w="847" w:type="dxa"/>
            <w:shd w:val="clear" w:color="auto" w:fill="auto"/>
            <w:vAlign w:val="center"/>
          </w:tcPr>
          <w:p w:rsidR="0093037D" w:rsidRDefault="0093037D" w:rsidP="0093037D">
            <w:pPr>
              <w:jc w:val="center"/>
            </w:pPr>
            <w:r>
              <w:rPr>
                <w:sz w:val="20"/>
                <w:szCs w:val="20"/>
              </w:rPr>
              <w:t>6.7</w:t>
            </w:r>
          </w:p>
        </w:tc>
        <w:tc>
          <w:tcPr>
            <w:tcW w:w="850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r>
              <w:rPr>
                <w:color w:val="000000"/>
                <w:sz w:val="20"/>
                <w:szCs w:val="20"/>
              </w:rPr>
              <w:t xml:space="preserve">Evidence odpracované pracovní doby na jednotlivé akce v rozlišení minimálně na </w:t>
            </w:r>
            <w:r>
              <w:rPr>
                <w:strike/>
                <w:color w:val="000000"/>
                <w:sz w:val="20"/>
                <w:szCs w:val="20"/>
              </w:rPr>
              <w:t xml:space="preserve">půl hodiny </w:t>
            </w:r>
            <w:r>
              <w:rPr>
                <w:color w:val="000000"/>
                <w:sz w:val="20"/>
                <w:szCs w:val="20"/>
              </w:rPr>
              <w:t xml:space="preserve"> 15 min.</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6</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Pr="0093037D" w:rsidRDefault="0093037D" w:rsidP="0093037D">
            <w:pPr>
              <w:jc w:val="center"/>
              <w:rPr>
                <w:highlight w:val="black"/>
              </w:rPr>
            </w:pPr>
            <w:r w:rsidRPr="0093037D">
              <w:rPr>
                <w:i/>
                <w:color w:val="000000"/>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7761DF">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R</w:t>
            </w:r>
          </w:p>
        </w:tc>
      </w:tr>
      <w:tr w:rsidR="0093037D" w:rsidTr="0093037D">
        <w:trPr>
          <w:cantSplit/>
          <w:trHeight w:val="400"/>
        </w:trPr>
        <w:tc>
          <w:tcPr>
            <w:tcW w:w="847" w:type="dxa"/>
            <w:shd w:val="clear" w:color="auto" w:fill="auto"/>
            <w:vAlign w:val="center"/>
          </w:tcPr>
          <w:p w:rsidR="0093037D" w:rsidRDefault="0093037D" w:rsidP="0093037D">
            <w:pPr>
              <w:jc w:val="center"/>
            </w:pPr>
            <w:r>
              <w:rPr>
                <w:sz w:val="20"/>
                <w:szCs w:val="20"/>
              </w:rPr>
              <w:t>6.8</w:t>
            </w:r>
          </w:p>
        </w:tc>
        <w:tc>
          <w:tcPr>
            <w:tcW w:w="850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r>
              <w:rPr>
                <w:color w:val="000000"/>
                <w:sz w:val="20"/>
                <w:szCs w:val="20"/>
              </w:rPr>
              <w:t>Automatické rozdělení pracovního úvazku na jednotlivé akce dle definovaného poměru u každého zaměstnance.</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7</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Pr="0093037D" w:rsidRDefault="0093037D" w:rsidP="0093037D">
            <w:pPr>
              <w:jc w:val="center"/>
              <w:rPr>
                <w:highlight w:val="black"/>
              </w:rPr>
            </w:pPr>
            <w:r w:rsidRPr="0093037D">
              <w:rPr>
                <w:i/>
                <w:color w:val="000000"/>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7761DF">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R</w:t>
            </w:r>
          </w:p>
        </w:tc>
      </w:tr>
      <w:tr w:rsidR="0093037D" w:rsidTr="0093037D">
        <w:trPr>
          <w:cantSplit/>
          <w:trHeight w:val="256"/>
        </w:trPr>
        <w:tc>
          <w:tcPr>
            <w:tcW w:w="847" w:type="dxa"/>
            <w:shd w:val="clear" w:color="auto" w:fill="auto"/>
            <w:vAlign w:val="center"/>
          </w:tcPr>
          <w:p w:rsidR="0093037D" w:rsidRDefault="0093037D" w:rsidP="0093037D">
            <w:pPr>
              <w:jc w:val="center"/>
            </w:pPr>
            <w:r>
              <w:rPr>
                <w:sz w:val="20"/>
                <w:szCs w:val="20"/>
              </w:rPr>
              <w:t>6.9</w:t>
            </w:r>
          </w:p>
        </w:tc>
        <w:tc>
          <w:tcPr>
            <w:tcW w:w="850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r>
              <w:rPr>
                <w:color w:val="000000"/>
                <w:sz w:val="20"/>
                <w:szCs w:val="20"/>
              </w:rPr>
              <w:t>Automatické vyhodnocování docházky pro potřeby vzniku nároku na příspěvek na stravování.</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7</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Pr="0093037D" w:rsidRDefault="0093037D" w:rsidP="0093037D">
            <w:pPr>
              <w:jc w:val="center"/>
              <w:rPr>
                <w:highlight w:val="black"/>
              </w:rPr>
            </w:pPr>
            <w:r w:rsidRPr="0093037D">
              <w:rPr>
                <w:i/>
                <w:color w:val="000000"/>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7761DF">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R</w:t>
            </w:r>
          </w:p>
        </w:tc>
      </w:tr>
      <w:tr w:rsidR="0093037D" w:rsidTr="0093037D">
        <w:trPr>
          <w:cantSplit/>
          <w:trHeight w:val="400"/>
        </w:trPr>
        <w:tc>
          <w:tcPr>
            <w:tcW w:w="847" w:type="dxa"/>
            <w:shd w:val="clear" w:color="auto" w:fill="auto"/>
            <w:vAlign w:val="center"/>
          </w:tcPr>
          <w:p w:rsidR="0093037D" w:rsidRDefault="0093037D" w:rsidP="0093037D">
            <w:pPr>
              <w:jc w:val="center"/>
            </w:pPr>
            <w:r>
              <w:rPr>
                <w:sz w:val="20"/>
                <w:szCs w:val="20"/>
              </w:rPr>
              <w:lastRenderedPageBreak/>
              <w:t>6.10</w:t>
            </w:r>
          </w:p>
        </w:tc>
        <w:tc>
          <w:tcPr>
            <w:tcW w:w="850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r>
              <w:rPr>
                <w:color w:val="000000"/>
                <w:sz w:val="20"/>
                <w:szCs w:val="20"/>
              </w:rPr>
              <w:t>Vytváření přehledů a statistik v členění dle organizační struktury, vybraných zaměstnanců, vybrané akce / více akcí (např. timesheet, výkaz odpracovaných hodin pro grantovou agenturu).</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6</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DE3247">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EB270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R</w:t>
            </w:r>
          </w:p>
        </w:tc>
      </w:tr>
      <w:tr w:rsidR="0093037D" w:rsidTr="0093037D">
        <w:trPr>
          <w:cantSplit/>
          <w:trHeight w:val="400"/>
        </w:trPr>
        <w:tc>
          <w:tcPr>
            <w:tcW w:w="847" w:type="dxa"/>
            <w:shd w:val="clear" w:color="auto" w:fill="auto"/>
            <w:vAlign w:val="center"/>
          </w:tcPr>
          <w:p w:rsidR="0093037D" w:rsidRDefault="0093037D" w:rsidP="0093037D">
            <w:pPr>
              <w:jc w:val="center"/>
            </w:pPr>
            <w:r>
              <w:rPr>
                <w:sz w:val="20"/>
                <w:szCs w:val="20"/>
              </w:rPr>
              <w:t>6.11</w:t>
            </w:r>
          </w:p>
        </w:tc>
        <w:tc>
          <w:tcPr>
            <w:tcW w:w="850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r>
              <w:rPr>
                <w:color w:val="000000"/>
                <w:sz w:val="20"/>
                <w:szCs w:val="20"/>
              </w:rPr>
              <w:t>Možnost provádění úprav a změn v docházce v neuzavřeném měsíci.</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7</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DE3247">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EB270D">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R</w:t>
            </w:r>
          </w:p>
        </w:tc>
      </w:tr>
      <w:tr w:rsidR="00D27F66" w:rsidTr="0093037D">
        <w:trPr>
          <w:cantSplit/>
          <w:trHeight w:val="270"/>
        </w:trPr>
        <w:tc>
          <w:tcPr>
            <w:tcW w:w="847" w:type="dxa"/>
            <w:shd w:val="clear" w:color="auto" w:fill="auto"/>
            <w:vAlign w:val="center"/>
          </w:tcPr>
          <w:p w:rsidR="00D27F66" w:rsidRDefault="00D27F66">
            <w:pPr>
              <w:jc w:val="center"/>
              <w:rPr>
                <w:sz w:val="20"/>
                <w:szCs w:val="20"/>
              </w:rPr>
            </w:pPr>
          </w:p>
        </w:tc>
        <w:tc>
          <w:tcPr>
            <w:tcW w:w="13723" w:type="dxa"/>
            <w:gridSpan w:val="5"/>
            <w:shd w:val="clear" w:color="auto" w:fill="auto"/>
            <w:vAlign w:val="center"/>
          </w:tcPr>
          <w:p w:rsidR="00D27F66" w:rsidRDefault="0093037D">
            <w:r>
              <w:rPr>
                <w:b/>
                <w:sz w:val="20"/>
                <w:szCs w:val="20"/>
              </w:rPr>
              <w:t>Stravování</w:t>
            </w:r>
          </w:p>
        </w:tc>
      </w:tr>
      <w:tr w:rsidR="0093037D" w:rsidTr="0093037D">
        <w:trPr>
          <w:cantSplit/>
          <w:trHeight w:val="256"/>
        </w:trPr>
        <w:tc>
          <w:tcPr>
            <w:tcW w:w="847" w:type="dxa"/>
            <w:shd w:val="clear" w:color="auto" w:fill="auto"/>
            <w:vAlign w:val="center"/>
          </w:tcPr>
          <w:p w:rsidR="0093037D" w:rsidRDefault="0093037D" w:rsidP="0093037D">
            <w:pPr>
              <w:jc w:val="center"/>
            </w:pPr>
            <w:r>
              <w:rPr>
                <w:sz w:val="20"/>
                <w:szCs w:val="20"/>
              </w:rPr>
              <w:t>6.12</w:t>
            </w:r>
          </w:p>
        </w:tc>
        <w:tc>
          <w:tcPr>
            <w:tcW w:w="850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r>
              <w:rPr>
                <w:sz w:val="20"/>
                <w:szCs w:val="20"/>
              </w:rPr>
              <w:t>Nástroj pro výpočet nároku na stravenky či příspěvku na obědy (i v různých cenových hladinách) za příslušný měsíc.</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7</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B17B69">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B17B69">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93037D" w:rsidRDefault="0093037D" w:rsidP="0093037D">
            <w:pPr>
              <w:jc w:val="center"/>
            </w:pPr>
            <w:r>
              <w:rPr>
                <w:sz w:val="20"/>
                <w:szCs w:val="20"/>
              </w:rPr>
              <w:t>R</w:t>
            </w:r>
          </w:p>
        </w:tc>
      </w:tr>
      <w:tr w:rsidR="0093037D" w:rsidTr="0093037D">
        <w:trPr>
          <w:cantSplit/>
          <w:trHeight w:val="256"/>
        </w:trPr>
        <w:tc>
          <w:tcPr>
            <w:tcW w:w="847" w:type="dxa"/>
            <w:shd w:val="clear" w:color="auto" w:fill="auto"/>
            <w:vAlign w:val="center"/>
          </w:tcPr>
          <w:p w:rsidR="0093037D" w:rsidRDefault="0093037D" w:rsidP="0093037D">
            <w:pPr>
              <w:jc w:val="center"/>
            </w:pPr>
            <w:r>
              <w:rPr>
                <w:sz w:val="20"/>
                <w:szCs w:val="20"/>
              </w:rPr>
              <w:t>6.13</w:t>
            </w:r>
          </w:p>
        </w:tc>
        <w:tc>
          <w:tcPr>
            <w:tcW w:w="850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r>
              <w:rPr>
                <w:sz w:val="20"/>
                <w:szCs w:val="20"/>
              </w:rPr>
              <w:t>Automatické promítnutí částky hrazené zaměstnancem do mezd formou srážky ze mzdy.</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7</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B17B69">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B17B69">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93037D" w:rsidRDefault="0093037D" w:rsidP="0093037D">
            <w:pPr>
              <w:jc w:val="center"/>
            </w:pPr>
            <w:r>
              <w:rPr>
                <w:sz w:val="20"/>
                <w:szCs w:val="20"/>
              </w:rPr>
              <w:t>R</w:t>
            </w:r>
          </w:p>
        </w:tc>
      </w:tr>
      <w:tr w:rsidR="0093037D" w:rsidTr="0093037D">
        <w:trPr>
          <w:cantSplit/>
          <w:trHeight w:val="256"/>
        </w:trPr>
        <w:tc>
          <w:tcPr>
            <w:tcW w:w="847" w:type="dxa"/>
            <w:shd w:val="clear" w:color="auto" w:fill="auto"/>
            <w:vAlign w:val="center"/>
          </w:tcPr>
          <w:p w:rsidR="0093037D" w:rsidRDefault="0093037D" w:rsidP="0093037D">
            <w:pPr>
              <w:jc w:val="center"/>
            </w:pPr>
            <w:r>
              <w:rPr>
                <w:sz w:val="20"/>
                <w:szCs w:val="20"/>
              </w:rPr>
              <w:t>6.14</w:t>
            </w:r>
          </w:p>
        </w:tc>
        <w:tc>
          <w:tcPr>
            <w:tcW w:w="8505"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r>
              <w:rPr>
                <w:sz w:val="20"/>
                <w:szCs w:val="20"/>
              </w:rPr>
              <w:t>Možnost nastavení podílu hrazeného zaměstnancem, podílu hrazeného ze sociálního fondu a provozních nákladů.</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pPr>
              <w:jc w:val="center"/>
            </w:pPr>
            <w:r>
              <w:rPr>
                <w:color w:val="000000"/>
                <w:sz w:val="20"/>
                <w:szCs w:val="20"/>
              </w:rPr>
              <w:t>7</w:t>
            </w:r>
          </w:p>
        </w:tc>
        <w:tc>
          <w:tcPr>
            <w:tcW w:w="1247"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B17B69">
              <w:rPr>
                <w:i/>
                <w:sz w:val="20"/>
                <w:szCs w:val="20"/>
                <w:highlight w:val="black"/>
              </w:rPr>
              <w:t>vyplní uch.</w:t>
            </w:r>
          </w:p>
        </w:tc>
        <w:tc>
          <w:tcPr>
            <w:tcW w:w="1416"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B17B69">
              <w:rPr>
                <w:i/>
                <w:sz w:val="20"/>
                <w:szCs w:val="20"/>
                <w:highlight w:val="black"/>
              </w:rPr>
              <w:t>vyplní uch.</w:t>
            </w:r>
          </w:p>
        </w:tc>
        <w:tc>
          <w:tcPr>
            <w:tcW w:w="1308"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93037D" w:rsidRDefault="0093037D" w:rsidP="0093037D">
            <w:pPr>
              <w:jc w:val="center"/>
            </w:pPr>
            <w:r>
              <w:rPr>
                <w:sz w:val="20"/>
                <w:szCs w:val="20"/>
              </w:rPr>
              <w:t>R</w:t>
            </w:r>
          </w:p>
        </w:tc>
      </w:tr>
    </w:tbl>
    <w:p w:rsidR="00D27F66" w:rsidRDefault="00D27F66">
      <w:pPr>
        <w:rPr>
          <w:b/>
          <w:bCs/>
          <w:sz w:val="24"/>
        </w:rPr>
      </w:pPr>
    </w:p>
    <w:p w:rsidR="00D27F66" w:rsidRDefault="0093037D">
      <w:pPr>
        <w:keepNext/>
      </w:pPr>
      <w:r>
        <w:rPr>
          <w:b/>
          <w:bCs/>
          <w:sz w:val="24"/>
        </w:rPr>
        <w:t>7. Manažerská nadstavba – manažerské sestavy, plánování zakázek a projektů</w:t>
      </w:r>
    </w:p>
    <w:tbl>
      <w:tblPr>
        <w:tblW w:w="14627" w:type="dxa"/>
        <w:tblInd w:w="-60" w:type="dxa"/>
        <w:tblCellMar>
          <w:left w:w="30" w:type="dxa"/>
          <w:right w:w="30" w:type="dxa"/>
        </w:tblCellMar>
        <w:tblLook w:val="04A0" w:firstRow="1" w:lastRow="0" w:firstColumn="1" w:lastColumn="0" w:noHBand="0" w:noVBand="1"/>
      </w:tblPr>
      <w:tblGrid>
        <w:gridCol w:w="903"/>
        <w:gridCol w:w="8509"/>
        <w:gridCol w:w="1190"/>
        <w:gridCol w:w="1246"/>
        <w:gridCol w:w="1418"/>
        <w:gridCol w:w="1361"/>
      </w:tblGrid>
      <w:tr w:rsidR="00D27F66" w:rsidTr="0093037D">
        <w:trPr>
          <w:cantSplit/>
          <w:trHeight w:val="510"/>
          <w:tblHeader/>
        </w:trPr>
        <w:tc>
          <w:tcPr>
            <w:tcW w:w="903" w:type="dxa"/>
            <w:shd w:val="clear" w:color="auto" w:fill="auto"/>
            <w:vAlign w:val="center"/>
          </w:tcPr>
          <w:p w:rsidR="00D27F66" w:rsidRDefault="00D27F66">
            <w:pPr>
              <w:jc w:val="center"/>
              <w:rPr>
                <w:sz w:val="20"/>
                <w:szCs w:val="20"/>
              </w:rPr>
            </w:pPr>
          </w:p>
        </w:tc>
        <w:tc>
          <w:tcPr>
            <w:tcW w:w="8509"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r>
              <w:rPr>
                <w:b/>
                <w:szCs w:val="22"/>
              </w:rPr>
              <w:t>Požadavek na funkcionalitu</w:t>
            </w:r>
          </w:p>
        </w:tc>
        <w:tc>
          <w:tcPr>
            <w:tcW w:w="1190"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Body významnosti funkcionality</w:t>
            </w:r>
          </w:p>
        </w:tc>
        <w:tc>
          <w:tcPr>
            <w:tcW w:w="1246"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Standardní funkcionalita</w:t>
            </w:r>
          </w:p>
        </w:tc>
        <w:tc>
          <w:tcPr>
            <w:tcW w:w="1418" w:type="dxa"/>
            <w:tcBorders>
              <w:top w:val="single" w:sz="4" w:space="0" w:color="000000"/>
              <w:left w:val="single" w:sz="4" w:space="0" w:color="000000"/>
              <w:bottom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Bude doplněno / doprogramováno</w:t>
            </w:r>
          </w:p>
        </w:tc>
        <w:tc>
          <w:tcPr>
            <w:tcW w:w="1361" w:type="dxa"/>
            <w:tcBorders>
              <w:top w:val="single" w:sz="4" w:space="0" w:color="000000"/>
              <w:left w:val="single" w:sz="4" w:space="0" w:color="000000"/>
              <w:bottom w:val="single" w:sz="4" w:space="0" w:color="000000"/>
              <w:right w:val="single" w:sz="4" w:space="0" w:color="000000"/>
            </w:tcBorders>
            <w:shd w:val="clear" w:color="auto" w:fill="E6E6E6"/>
            <w:tcMar>
              <w:left w:w="18" w:type="dxa"/>
              <w:right w:w="28" w:type="dxa"/>
            </w:tcMar>
            <w:vAlign w:val="center"/>
          </w:tcPr>
          <w:p w:rsidR="00D27F66" w:rsidRDefault="0093037D">
            <w:pPr>
              <w:jc w:val="center"/>
            </w:pPr>
            <w:r>
              <w:rPr>
                <w:rFonts w:ascii="Arial Narrow" w:hAnsi="Arial Narrow"/>
                <w:b/>
                <w:sz w:val="20"/>
                <w:szCs w:val="20"/>
              </w:rPr>
              <w:t>Povinný / rozšiřující</w:t>
            </w:r>
          </w:p>
        </w:tc>
      </w:tr>
      <w:tr w:rsidR="00D27F66" w:rsidTr="0093037D">
        <w:trPr>
          <w:cantSplit/>
          <w:trHeight w:val="270"/>
        </w:trPr>
        <w:tc>
          <w:tcPr>
            <w:tcW w:w="903" w:type="dxa"/>
            <w:shd w:val="clear" w:color="auto" w:fill="auto"/>
            <w:vAlign w:val="center"/>
          </w:tcPr>
          <w:p w:rsidR="00D27F66" w:rsidRDefault="00D27F66">
            <w:pPr>
              <w:jc w:val="center"/>
              <w:rPr>
                <w:sz w:val="20"/>
                <w:szCs w:val="20"/>
              </w:rPr>
            </w:pPr>
          </w:p>
        </w:tc>
        <w:tc>
          <w:tcPr>
            <w:tcW w:w="13724" w:type="dxa"/>
            <w:gridSpan w:val="5"/>
            <w:shd w:val="clear" w:color="auto" w:fill="auto"/>
            <w:vAlign w:val="center"/>
          </w:tcPr>
          <w:p w:rsidR="00D27F66" w:rsidRDefault="0093037D">
            <w:r>
              <w:rPr>
                <w:b/>
                <w:sz w:val="20"/>
                <w:szCs w:val="20"/>
              </w:rPr>
              <w:t>Manažerské sestavy</w:t>
            </w:r>
          </w:p>
        </w:tc>
      </w:tr>
      <w:tr w:rsidR="0093037D" w:rsidTr="0093037D">
        <w:trPr>
          <w:cantSplit/>
          <w:trHeight w:val="256"/>
        </w:trPr>
        <w:tc>
          <w:tcPr>
            <w:tcW w:w="903" w:type="dxa"/>
            <w:shd w:val="clear" w:color="auto" w:fill="auto"/>
            <w:vAlign w:val="center"/>
          </w:tcPr>
          <w:p w:rsidR="0093037D" w:rsidRDefault="0093037D" w:rsidP="0093037D">
            <w:pPr>
              <w:jc w:val="center"/>
            </w:pPr>
            <w:r>
              <w:rPr>
                <w:sz w:val="20"/>
                <w:szCs w:val="20"/>
              </w:rPr>
              <w:t>7.1</w:t>
            </w:r>
          </w:p>
        </w:tc>
        <w:tc>
          <w:tcPr>
            <w:tcW w:w="850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r>
              <w:rPr>
                <w:sz w:val="20"/>
                <w:szCs w:val="20"/>
              </w:rPr>
              <w:t>Přístup do manažerské nadstavby je pro všechny zaměstnance přes personalizované rozhraní uživatele.</w:t>
            </w:r>
          </w:p>
        </w:tc>
        <w:tc>
          <w:tcPr>
            <w:tcW w:w="119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10</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072DD2">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072DD2">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P</w:t>
            </w:r>
          </w:p>
        </w:tc>
      </w:tr>
      <w:tr w:rsidR="0093037D" w:rsidTr="0093037D">
        <w:trPr>
          <w:cantSplit/>
          <w:trHeight w:val="400"/>
        </w:trPr>
        <w:tc>
          <w:tcPr>
            <w:tcW w:w="903" w:type="dxa"/>
            <w:shd w:val="clear" w:color="auto" w:fill="auto"/>
            <w:vAlign w:val="center"/>
          </w:tcPr>
          <w:p w:rsidR="0093037D" w:rsidRDefault="0093037D" w:rsidP="0093037D">
            <w:pPr>
              <w:jc w:val="center"/>
            </w:pPr>
            <w:r>
              <w:rPr>
                <w:sz w:val="20"/>
                <w:szCs w:val="20"/>
              </w:rPr>
              <w:t>7.2</w:t>
            </w:r>
          </w:p>
        </w:tc>
        <w:tc>
          <w:tcPr>
            <w:tcW w:w="850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r>
              <w:rPr>
                <w:sz w:val="20"/>
                <w:szCs w:val="20"/>
              </w:rPr>
              <w:t>Umožňuje všem zaměstnancům podle oprávnění personalizovanou prezentaci dat z oblasti Ekonomika a účetnictví a z oblasti Personalistika a mzdy v přehledné formě.</w:t>
            </w:r>
          </w:p>
        </w:tc>
        <w:tc>
          <w:tcPr>
            <w:tcW w:w="119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3</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072DD2">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072DD2">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P</w:t>
            </w:r>
          </w:p>
        </w:tc>
      </w:tr>
      <w:tr w:rsidR="0093037D" w:rsidTr="0093037D">
        <w:trPr>
          <w:cantSplit/>
          <w:trHeight w:val="763"/>
        </w:trPr>
        <w:tc>
          <w:tcPr>
            <w:tcW w:w="903" w:type="dxa"/>
            <w:shd w:val="clear" w:color="auto" w:fill="auto"/>
            <w:vAlign w:val="center"/>
          </w:tcPr>
          <w:p w:rsidR="0093037D" w:rsidRDefault="0093037D" w:rsidP="0093037D">
            <w:pPr>
              <w:jc w:val="center"/>
            </w:pPr>
            <w:r>
              <w:rPr>
                <w:sz w:val="20"/>
                <w:szCs w:val="20"/>
              </w:rPr>
              <w:t>7.3</w:t>
            </w:r>
          </w:p>
        </w:tc>
        <w:tc>
          <w:tcPr>
            <w:tcW w:w="850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r>
              <w:rPr>
                <w:sz w:val="20"/>
                <w:szCs w:val="20"/>
              </w:rPr>
              <w:t>Sestava pro kontrolu plnění rozpočtu (tzv. vyúčtovací rozpočet) mapující analytické účty na sledování čerpání rozpočtu podle struktury poskytovatele finančních prostředků v návaznosti minimálně na povinné identifikátory analytických účtů (viz požadavek na zakládání analytických účtů). Vytvoření sestavy na základě předpřipravené šablony (více typů) respektující požadavky na strukturu od poskytovatele finančních prostředků. Možnost uživatelské modifikace šablon.</w:t>
            </w:r>
          </w:p>
        </w:tc>
        <w:tc>
          <w:tcPr>
            <w:tcW w:w="119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10</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072DD2">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072DD2">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P</w:t>
            </w:r>
          </w:p>
        </w:tc>
      </w:tr>
      <w:tr w:rsidR="0093037D" w:rsidTr="0093037D">
        <w:trPr>
          <w:cantSplit/>
          <w:trHeight w:val="400"/>
        </w:trPr>
        <w:tc>
          <w:tcPr>
            <w:tcW w:w="903" w:type="dxa"/>
            <w:shd w:val="clear" w:color="auto" w:fill="auto"/>
            <w:vAlign w:val="center"/>
          </w:tcPr>
          <w:p w:rsidR="0093037D" w:rsidRDefault="0093037D" w:rsidP="0093037D">
            <w:pPr>
              <w:jc w:val="center"/>
            </w:pPr>
            <w:r>
              <w:rPr>
                <w:sz w:val="20"/>
                <w:szCs w:val="20"/>
              </w:rPr>
              <w:t>7.4</w:t>
            </w:r>
          </w:p>
        </w:tc>
        <w:tc>
          <w:tcPr>
            <w:tcW w:w="850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r>
              <w:rPr>
                <w:sz w:val="20"/>
                <w:szCs w:val="20"/>
              </w:rPr>
              <w:t>Sledování objednávek, smluv, závazků, osobních nákladů po zaměstnancích souvisejících minimálně s povinnými identifikátory analytických účtů.</w:t>
            </w:r>
          </w:p>
        </w:tc>
        <w:tc>
          <w:tcPr>
            <w:tcW w:w="119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8</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072DD2">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072DD2">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P</w:t>
            </w:r>
          </w:p>
        </w:tc>
      </w:tr>
      <w:tr w:rsidR="0093037D" w:rsidTr="0093037D">
        <w:trPr>
          <w:cantSplit/>
          <w:trHeight w:val="581"/>
        </w:trPr>
        <w:tc>
          <w:tcPr>
            <w:tcW w:w="903" w:type="dxa"/>
            <w:shd w:val="clear" w:color="auto" w:fill="auto"/>
            <w:vAlign w:val="center"/>
          </w:tcPr>
          <w:p w:rsidR="0093037D" w:rsidRDefault="0093037D" w:rsidP="0093037D">
            <w:pPr>
              <w:jc w:val="center"/>
            </w:pPr>
            <w:r>
              <w:rPr>
                <w:sz w:val="20"/>
                <w:szCs w:val="20"/>
              </w:rPr>
              <w:t>7.5</w:t>
            </w:r>
          </w:p>
        </w:tc>
        <w:tc>
          <w:tcPr>
            <w:tcW w:w="850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r>
              <w:rPr>
                <w:sz w:val="20"/>
                <w:szCs w:val="20"/>
              </w:rPr>
              <w:t xml:space="preserve">Sledování průběžného stavu čerpání (náklady, výnosy, blokace ze smluv, objednávek, osobních nákladů a cestovních příkazů) jednotlivých rozpočtů dle jednotlivých povinných identifikátorů analytických účtů podle nadefinované struktury rozpočtu ve vazbě na plán (limit), disponibilní zůstatek s možností mezisoučtů podle struktury rozpočtu. </w:t>
            </w:r>
          </w:p>
        </w:tc>
        <w:tc>
          <w:tcPr>
            <w:tcW w:w="119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10</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072DD2">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072DD2">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P</w:t>
            </w:r>
          </w:p>
        </w:tc>
      </w:tr>
      <w:tr w:rsidR="0093037D" w:rsidTr="0093037D">
        <w:trPr>
          <w:cantSplit/>
          <w:trHeight w:val="763"/>
        </w:trPr>
        <w:tc>
          <w:tcPr>
            <w:tcW w:w="903" w:type="dxa"/>
            <w:shd w:val="clear" w:color="auto" w:fill="auto"/>
            <w:vAlign w:val="center"/>
          </w:tcPr>
          <w:p w:rsidR="0093037D" w:rsidRDefault="0093037D" w:rsidP="0093037D">
            <w:pPr>
              <w:jc w:val="center"/>
            </w:pPr>
            <w:r>
              <w:rPr>
                <w:sz w:val="20"/>
                <w:szCs w:val="20"/>
              </w:rPr>
              <w:lastRenderedPageBreak/>
              <w:t>7.6</w:t>
            </w:r>
          </w:p>
        </w:tc>
        <w:tc>
          <w:tcPr>
            <w:tcW w:w="850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r>
              <w:rPr>
                <w:sz w:val="20"/>
                <w:szCs w:val="20"/>
              </w:rPr>
              <w:t>Možnost detailního pohledu na agregované údaje a to až na úroveň všech souvisejících prvotních dokladů, včetně jejich zobrazení. Detailní pohled na agregované údaje musí obsahovat minimálně  povinné identifikátory analytických účtů, číslo prvotního dokladu, analytický účet včetně jeho názvu, popis dokladu, částku, dodavatele a datum úhrady. Možnost nadefinování filtru na položky pro výstupní sestavy.</w:t>
            </w:r>
          </w:p>
        </w:tc>
        <w:tc>
          <w:tcPr>
            <w:tcW w:w="119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10</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072DD2">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072DD2">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P</w:t>
            </w:r>
          </w:p>
        </w:tc>
      </w:tr>
      <w:tr w:rsidR="0093037D" w:rsidTr="0093037D">
        <w:trPr>
          <w:cantSplit/>
          <w:trHeight w:val="256"/>
        </w:trPr>
        <w:tc>
          <w:tcPr>
            <w:tcW w:w="903" w:type="dxa"/>
            <w:shd w:val="clear" w:color="auto" w:fill="auto"/>
            <w:vAlign w:val="center"/>
          </w:tcPr>
          <w:p w:rsidR="0093037D" w:rsidRDefault="0093037D" w:rsidP="0093037D">
            <w:pPr>
              <w:jc w:val="center"/>
            </w:pPr>
            <w:r>
              <w:rPr>
                <w:sz w:val="20"/>
                <w:szCs w:val="20"/>
              </w:rPr>
              <w:t>7.7</w:t>
            </w:r>
          </w:p>
        </w:tc>
        <w:tc>
          <w:tcPr>
            <w:tcW w:w="850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r>
              <w:rPr>
                <w:sz w:val="20"/>
                <w:szCs w:val="20"/>
              </w:rPr>
              <w:t>Sledování čerpání rozpočtů v součtu rozpočtů (nadřízených rozpočtů).</w:t>
            </w:r>
          </w:p>
        </w:tc>
        <w:tc>
          <w:tcPr>
            <w:tcW w:w="119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5</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072DD2">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072DD2">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P</w:t>
            </w:r>
          </w:p>
        </w:tc>
      </w:tr>
      <w:tr w:rsidR="0093037D" w:rsidTr="0093037D">
        <w:trPr>
          <w:cantSplit/>
          <w:trHeight w:val="256"/>
        </w:trPr>
        <w:tc>
          <w:tcPr>
            <w:tcW w:w="903" w:type="dxa"/>
            <w:shd w:val="clear" w:color="auto" w:fill="auto"/>
            <w:vAlign w:val="center"/>
          </w:tcPr>
          <w:p w:rsidR="0093037D" w:rsidRDefault="0093037D" w:rsidP="0093037D">
            <w:pPr>
              <w:jc w:val="center"/>
            </w:pPr>
            <w:r>
              <w:rPr>
                <w:sz w:val="20"/>
                <w:szCs w:val="20"/>
              </w:rPr>
              <w:t>7.8</w:t>
            </w:r>
          </w:p>
        </w:tc>
        <w:tc>
          <w:tcPr>
            <w:tcW w:w="8509"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r>
              <w:rPr>
                <w:sz w:val="20"/>
                <w:szCs w:val="20"/>
              </w:rPr>
              <w:t>Sestava pro sledování rozpočtových změn</w:t>
            </w:r>
            <w:r>
              <w:rPr>
                <w:color w:val="000000"/>
                <w:sz w:val="20"/>
                <w:szCs w:val="20"/>
              </w:rPr>
              <w:t xml:space="preserve"> včetně zobrazení provedených změn.</w:t>
            </w:r>
          </w:p>
        </w:tc>
        <w:tc>
          <w:tcPr>
            <w:tcW w:w="119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pPr>
              <w:jc w:val="center"/>
            </w:pPr>
            <w:r>
              <w:rPr>
                <w:sz w:val="20"/>
                <w:szCs w:val="20"/>
              </w:rPr>
              <w:t>7</w:t>
            </w:r>
          </w:p>
        </w:tc>
        <w:tc>
          <w:tcPr>
            <w:tcW w:w="1246"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072DD2">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072DD2">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93037D" w:rsidRDefault="0093037D" w:rsidP="0093037D">
            <w:pPr>
              <w:jc w:val="center"/>
            </w:pPr>
            <w:r>
              <w:rPr>
                <w:sz w:val="20"/>
                <w:szCs w:val="20"/>
              </w:rPr>
              <w:t>R</w:t>
            </w:r>
          </w:p>
        </w:tc>
      </w:tr>
      <w:tr w:rsidR="0093037D" w:rsidTr="0093037D">
        <w:trPr>
          <w:cantSplit/>
          <w:trHeight w:val="256"/>
        </w:trPr>
        <w:tc>
          <w:tcPr>
            <w:tcW w:w="903" w:type="dxa"/>
            <w:shd w:val="clear" w:color="auto" w:fill="auto"/>
            <w:vAlign w:val="center"/>
          </w:tcPr>
          <w:p w:rsidR="0093037D" w:rsidRDefault="0093037D" w:rsidP="0093037D">
            <w:pPr>
              <w:jc w:val="center"/>
            </w:pPr>
            <w:r>
              <w:rPr>
                <w:sz w:val="20"/>
                <w:szCs w:val="20"/>
              </w:rPr>
              <w:t>7.9</w:t>
            </w:r>
          </w:p>
        </w:tc>
        <w:tc>
          <w:tcPr>
            <w:tcW w:w="850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r>
              <w:rPr>
                <w:sz w:val="20"/>
                <w:szCs w:val="20"/>
              </w:rPr>
              <w:t>Přehledy o majetku dle pracoviště, nákladového střediska, umístění, osoby a dalších parametrů.</w:t>
            </w:r>
          </w:p>
        </w:tc>
        <w:tc>
          <w:tcPr>
            <w:tcW w:w="119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5</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072DD2">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072DD2">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P</w:t>
            </w:r>
          </w:p>
        </w:tc>
      </w:tr>
      <w:tr w:rsidR="0093037D" w:rsidTr="0093037D">
        <w:trPr>
          <w:cantSplit/>
          <w:trHeight w:val="256"/>
        </w:trPr>
        <w:tc>
          <w:tcPr>
            <w:tcW w:w="903" w:type="dxa"/>
            <w:shd w:val="clear" w:color="auto" w:fill="auto"/>
            <w:vAlign w:val="center"/>
          </w:tcPr>
          <w:p w:rsidR="0093037D" w:rsidRDefault="0093037D" w:rsidP="0093037D">
            <w:pPr>
              <w:jc w:val="center"/>
            </w:pPr>
            <w:r>
              <w:rPr>
                <w:sz w:val="20"/>
                <w:szCs w:val="20"/>
              </w:rPr>
              <w:t>7.10</w:t>
            </w:r>
          </w:p>
        </w:tc>
        <w:tc>
          <w:tcPr>
            <w:tcW w:w="850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r>
              <w:rPr>
                <w:sz w:val="20"/>
                <w:szCs w:val="20"/>
              </w:rPr>
              <w:t>Sestava pro sledování čerpání mzdových prostředků (minimálně v členění tarifní mzda, osobní příplatek, příplatek za vedení, dovolená, DPP, DPČ, odměny, rizikový příplatek, zákonné odvody, sociální fond, nemocenská, ostatní překážky v práci)  zaměstnanců dle jednotlivých zaměstnanců, období, pracovišť (oddělení), povinných identifikátorů analytických účtů a v jejich kombinaci.</w:t>
            </w:r>
          </w:p>
        </w:tc>
        <w:tc>
          <w:tcPr>
            <w:tcW w:w="119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10</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072DD2">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072DD2">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P</w:t>
            </w:r>
          </w:p>
        </w:tc>
      </w:tr>
      <w:tr w:rsidR="0093037D" w:rsidTr="0093037D">
        <w:trPr>
          <w:cantSplit/>
          <w:trHeight w:val="256"/>
        </w:trPr>
        <w:tc>
          <w:tcPr>
            <w:tcW w:w="903" w:type="dxa"/>
            <w:shd w:val="clear" w:color="auto" w:fill="auto"/>
            <w:vAlign w:val="center"/>
          </w:tcPr>
          <w:p w:rsidR="0093037D" w:rsidRDefault="0093037D" w:rsidP="0093037D">
            <w:pPr>
              <w:jc w:val="center"/>
            </w:pPr>
            <w:r>
              <w:rPr>
                <w:sz w:val="20"/>
                <w:szCs w:val="20"/>
              </w:rPr>
              <w:t>7.11</w:t>
            </w:r>
          </w:p>
        </w:tc>
        <w:tc>
          <w:tcPr>
            <w:tcW w:w="8509"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r>
              <w:rPr>
                <w:sz w:val="20"/>
                <w:szCs w:val="20"/>
              </w:rPr>
              <w:t>Sestava pro modelování (prognóza dopadu úpravy mezd) čerpání mzdových prostředků ve vazbě na konkrétní rozpočet.</w:t>
            </w:r>
          </w:p>
        </w:tc>
        <w:tc>
          <w:tcPr>
            <w:tcW w:w="119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pPr>
              <w:jc w:val="center"/>
            </w:pPr>
            <w:r>
              <w:rPr>
                <w:sz w:val="20"/>
                <w:szCs w:val="20"/>
              </w:rPr>
              <w:t>7</w:t>
            </w:r>
          </w:p>
        </w:tc>
        <w:tc>
          <w:tcPr>
            <w:tcW w:w="1246"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072DD2">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072DD2">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93037D" w:rsidRDefault="0093037D" w:rsidP="0093037D">
            <w:pPr>
              <w:jc w:val="center"/>
            </w:pPr>
            <w:r>
              <w:rPr>
                <w:sz w:val="20"/>
                <w:szCs w:val="20"/>
              </w:rPr>
              <w:t>R</w:t>
            </w:r>
          </w:p>
        </w:tc>
      </w:tr>
      <w:tr w:rsidR="0093037D" w:rsidTr="0093037D">
        <w:trPr>
          <w:cantSplit/>
          <w:trHeight w:val="256"/>
        </w:trPr>
        <w:tc>
          <w:tcPr>
            <w:tcW w:w="903" w:type="dxa"/>
            <w:shd w:val="clear" w:color="auto" w:fill="auto"/>
            <w:vAlign w:val="center"/>
          </w:tcPr>
          <w:p w:rsidR="0093037D" w:rsidRDefault="0093037D" w:rsidP="0093037D">
            <w:pPr>
              <w:jc w:val="center"/>
            </w:pPr>
            <w:r>
              <w:rPr>
                <w:sz w:val="20"/>
                <w:szCs w:val="20"/>
              </w:rPr>
              <w:t>7.12</w:t>
            </w:r>
          </w:p>
        </w:tc>
        <w:tc>
          <w:tcPr>
            <w:tcW w:w="850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r>
              <w:rPr>
                <w:sz w:val="20"/>
                <w:szCs w:val="20"/>
              </w:rPr>
              <w:t>Přehledy schválených nepřítomnosti na pracovišti, kolik jednotliví pracovníci čerpali včetně nevyčerpané dovolené, dle období, nákladových středisek, pracovišť (oddělení).</w:t>
            </w:r>
          </w:p>
        </w:tc>
        <w:tc>
          <w:tcPr>
            <w:tcW w:w="119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6</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072DD2">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072DD2">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P</w:t>
            </w:r>
          </w:p>
        </w:tc>
      </w:tr>
      <w:tr w:rsidR="00D27F66" w:rsidTr="0093037D">
        <w:trPr>
          <w:cantSplit/>
          <w:trHeight w:val="270"/>
        </w:trPr>
        <w:tc>
          <w:tcPr>
            <w:tcW w:w="903" w:type="dxa"/>
            <w:shd w:val="clear" w:color="auto" w:fill="auto"/>
            <w:vAlign w:val="center"/>
          </w:tcPr>
          <w:p w:rsidR="00D27F66" w:rsidRDefault="00D27F66">
            <w:pPr>
              <w:jc w:val="center"/>
              <w:rPr>
                <w:sz w:val="20"/>
                <w:szCs w:val="20"/>
              </w:rPr>
            </w:pPr>
          </w:p>
        </w:tc>
        <w:tc>
          <w:tcPr>
            <w:tcW w:w="13724" w:type="dxa"/>
            <w:gridSpan w:val="5"/>
            <w:shd w:val="clear" w:color="auto" w:fill="auto"/>
            <w:vAlign w:val="center"/>
          </w:tcPr>
          <w:p w:rsidR="00D27F66" w:rsidRDefault="0093037D">
            <w:r>
              <w:rPr>
                <w:b/>
                <w:sz w:val="20"/>
                <w:szCs w:val="20"/>
              </w:rPr>
              <w:t>Plánování zakázek a projektů</w:t>
            </w:r>
          </w:p>
        </w:tc>
      </w:tr>
      <w:tr w:rsidR="0093037D" w:rsidTr="0093037D">
        <w:trPr>
          <w:cantSplit/>
          <w:trHeight w:val="400"/>
        </w:trPr>
        <w:tc>
          <w:tcPr>
            <w:tcW w:w="903" w:type="dxa"/>
            <w:shd w:val="clear" w:color="auto" w:fill="auto"/>
            <w:vAlign w:val="center"/>
          </w:tcPr>
          <w:p w:rsidR="0093037D" w:rsidRDefault="0093037D" w:rsidP="0093037D">
            <w:pPr>
              <w:jc w:val="center"/>
            </w:pPr>
            <w:r>
              <w:rPr>
                <w:sz w:val="20"/>
                <w:szCs w:val="20"/>
              </w:rPr>
              <w:t>7.13</w:t>
            </w:r>
          </w:p>
        </w:tc>
        <w:tc>
          <w:tcPr>
            <w:tcW w:w="8509"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r>
              <w:rPr>
                <w:sz w:val="20"/>
                <w:szCs w:val="20"/>
              </w:rPr>
              <w:t>Evidence týmu zaměstnanců dle výše úvazků ve vazbě na jednotlivé zdroje financování (zakázky/projekty) a čerpání mzdových prostředků na zdroj financování.</w:t>
            </w:r>
          </w:p>
        </w:tc>
        <w:tc>
          <w:tcPr>
            <w:tcW w:w="1190" w:type="dxa"/>
            <w:tcBorders>
              <w:top w:val="single" w:sz="4" w:space="0" w:color="000000"/>
              <w:left w:val="single" w:sz="4" w:space="0" w:color="000000"/>
              <w:bottom w:val="single" w:sz="4" w:space="0" w:color="000000"/>
            </w:tcBorders>
            <w:shd w:val="clear" w:color="auto" w:fill="E6E6FF"/>
            <w:tcMar>
              <w:left w:w="18" w:type="dxa"/>
              <w:right w:w="28" w:type="dxa"/>
            </w:tcMar>
            <w:vAlign w:val="center"/>
          </w:tcPr>
          <w:p w:rsidR="0093037D" w:rsidRDefault="0093037D" w:rsidP="0093037D">
            <w:pPr>
              <w:jc w:val="center"/>
            </w:pPr>
            <w:r>
              <w:rPr>
                <w:sz w:val="20"/>
                <w:szCs w:val="20"/>
              </w:rPr>
              <w:t>8</w:t>
            </w:r>
          </w:p>
        </w:tc>
        <w:tc>
          <w:tcPr>
            <w:tcW w:w="1246"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334A67">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E6E6FF"/>
            <w:tcMar>
              <w:left w:w="18" w:type="dxa"/>
              <w:right w:w="28" w:type="dxa"/>
            </w:tcMar>
          </w:tcPr>
          <w:p w:rsidR="0093037D" w:rsidRDefault="0093037D" w:rsidP="0093037D">
            <w:r w:rsidRPr="00334A67">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E6E6FF"/>
            <w:tcMar>
              <w:left w:w="18" w:type="dxa"/>
              <w:right w:w="28" w:type="dxa"/>
            </w:tcMar>
            <w:vAlign w:val="center"/>
          </w:tcPr>
          <w:p w:rsidR="0093037D" w:rsidRDefault="0093037D" w:rsidP="0093037D">
            <w:pPr>
              <w:jc w:val="center"/>
            </w:pPr>
            <w:r>
              <w:rPr>
                <w:sz w:val="20"/>
                <w:szCs w:val="20"/>
              </w:rPr>
              <w:t>R</w:t>
            </w:r>
          </w:p>
        </w:tc>
      </w:tr>
      <w:tr w:rsidR="0093037D" w:rsidTr="0093037D">
        <w:trPr>
          <w:cantSplit/>
          <w:trHeight w:val="400"/>
        </w:trPr>
        <w:tc>
          <w:tcPr>
            <w:tcW w:w="903" w:type="dxa"/>
            <w:shd w:val="clear" w:color="auto" w:fill="auto"/>
            <w:vAlign w:val="center"/>
          </w:tcPr>
          <w:p w:rsidR="0093037D" w:rsidRDefault="0093037D" w:rsidP="0093037D">
            <w:pPr>
              <w:jc w:val="center"/>
            </w:pPr>
            <w:r>
              <w:rPr>
                <w:sz w:val="20"/>
                <w:szCs w:val="20"/>
              </w:rPr>
              <w:t>7.14</w:t>
            </w:r>
          </w:p>
        </w:tc>
        <w:tc>
          <w:tcPr>
            <w:tcW w:w="850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r>
              <w:rPr>
                <w:color w:val="000000"/>
                <w:sz w:val="20"/>
                <w:szCs w:val="20"/>
              </w:rPr>
              <w:t>Systém umožňuje tvorbu rozpočtů na analytická členění (zakázka, pracoviště, komplexní položka).</w:t>
            </w:r>
          </w:p>
        </w:tc>
        <w:tc>
          <w:tcPr>
            <w:tcW w:w="119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pPr>
              <w:jc w:val="center"/>
            </w:pPr>
            <w:r>
              <w:rPr>
                <w:color w:val="000000"/>
                <w:sz w:val="20"/>
                <w:szCs w:val="20"/>
              </w:rPr>
              <w:t>8</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334A67">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334A67">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93037D" w:rsidRDefault="0093037D" w:rsidP="0093037D">
            <w:pPr>
              <w:jc w:val="center"/>
            </w:pPr>
            <w:r>
              <w:rPr>
                <w:color w:val="000000"/>
                <w:sz w:val="20"/>
                <w:szCs w:val="20"/>
              </w:rPr>
              <w:t>P</w:t>
            </w:r>
          </w:p>
        </w:tc>
      </w:tr>
      <w:tr w:rsidR="0093037D" w:rsidTr="0093037D">
        <w:trPr>
          <w:cantSplit/>
          <w:trHeight w:val="400"/>
        </w:trPr>
        <w:tc>
          <w:tcPr>
            <w:tcW w:w="903" w:type="dxa"/>
            <w:shd w:val="clear" w:color="auto" w:fill="auto"/>
            <w:vAlign w:val="center"/>
          </w:tcPr>
          <w:p w:rsidR="0093037D" w:rsidRDefault="0093037D" w:rsidP="0093037D">
            <w:pPr>
              <w:jc w:val="center"/>
            </w:pPr>
            <w:r>
              <w:rPr>
                <w:sz w:val="20"/>
                <w:szCs w:val="20"/>
              </w:rPr>
              <w:t>7.15</w:t>
            </w:r>
          </w:p>
        </w:tc>
        <w:tc>
          <w:tcPr>
            <w:tcW w:w="850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r>
              <w:rPr>
                <w:color w:val="000000"/>
                <w:sz w:val="20"/>
                <w:szCs w:val="20"/>
              </w:rPr>
              <w:t>Systém umožňuje vykazování projektů, které se skládají ze zakázek jednoho roku nebo zakázek za více let.</w:t>
            </w:r>
          </w:p>
        </w:tc>
        <w:tc>
          <w:tcPr>
            <w:tcW w:w="119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pPr>
              <w:jc w:val="center"/>
            </w:pPr>
            <w:r>
              <w:rPr>
                <w:color w:val="000000"/>
                <w:sz w:val="20"/>
                <w:szCs w:val="20"/>
              </w:rPr>
              <w:t>8</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334A67">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334A67">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93037D" w:rsidRDefault="0093037D" w:rsidP="0093037D">
            <w:pPr>
              <w:jc w:val="center"/>
            </w:pPr>
            <w:r>
              <w:rPr>
                <w:color w:val="000000"/>
                <w:sz w:val="20"/>
                <w:szCs w:val="20"/>
              </w:rPr>
              <w:t>P</w:t>
            </w:r>
          </w:p>
        </w:tc>
      </w:tr>
      <w:tr w:rsidR="0093037D" w:rsidTr="0093037D">
        <w:trPr>
          <w:cantSplit/>
          <w:trHeight w:val="256"/>
        </w:trPr>
        <w:tc>
          <w:tcPr>
            <w:tcW w:w="903" w:type="dxa"/>
            <w:shd w:val="clear" w:color="auto" w:fill="auto"/>
            <w:vAlign w:val="center"/>
          </w:tcPr>
          <w:p w:rsidR="0093037D" w:rsidRDefault="0093037D" w:rsidP="0093037D">
            <w:pPr>
              <w:jc w:val="center"/>
            </w:pPr>
            <w:r>
              <w:rPr>
                <w:sz w:val="20"/>
                <w:szCs w:val="20"/>
              </w:rPr>
              <w:t>7.16</w:t>
            </w:r>
          </w:p>
        </w:tc>
        <w:tc>
          <w:tcPr>
            <w:tcW w:w="850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r>
              <w:rPr>
                <w:sz w:val="20"/>
                <w:szCs w:val="20"/>
              </w:rPr>
              <w:t>Možnost připojení dokumentů ke zdroji financování jako podklad k jejímu založení (grantová smlouva, interní sdělení, ...).</w:t>
            </w:r>
          </w:p>
        </w:tc>
        <w:tc>
          <w:tcPr>
            <w:tcW w:w="119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7</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334A67">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334A67">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P</w:t>
            </w:r>
          </w:p>
        </w:tc>
      </w:tr>
      <w:tr w:rsidR="0093037D" w:rsidTr="0093037D">
        <w:trPr>
          <w:cantSplit/>
          <w:trHeight w:val="2036"/>
        </w:trPr>
        <w:tc>
          <w:tcPr>
            <w:tcW w:w="903" w:type="dxa"/>
            <w:shd w:val="clear" w:color="auto" w:fill="auto"/>
            <w:vAlign w:val="center"/>
          </w:tcPr>
          <w:p w:rsidR="0093037D" w:rsidRDefault="0093037D" w:rsidP="0093037D">
            <w:pPr>
              <w:jc w:val="center"/>
            </w:pPr>
            <w:r>
              <w:rPr>
                <w:sz w:val="20"/>
                <w:szCs w:val="20"/>
              </w:rPr>
              <w:lastRenderedPageBreak/>
              <w:t>7.17</w:t>
            </w:r>
          </w:p>
        </w:tc>
        <w:tc>
          <w:tcPr>
            <w:tcW w:w="850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r>
              <w:rPr>
                <w:sz w:val="20"/>
                <w:szCs w:val="20"/>
              </w:rPr>
              <w:t>Při založení zakázk</w:t>
            </w:r>
            <w:r>
              <w:rPr>
                <w:color w:val="000000"/>
                <w:sz w:val="20"/>
                <w:szCs w:val="20"/>
              </w:rPr>
              <w:t>y/projektu</w:t>
            </w:r>
            <w:r>
              <w:rPr>
                <w:sz w:val="20"/>
                <w:szCs w:val="20"/>
              </w:rPr>
              <w:t xml:space="preserve"> musí být možné zadat informace/parametry, které podpoří vícezdrojové krytí, jako je např.: </w:t>
            </w:r>
            <w:r>
              <w:rPr>
                <w:sz w:val="20"/>
                <w:szCs w:val="20"/>
              </w:rPr>
              <w:br/>
              <w:t>- systémem přidělený identifikátor zakázky/projektu</w:t>
            </w:r>
          </w:p>
          <w:p w:rsidR="0093037D" w:rsidRDefault="0093037D" w:rsidP="0093037D">
            <w:r>
              <w:rPr>
                <w:sz w:val="20"/>
                <w:szCs w:val="20"/>
              </w:rPr>
              <w:t>- název zakázky/projektu</w:t>
            </w:r>
            <w:r>
              <w:rPr>
                <w:sz w:val="20"/>
                <w:szCs w:val="20"/>
              </w:rPr>
              <w:br/>
              <w:t>- typ poskytovatele</w:t>
            </w:r>
            <w:r>
              <w:rPr>
                <w:sz w:val="20"/>
                <w:szCs w:val="20"/>
              </w:rPr>
              <w:br/>
              <w:t xml:space="preserve">- registrační číslo projektu/zakázky </w:t>
            </w:r>
            <w:r>
              <w:rPr>
                <w:sz w:val="20"/>
                <w:szCs w:val="20"/>
              </w:rPr>
              <w:br/>
              <w:t xml:space="preserve">- doba trvání projektu/zakázky od do (měsíc, rok) </w:t>
            </w:r>
            <w:r>
              <w:rPr>
                <w:sz w:val="20"/>
                <w:szCs w:val="20"/>
              </w:rPr>
              <w:br/>
              <w:t>- nákladová střediska</w:t>
            </w:r>
            <w:r>
              <w:rPr>
                <w:sz w:val="20"/>
                <w:szCs w:val="20"/>
              </w:rPr>
              <w:br/>
              <w:t xml:space="preserve">- hlavní řešitel </w:t>
            </w:r>
            <w:r>
              <w:rPr>
                <w:sz w:val="20"/>
                <w:szCs w:val="20"/>
              </w:rPr>
              <w:br/>
              <w:t>- odpovědné osoby (max. 30)</w:t>
            </w:r>
            <w:r>
              <w:rPr>
                <w:sz w:val="20"/>
                <w:szCs w:val="20"/>
              </w:rPr>
              <w:br/>
              <w:t xml:space="preserve">- možnost čerpání mezd </w:t>
            </w:r>
            <w:r>
              <w:rPr>
                <w:sz w:val="20"/>
                <w:szCs w:val="20"/>
              </w:rPr>
              <w:br/>
              <w:t xml:space="preserve">- možnost čerpání investic </w:t>
            </w:r>
            <w:r>
              <w:rPr>
                <w:sz w:val="20"/>
                <w:szCs w:val="20"/>
              </w:rPr>
              <w:br/>
              <w:t>- možnost sledování DPH s/bez nároku na odpočet.</w:t>
            </w:r>
          </w:p>
        </w:tc>
        <w:tc>
          <w:tcPr>
            <w:tcW w:w="119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10</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611EB1">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611EB1">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P</w:t>
            </w:r>
          </w:p>
        </w:tc>
      </w:tr>
      <w:tr w:rsidR="0093037D" w:rsidTr="0093037D">
        <w:trPr>
          <w:cantSplit/>
          <w:trHeight w:val="256"/>
        </w:trPr>
        <w:tc>
          <w:tcPr>
            <w:tcW w:w="903" w:type="dxa"/>
            <w:shd w:val="clear" w:color="auto" w:fill="auto"/>
            <w:vAlign w:val="center"/>
          </w:tcPr>
          <w:p w:rsidR="0093037D" w:rsidRDefault="0093037D" w:rsidP="0093037D">
            <w:pPr>
              <w:jc w:val="center"/>
            </w:pPr>
            <w:r>
              <w:rPr>
                <w:sz w:val="20"/>
                <w:szCs w:val="20"/>
              </w:rPr>
              <w:t>7.18</w:t>
            </w:r>
          </w:p>
        </w:tc>
        <w:tc>
          <w:tcPr>
            <w:tcW w:w="850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r>
              <w:rPr>
                <w:sz w:val="20"/>
                <w:szCs w:val="20"/>
              </w:rPr>
              <w:t>Nadefinování, které analytické účty nejsou pro akci povoleny,</w:t>
            </w:r>
            <w:r>
              <w:rPr>
                <w:color w:val="000000"/>
                <w:sz w:val="20"/>
                <w:szCs w:val="20"/>
              </w:rPr>
              <w:t xml:space="preserve"> možnost definice analytických účtů pro jednotlivé zakázky/projekty. </w:t>
            </w:r>
          </w:p>
        </w:tc>
        <w:tc>
          <w:tcPr>
            <w:tcW w:w="119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10</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611EB1">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611EB1">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P</w:t>
            </w:r>
          </w:p>
        </w:tc>
      </w:tr>
      <w:tr w:rsidR="0093037D" w:rsidTr="0093037D">
        <w:trPr>
          <w:cantSplit/>
          <w:trHeight w:val="581"/>
        </w:trPr>
        <w:tc>
          <w:tcPr>
            <w:tcW w:w="903" w:type="dxa"/>
            <w:shd w:val="clear" w:color="auto" w:fill="auto"/>
            <w:vAlign w:val="center"/>
          </w:tcPr>
          <w:p w:rsidR="0093037D" w:rsidRDefault="0093037D" w:rsidP="0093037D">
            <w:pPr>
              <w:jc w:val="center"/>
            </w:pPr>
            <w:r>
              <w:rPr>
                <w:sz w:val="20"/>
                <w:szCs w:val="20"/>
              </w:rPr>
              <w:t>7.19</w:t>
            </w:r>
          </w:p>
        </w:tc>
        <w:tc>
          <w:tcPr>
            <w:tcW w:w="8509"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r>
              <w:rPr>
                <w:sz w:val="20"/>
                <w:szCs w:val="20"/>
              </w:rPr>
              <w:t xml:space="preserve">Všechny výstupy spojené se zdrojem nebo skupinou zdrojů financování musí být filtrovatelné podle jednoho nebo kombinace více parametrů. Výstupy musí mít zaveden export do MS Excel, případně do MS Wordu a Adobe Acrobatu (.pdf). </w:t>
            </w:r>
          </w:p>
        </w:tc>
        <w:tc>
          <w:tcPr>
            <w:tcW w:w="1190" w:type="dxa"/>
            <w:tcBorders>
              <w:top w:val="single" w:sz="4" w:space="0" w:color="000000"/>
              <w:left w:val="single" w:sz="4" w:space="0" w:color="000000"/>
              <w:bottom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8</w:t>
            </w:r>
          </w:p>
        </w:tc>
        <w:tc>
          <w:tcPr>
            <w:tcW w:w="1246"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611EB1">
              <w:rPr>
                <w:i/>
                <w:sz w:val="20"/>
                <w:szCs w:val="20"/>
                <w:highlight w:val="black"/>
              </w:rPr>
              <w:t>vyplní uch.</w:t>
            </w:r>
          </w:p>
        </w:tc>
        <w:tc>
          <w:tcPr>
            <w:tcW w:w="1418" w:type="dxa"/>
            <w:tcBorders>
              <w:top w:val="single" w:sz="4" w:space="0" w:color="000000"/>
              <w:left w:val="single" w:sz="4" w:space="0" w:color="000000"/>
              <w:bottom w:val="single" w:sz="4" w:space="0" w:color="000000"/>
            </w:tcBorders>
            <w:shd w:val="clear" w:color="auto" w:fill="auto"/>
            <w:tcMar>
              <w:left w:w="18" w:type="dxa"/>
              <w:right w:w="28" w:type="dxa"/>
            </w:tcMar>
          </w:tcPr>
          <w:p w:rsidR="0093037D" w:rsidRDefault="0093037D" w:rsidP="0093037D">
            <w:r w:rsidRPr="00611EB1">
              <w:rPr>
                <w:i/>
                <w:sz w:val="20"/>
                <w:szCs w:val="20"/>
                <w:highlight w:val="black"/>
              </w:rPr>
              <w:t>vyplní uch.</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18" w:type="dxa"/>
              <w:right w:w="28" w:type="dxa"/>
            </w:tcMar>
            <w:vAlign w:val="center"/>
          </w:tcPr>
          <w:p w:rsidR="0093037D" w:rsidRDefault="0093037D" w:rsidP="0093037D">
            <w:pPr>
              <w:jc w:val="center"/>
            </w:pPr>
            <w:r>
              <w:rPr>
                <w:sz w:val="20"/>
                <w:szCs w:val="20"/>
              </w:rPr>
              <w:t>P</w:t>
            </w:r>
          </w:p>
        </w:tc>
      </w:tr>
    </w:tbl>
    <w:p w:rsidR="00D27F66" w:rsidRDefault="0093037D">
      <w:pPr>
        <w:rPr>
          <w:b/>
          <w:bCs/>
          <w:sz w:val="24"/>
        </w:rPr>
      </w:pPr>
      <w:r>
        <w:br w:type="page"/>
      </w:r>
    </w:p>
    <w:p w:rsidR="00D27F66" w:rsidRDefault="0093037D">
      <w:pPr>
        <w:spacing w:after="170"/>
        <w:rPr>
          <w:sz w:val="28"/>
          <w:szCs w:val="28"/>
        </w:rPr>
      </w:pPr>
      <w:r>
        <w:rPr>
          <w:b/>
          <w:sz w:val="28"/>
          <w:szCs w:val="28"/>
        </w:rPr>
        <w:lastRenderedPageBreak/>
        <w:t>Workflow</w:t>
      </w:r>
    </w:p>
    <w:p w:rsidR="00D27F66" w:rsidRDefault="0093037D">
      <w:r>
        <w:rPr>
          <w:b/>
          <w:bCs/>
          <w:color w:val="000000"/>
          <w:sz w:val="24"/>
        </w:rPr>
        <w:t>Objednávky</w:t>
      </w:r>
    </w:p>
    <w:tbl>
      <w:tblPr>
        <w:tblW w:w="14571" w:type="dxa"/>
        <w:tblInd w:w="-3" w:type="dxa"/>
        <w:tblCellMar>
          <w:top w:w="57" w:type="dxa"/>
          <w:left w:w="46" w:type="dxa"/>
          <w:bottom w:w="57" w:type="dxa"/>
          <w:right w:w="57" w:type="dxa"/>
        </w:tblCellMar>
        <w:tblLook w:val="0000" w:firstRow="0" w:lastRow="0" w:firstColumn="0" w:lastColumn="0" w:noHBand="0" w:noVBand="0"/>
      </w:tblPr>
      <w:tblGrid>
        <w:gridCol w:w="2602"/>
        <w:gridCol w:w="1469"/>
        <w:gridCol w:w="7373"/>
        <w:gridCol w:w="1696"/>
        <w:gridCol w:w="1431"/>
      </w:tblGrid>
      <w:tr w:rsidR="00D27F66">
        <w:trPr>
          <w:cantSplit/>
          <w:tblHeader/>
        </w:trPr>
        <w:tc>
          <w:tcPr>
            <w:tcW w:w="2602" w:type="dxa"/>
            <w:tcBorders>
              <w:top w:val="single" w:sz="2" w:space="0" w:color="000001"/>
              <w:left w:val="single" w:sz="2" w:space="0" w:color="000001"/>
              <w:bottom w:val="single" w:sz="2" w:space="0" w:color="000001"/>
            </w:tcBorders>
            <w:shd w:val="clear" w:color="auto" w:fill="E6E6E6"/>
            <w:vAlign w:val="center"/>
          </w:tcPr>
          <w:p w:rsidR="00D27F66" w:rsidRDefault="0093037D">
            <w:pPr>
              <w:pStyle w:val="Obsahtabulky"/>
            </w:pPr>
            <w:r>
              <w:rPr>
                <w:rFonts w:cs="Calibri"/>
                <w:b/>
                <w:bCs/>
                <w:szCs w:val="20"/>
              </w:rPr>
              <w:t>Činnost</w:t>
            </w:r>
          </w:p>
        </w:tc>
        <w:tc>
          <w:tcPr>
            <w:tcW w:w="1469" w:type="dxa"/>
            <w:tcBorders>
              <w:top w:val="single" w:sz="2" w:space="0" w:color="000001"/>
              <w:left w:val="single" w:sz="2" w:space="0" w:color="000001"/>
              <w:bottom w:val="single" w:sz="2" w:space="0" w:color="000001"/>
            </w:tcBorders>
            <w:shd w:val="clear" w:color="auto" w:fill="E6E6E6"/>
            <w:vAlign w:val="center"/>
          </w:tcPr>
          <w:p w:rsidR="00D27F66" w:rsidRDefault="0093037D">
            <w:pPr>
              <w:pStyle w:val="Obsahtabulky"/>
              <w:ind w:left="57"/>
            </w:pPr>
            <w:r>
              <w:rPr>
                <w:rFonts w:cs="Calibri"/>
                <w:b/>
                <w:bCs/>
                <w:szCs w:val="20"/>
              </w:rPr>
              <w:t>Vstup</w:t>
            </w:r>
          </w:p>
        </w:tc>
        <w:tc>
          <w:tcPr>
            <w:tcW w:w="7373" w:type="dxa"/>
            <w:tcBorders>
              <w:top w:val="single" w:sz="2" w:space="0" w:color="000001"/>
              <w:left w:val="single" w:sz="2" w:space="0" w:color="000001"/>
              <w:bottom w:val="single" w:sz="2" w:space="0" w:color="000001"/>
            </w:tcBorders>
            <w:shd w:val="clear" w:color="auto" w:fill="E6E6E6"/>
            <w:vAlign w:val="center"/>
          </w:tcPr>
          <w:p w:rsidR="00D27F66" w:rsidRDefault="0093037D">
            <w:pPr>
              <w:pStyle w:val="Obsahtabulky"/>
              <w:ind w:left="57"/>
            </w:pPr>
            <w:r>
              <w:rPr>
                <w:rFonts w:cs="Calibri"/>
                <w:b/>
                <w:bCs/>
                <w:szCs w:val="20"/>
              </w:rPr>
              <w:t>Popis</w:t>
            </w:r>
            <w:r>
              <w:rPr>
                <w:rFonts w:cs="Calibri"/>
                <w:b/>
                <w:bCs/>
                <w:color w:val="333333"/>
                <w:szCs w:val="20"/>
              </w:rPr>
              <w:t xml:space="preserve"> činnosti</w:t>
            </w:r>
          </w:p>
        </w:tc>
        <w:tc>
          <w:tcPr>
            <w:tcW w:w="1696" w:type="dxa"/>
            <w:tcBorders>
              <w:top w:val="single" w:sz="2" w:space="0" w:color="000001"/>
              <w:left w:val="single" w:sz="2" w:space="0" w:color="000001"/>
              <w:bottom w:val="single" w:sz="2" w:space="0" w:color="000001"/>
            </w:tcBorders>
            <w:shd w:val="clear" w:color="auto" w:fill="E6E6E6"/>
            <w:vAlign w:val="center"/>
          </w:tcPr>
          <w:p w:rsidR="00D27F66" w:rsidRDefault="0093037D">
            <w:pPr>
              <w:pStyle w:val="Obsahtabulky"/>
              <w:ind w:left="57"/>
            </w:pPr>
            <w:r>
              <w:rPr>
                <w:rFonts w:cs="Calibri"/>
                <w:b/>
                <w:bCs/>
                <w:szCs w:val="20"/>
              </w:rPr>
              <w:t>Výstup (mezivýstup)</w:t>
            </w:r>
          </w:p>
        </w:tc>
        <w:tc>
          <w:tcPr>
            <w:tcW w:w="1431" w:type="dxa"/>
            <w:tcBorders>
              <w:top w:val="single" w:sz="2" w:space="0" w:color="000001"/>
              <w:left w:val="single" w:sz="2" w:space="0" w:color="000001"/>
              <w:bottom w:val="single" w:sz="2" w:space="0" w:color="000001"/>
              <w:right w:val="single" w:sz="2" w:space="0" w:color="000001"/>
            </w:tcBorders>
            <w:shd w:val="clear" w:color="auto" w:fill="E6E6E6"/>
            <w:vAlign w:val="center"/>
          </w:tcPr>
          <w:p w:rsidR="00D27F66" w:rsidRDefault="0093037D">
            <w:pPr>
              <w:pStyle w:val="Obsahtabulky"/>
              <w:ind w:left="57"/>
            </w:pPr>
            <w:r>
              <w:rPr>
                <w:rFonts w:cs="Calibri"/>
                <w:b/>
                <w:bCs/>
                <w:szCs w:val="20"/>
              </w:rPr>
              <w:t>Provádí</w:t>
            </w:r>
          </w:p>
        </w:tc>
      </w:tr>
      <w:tr w:rsidR="00D27F66">
        <w:trPr>
          <w:cantSplit/>
        </w:trPr>
        <w:tc>
          <w:tcPr>
            <w:tcW w:w="2602"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1. Vytvoření žádanky</w:t>
            </w:r>
          </w:p>
        </w:tc>
        <w:tc>
          <w:tcPr>
            <w:tcW w:w="1469"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potřeba nákupu</w:t>
            </w:r>
          </w:p>
        </w:tc>
        <w:tc>
          <w:tcPr>
            <w:tcW w:w="7373" w:type="dxa"/>
            <w:tcBorders>
              <w:top w:val="single" w:sz="2" w:space="0" w:color="000001"/>
              <w:left w:val="single" w:sz="2" w:space="0" w:color="000001"/>
              <w:bottom w:val="single" w:sz="2" w:space="0" w:color="000001"/>
            </w:tcBorders>
            <w:shd w:val="clear" w:color="auto" w:fill="auto"/>
          </w:tcPr>
          <w:p w:rsidR="00D27F66" w:rsidRDefault="0093037D">
            <w:pPr>
              <w:pStyle w:val="Normlnweb"/>
              <w:spacing w:before="0" w:after="0" w:line="240" w:lineRule="auto"/>
            </w:pPr>
            <w:r>
              <w:rPr>
                <w:rFonts w:ascii="Calibri" w:hAnsi="Calibri"/>
              </w:rPr>
              <w:t>V informačním systému žadatel založí žádanku, systém vygeneruje číslo žádanky (pro identifikaci a dohledávání žádanky).</w:t>
            </w:r>
          </w:p>
          <w:p w:rsidR="00D27F66" w:rsidRDefault="0093037D">
            <w:pPr>
              <w:pStyle w:val="Normlnweb"/>
              <w:spacing w:before="0" w:after="0" w:line="240" w:lineRule="auto"/>
            </w:pPr>
            <w:r>
              <w:rPr>
                <w:rFonts w:ascii="Calibri" w:hAnsi="Calibri"/>
                <w:bCs/>
                <w:color w:val="000000"/>
                <w:highlight w:val="white"/>
              </w:rPr>
              <w:t xml:space="preserve">Žadatel určí zdroj (zdroje), ze kterého bude potřeba hrazena. Tím je vymezen okruh schvalovatelů a druh žádanky (investice, neinvestiční - provozní). </w:t>
            </w:r>
          </w:p>
          <w:p w:rsidR="00D27F66" w:rsidRDefault="0093037D">
            <w:pPr>
              <w:pStyle w:val="Normlnweb"/>
              <w:spacing w:before="0" w:after="0" w:line="240" w:lineRule="auto"/>
            </w:pPr>
            <w:r>
              <w:rPr>
                <w:rFonts w:ascii="Calibri" w:hAnsi="Calibri"/>
                <w:bCs/>
                <w:color w:val="000000"/>
                <w:highlight w:val="white"/>
              </w:rPr>
              <w:t>V žádance je uvedeno zdrojové krytí a přiložena dokumentace, pokud je požadovaná směrnicí o veřejných zakázkách.</w:t>
            </w:r>
          </w:p>
        </w:tc>
        <w:tc>
          <w:tcPr>
            <w:tcW w:w="1696"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žádanka (vyplněná)</w:t>
            </w:r>
          </w:p>
        </w:tc>
        <w:tc>
          <w:tcPr>
            <w:tcW w:w="1431"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Obsahtabulky"/>
            </w:pPr>
            <w:r>
              <w:rPr>
                <w:rFonts w:ascii="Calibri" w:hAnsi="Calibri" w:cs="Calibri"/>
                <w:sz w:val="20"/>
                <w:szCs w:val="20"/>
              </w:rPr>
              <w:t>ž</w:t>
            </w:r>
            <w:r>
              <w:rPr>
                <w:rFonts w:ascii="Calibri" w:hAnsi="Calibri" w:cs="Times New Roman"/>
                <w:sz w:val="20"/>
                <w:szCs w:val="20"/>
              </w:rPr>
              <w:t>adatel</w:t>
            </w:r>
          </w:p>
        </w:tc>
      </w:tr>
      <w:tr w:rsidR="00D27F66">
        <w:trPr>
          <w:cantSplit/>
        </w:trPr>
        <w:tc>
          <w:tcPr>
            <w:tcW w:w="2602" w:type="dxa"/>
            <w:tcBorders>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2. Posouzení THS</w:t>
            </w:r>
          </w:p>
        </w:tc>
        <w:tc>
          <w:tcPr>
            <w:tcW w:w="1469" w:type="dxa"/>
            <w:tcBorders>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žádanka</w:t>
            </w:r>
          </w:p>
          <w:p w:rsidR="00D27F66" w:rsidRDefault="0093037D">
            <w:pPr>
              <w:pStyle w:val="Obsahtabulky"/>
            </w:pPr>
            <w:r>
              <w:rPr>
                <w:rFonts w:ascii="Calibri" w:hAnsi="Calibri" w:cs="Times New Roman"/>
                <w:sz w:val="20"/>
                <w:szCs w:val="20"/>
              </w:rPr>
              <w:t>(vyplněná)</w:t>
            </w:r>
          </w:p>
          <w:p w:rsidR="00D27F66" w:rsidRDefault="0093037D">
            <w:pPr>
              <w:pStyle w:val="Obsahtabulky"/>
            </w:pPr>
            <w:r>
              <w:rPr>
                <w:rFonts w:ascii="Calibri" w:hAnsi="Calibri" w:cs="Times New Roman"/>
                <w:sz w:val="20"/>
                <w:szCs w:val="20"/>
              </w:rPr>
              <w:t>dokumentace výběrového řízení</w:t>
            </w:r>
          </w:p>
        </w:tc>
        <w:tc>
          <w:tcPr>
            <w:tcW w:w="7373" w:type="dxa"/>
            <w:tcBorders>
              <w:left w:val="single" w:sz="2" w:space="0" w:color="000001"/>
              <w:bottom w:val="single" w:sz="2" w:space="0" w:color="000001"/>
            </w:tcBorders>
            <w:shd w:val="clear" w:color="auto" w:fill="auto"/>
          </w:tcPr>
          <w:p w:rsidR="00D27F66" w:rsidRDefault="0093037D">
            <w:pPr>
              <w:pStyle w:val="Normlnweb"/>
              <w:spacing w:before="0" w:after="0" w:line="240" w:lineRule="auto"/>
            </w:pPr>
            <w:r>
              <w:rPr>
                <w:rFonts w:ascii="Calibri" w:hAnsi="Calibri"/>
              </w:rPr>
              <w:t>Krok se provádí v případě, že se jedná o žádanky nad zadaný parametr (dnes 40 tis. Kč s DPH).</w:t>
            </w:r>
          </w:p>
          <w:p w:rsidR="00D27F66" w:rsidRDefault="0093037D">
            <w:pPr>
              <w:pStyle w:val="Normlnweb"/>
              <w:spacing w:before="0" w:after="0" w:line="240" w:lineRule="auto"/>
            </w:pPr>
            <w:r>
              <w:rPr>
                <w:rFonts w:ascii="Calibri" w:hAnsi="Calibri"/>
              </w:rPr>
              <w:t xml:space="preserve">Pokud je třeba řešit nákup v rámci veřejné zakázky, je ověřeno, zda je doložena dokumentace podle směrnice o veřejných zakázkách. </w:t>
            </w:r>
          </w:p>
          <w:p w:rsidR="00D27F66" w:rsidRDefault="0093037D">
            <w:pPr>
              <w:pStyle w:val="Normlnweb"/>
              <w:spacing w:before="0" w:after="0" w:line="240" w:lineRule="auto"/>
            </w:pPr>
            <w:r>
              <w:rPr>
                <w:rFonts w:ascii="Calibri" w:hAnsi="Calibri"/>
              </w:rPr>
              <w:t>THS ověří, zda je správně nákup zařazen mezi investici či se jedná o neinvestiční nákup.</w:t>
            </w:r>
          </w:p>
          <w:p w:rsidR="00D27F66" w:rsidRDefault="0093037D">
            <w:pPr>
              <w:pStyle w:val="Normlnweb"/>
              <w:spacing w:before="0" w:after="0" w:line="240" w:lineRule="auto"/>
            </w:pPr>
            <w:r>
              <w:rPr>
                <w:rFonts w:ascii="Calibri" w:hAnsi="Calibri"/>
              </w:rPr>
              <w:t xml:space="preserve">Pokud jsou v žádance nalezeny nesrovnalosti, které nemůže vedoucí THS doplnit či opravit, vrátí žádanku žadateli do kroku 1. </w:t>
            </w:r>
            <w:r>
              <w:rPr>
                <w:rFonts w:ascii="Calibri" w:hAnsi="Calibri"/>
                <w:i/>
                <w:iCs/>
              </w:rPr>
              <w:t>Vytvoření žádanky</w:t>
            </w:r>
            <w:r>
              <w:rPr>
                <w:rFonts w:ascii="Calibri" w:hAnsi="Calibri"/>
              </w:rPr>
              <w:t>.</w:t>
            </w:r>
          </w:p>
        </w:tc>
        <w:tc>
          <w:tcPr>
            <w:tcW w:w="1696" w:type="dxa"/>
            <w:tcBorders>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 xml:space="preserve">žádanka </w:t>
            </w:r>
          </w:p>
          <w:p w:rsidR="00D27F66" w:rsidRDefault="0093037D">
            <w:pPr>
              <w:pStyle w:val="Obsahtabulky"/>
            </w:pPr>
            <w:r>
              <w:rPr>
                <w:rFonts w:ascii="Calibri" w:hAnsi="Calibri" w:cs="Times New Roman"/>
                <w:sz w:val="20"/>
                <w:szCs w:val="20"/>
              </w:rPr>
              <w:t>(schválená THS)</w:t>
            </w:r>
          </w:p>
        </w:tc>
        <w:tc>
          <w:tcPr>
            <w:tcW w:w="1431" w:type="dxa"/>
            <w:tcBorders>
              <w:left w:val="single" w:sz="2" w:space="0" w:color="000001"/>
              <w:bottom w:val="single" w:sz="2" w:space="0" w:color="000001"/>
              <w:right w:val="single" w:sz="2" w:space="0" w:color="000001"/>
            </w:tcBorders>
            <w:shd w:val="clear" w:color="auto" w:fill="auto"/>
          </w:tcPr>
          <w:p w:rsidR="00D27F66" w:rsidRDefault="0093037D">
            <w:pPr>
              <w:pStyle w:val="Obsahtabulky"/>
            </w:pPr>
            <w:r>
              <w:rPr>
                <w:rFonts w:ascii="Calibri" w:hAnsi="Calibri"/>
                <w:sz w:val="20"/>
                <w:szCs w:val="20"/>
              </w:rPr>
              <w:t>vedoucí THS</w:t>
            </w:r>
          </w:p>
        </w:tc>
      </w:tr>
      <w:tr w:rsidR="00D27F66">
        <w:trPr>
          <w:cantSplit/>
        </w:trPr>
        <w:tc>
          <w:tcPr>
            <w:tcW w:w="2602"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3. Schválení příkazcem</w:t>
            </w:r>
          </w:p>
        </w:tc>
        <w:tc>
          <w:tcPr>
            <w:tcW w:w="1469"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žádanka</w:t>
            </w:r>
          </w:p>
          <w:p w:rsidR="00D27F66" w:rsidRDefault="0093037D">
            <w:pPr>
              <w:pStyle w:val="Obsahtabulky"/>
            </w:pPr>
            <w:r>
              <w:rPr>
                <w:rFonts w:ascii="Calibri" w:hAnsi="Calibri" w:cs="Times New Roman"/>
                <w:sz w:val="20"/>
                <w:szCs w:val="20"/>
              </w:rPr>
              <w:t>(vyplněná)</w:t>
            </w:r>
          </w:p>
        </w:tc>
        <w:tc>
          <w:tcPr>
            <w:tcW w:w="7373"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bCs/>
                <w:color w:val="000000"/>
                <w:sz w:val="20"/>
                <w:szCs w:val="20"/>
                <w:highlight w:val="white"/>
              </w:rPr>
              <w:t>Příkazce provede schválení žádanky ve věcné rovině.</w:t>
            </w:r>
          </w:p>
          <w:p w:rsidR="00D27F66" w:rsidRDefault="0093037D">
            <w:pPr>
              <w:pStyle w:val="Obsahtabulky"/>
            </w:pPr>
            <w:r>
              <w:rPr>
                <w:rFonts w:ascii="Calibri" w:hAnsi="Calibri" w:cs="Times New Roman"/>
                <w:bCs/>
                <w:color w:val="000000"/>
                <w:sz w:val="20"/>
                <w:szCs w:val="20"/>
                <w:highlight w:val="white"/>
              </w:rPr>
              <w:t>Příkazce může žádanku:</w:t>
            </w:r>
          </w:p>
          <w:p w:rsidR="00D27F66" w:rsidRDefault="0093037D">
            <w:pPr>
              <w:pStyle w:val="Obsahtabulky"/>
              <w:numPr>
                <w:ilvl w:val="0"/>
                <w:numId w:val="2"/>
              </w:numPr>
            </w:pPr>
            <w:r>
              <w:rPr>
                <w:rFonts w:ascii="Calibri" w:hAnsi="Calibri" w:cs="Times New Roman"/>
                <w:bCs/>
                <w:color w:val="000000"/>
                <w:sz w:val="20"/>
                <w:szCs w:val="20"/>
                <w:highlight w:val="white"/>
              </w:rPr>
              <w:t>schválit/neschválit</w:t>
            </w:r>
          </w:p>
          <w:p w:rsidR="00D27F66" w:rsidRDefault="0093037D">
            <w:pPr>
              <w:pStyle w:val="Obsahtabulky"/>
              <w:numPr>
                <w:ilvl w:val="0"/>
                <w:numId w:val="2"/>
              </w:numPr>
            </w:pPr>
            <w:r>
              <w:rPr>
                <w:rFonts w:ascii="Calibri" w:hAnsi="Calibri" w:cs="Times New Roman"/>
                <w:bCs/>
                <w:color w:val="000000"/>
                <w:sz w:val="20"/>
                <w:szCs w:val="20"/>
                <w:highlight w:val="white"/>
              </w:rPr>
              <w:t>vyžádat si před schválením konzultaci</w:t>
            </w:r>
          </w:p>
          <w:p w:rsidR="00D27F66" w:rsidRDefault="0093037D">
            <w:pPr>
              <w:pStyle w:val="Obsahtabulky"/>
              <w:numPr>
                <w:ilvl w:val="0"/>
                <w:numId w:val="2"/>
              </w:numPr>
            </w:pPr>
            <w:r>
              <w:rPr>
                <w:rFonts w:ascii="Calibri" w:hAnsi="Calibri" w:cs="Times New Roman"/>
                <w:bCs/>
                <w:color w:val="000000"/>
                <w:sz w:val="20"/>
                <w:szCs w:val="20"/>
                <w:highlight w:val="white"/>
              </w:rPr>
              <w:t>přesměrovat schválení na jiného příkazce (v tomto případě je novému příkazci zaslána notifikace).</w:t>
            </w:r>
          </w:p>
          <w:p w:rsidR="00D27F66" w:rsidRDefault="0093037D">
            <w:pPr>
              <w:pStyle w:val="Obsahtabulky"/>
            </w:pPr>
            <w:r>
              <w:rPr>
                <w:rFonts w:ascii="Calibri" w:hAnsi="Calibri" w:cs="Times New Roman"/>
                <w:bCs/>
                <w:color w:val="000000"/>
                <w:sz w:val="20"/>
                <w:szCs w:val="20"/>
                <w:highlight w:val="white"/>
              </w:rPr>
              <w:t>Příkazce může žádanku doplnit, změnit, upravit zdroj (zdrojové krytí).</w:t>
            </w:r>
          </w:p>
          <w:p w:rsidR="00D27F66" w:rsidRDefault="0093037D">
            <w:pPr>
              <w:pStyle w:val="Obsahtabulky"/>
            </w:pPr>
            <w:r>
              <w:rPr>
                <w:rFonts w:ascii="Calibri" w:hAnsi="Calibri" w:cs="Times New Roman"/>
                <w:bCs/>
                <w:color w:val="000000"/>
                <w:sz w:val="20"/>
                <w:szCs w:val="20"/>
                <w:highlight w:val="white"/>
              </w:rPr>
              <w:t xml:space="preserve">V případě, že objednávku neschválí, vrátí ji žadateli do kroku 1. </w:t>
            </w:r>
            <w:r>
              <w:rPr>
                <w:rFonts w:ascii="Calibri" w:hAnsi="Calibri" w:cs="Times New Roman"/>
                <w:bCs/>
                <w:i/>
                <w:iCs/>
                <w:color w:val="000000"/>
                <w:sz w:val="20"/>
                <w:szCs w:val="20"/>
                <w:highlight w:val="white"/>
              </w:rPr>
              <w:t>Vytvoření žádanky</w:t>
            </w:r>
            <w:r>
              <w:rPr>
                <w:rFonts w:ascii="Calibri" w:hAnsi="Calibri" w:cs="Times New Roman"/>
                <w:bCs/>
                <w:color w:val="000000"/>
                <w:sz w:val="20"/>
                <w:szCs w:val="20"/>
                <w:highlight w:val="white"/>
              </w:rPr>
              <w:t>.</w:t>
            </w:r>
          </w:p>
        </w:tc>
        <w:tc>
          <w:tcPr>
            <w:tcW w:w="1696"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 xml:space="preserve">žádanka </w:t>
            </w:r>
          </w:p>
          <w:p w:rsidR="00D27F66" w:rsidRDefault="0093037D">
            <w:pPr>
              <w:pStyle w:val="Obsahtabulky"/>
            </w:pPr>
            <w:bookmarkStart w:id="2" w:name="__DdeLink__111353_21090967062"/>
            <w:r>
              <w:rPr>
                <w:rFonts w:ascii="Calibri" w:hAnsi="Calibri" w:cs="Times New Roman"/>
                <w:sz w:val="20"/>
                <w:szCs w:val="20"/>
              </w:rPr>
              <w:t>(schválená příkazcem)</w:t>
            </w:r>
            <w:bookmarkEnd w:id="2"/>
          </w:p>
        </w:tc>
        <w:tc>
          <w:tcPr>
            <w:tcW w:w="1431"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Obsahtabulky"/>
            </w:pPr>
            <w:r>
              <w:rPr>
                <w:rFonts w:ascii="Calibri" w:hAnsi="Calibri" w:cs="Calibri"/>
                <w:sz w:val="20"/>
                <w:szCs w:val="20"/>
              </w:rPr>
              <w:t>příkazce</w:t>
            </w:r>
          </w:p>
        </w:tc>
      </w:tr>
      <w:tr w:rsidR="00D27F66">
        <w:trPr>
          <w:cantSplit/>
        </w:trPr>
        <w:tc>
          <w:tcPr>
            <w:tcW w:w="2602"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4. Schválení správcem</w:t>
            </w:r>
          </w:p>
        </w:tc>
        <w:tc>
          <w:tcPr>
            <w:tcW w:w="1469"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 xml:space="preserve">žádanka </w:t>
            </w:r>
          </w:p>
          <w:p w:rsidR="00D27F66" w:rsidRDefault="0093037D">
            <w:pPr>
              <w:pStyle w:val="Obsahtabulky"/>
            </w:pPr>
            <w:bookmarkStart w:id="3" w:name="__DdeLink__111353_210909670611"/>
            <w:r>
              <w:rPr>
                <w:rFonts w:ascii="Calibri" w:hAnsi="Calibri" w:cs="Times New Roman"/>
                <w:sz w:val="20"/>
                <w:szCs w:val="20"/>
              </w:rPr>
              <w:t>(schválená příkazcem)</w:t>
            </w:r>
            <w:bookmarkEnd w:id="3"/>
          </w:p>
        </w:tc>
        <w:tc>
          <w:tcPr>
            <w:tcW w:w="7373"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bCs/>
                <w:color w:val="000000"/>
                <w:sz w:val="20"/>
                <w:szCs w:val="20"/>
                <w:highlight w:val="white"/>
              </w:rPr>
              <w:t>Správce rozpočtu provede kontrolu na alokovaný rozpočet. Správce může žádanku převést na jiný úkol ve své působnosti (kde je správcem zdroje). Po schválení správcem systém přidělí číslo objednávky.</w:t>
            </w:r>
          </w:p>
          <w:p w:rsidR="00D27F66" w:rsidRDefault="0093037D">
            <w:pPr>
              <w:pStyle w:val="Obsahtabulky"/>
            </w:pPr>
            <w:r>
              <w:rPr>
                <w:rFonts w:ascii="Calibri" w:hAnsi="Calibri" w:cs="Times New Roman"/>
                <w:bCs/>
                <w:color w:val="000000"/>
                <w:sz w:val="20"/>
                <w:szCs w:val="20"/>
                <w:highlight w:val="white"/>
              </w:rPr>
              <w:t>Správce může žádanku doplnit, změnit, upravit zdroj (zdrojové krytí).</w:t>
            </w:r>
          </w:p>
          <w:p w:rsidR="00D27F66" w:rsidRDefault="0093037D">
            <w:pPr>
              <w:pStyle w:val="Obsahtabulky"/>
            </w:pPr>
            <w:r>
              <w:rPr>
                <w:rFonts w:ascii="Calibri" w:hAnsi="Calibri" w:cs="Times New Roman"/>
                <w:bCs/>
                <w:color w:val="000000"/>
                <w:sz w:val="20"/>
                <w:szCs w:val="20"/>
                <w:highlight w:val="white"/>
              </w:rPr>
              <w:t xml:space="preserve">Pokud správce žádanku neschválí, vrací se zpět příkazci do kroku 3. </w:t>
            </w:r>
            <w:r>
              <w:rPr>
                <w:rFonts w:ascii="Calibri" w:hAnsi="Calibri" w:cs="Times New Roman"/>
                <w:bCs/>
                <w:i/>
                <w:iCs/>
                <w:color w:val="000000"/>
                <w:sz w:val="20"/>
                <w:szCs w:val="20"/>
                <w:highlight w:val="white"/>
              </w:rPr>
              <w:t>Schválení příkazcem</w:t>
            </w:r>
            <w:r>
              <w:rPr>
                <w:rFonts w:ascii="Calibri" w:hAnsi="Calibri" w:cs="Times New Roman"/>
                <w:bCs/>
                <w:color w:val="000000"/>
                <w:sz w:val="20"/>
                <w:szCs w:val="20"/>
                <w:highlight w:val="white"/>
              </w:rPr>
              <w:t>.</w:t>
            </w:r>
          </w:p>
        </w:tc>
        <w:tc>
          <w:tcPr>
            <w:tcW w:w="1696"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 xml:space="preserve">žádanka </w:t>
            </w:r>
          </w:p>
          <w:p w:rsidR="00D27F66" w:rsidRDefault="0093037D">
            <w:pPr>
              <w:pStyle w:val="Obsahtabulky"/>
            </w:pPr>
            <w:r>
              <w:rPr>
                <w:rFonts w:ascii="Calibri" w:hAnsi="Calibri" w:cs="Times New Roman"/>
                <w:sz w:val="20"/>
                <w:szCs w:val="20"/>
              </w:rPr>
              <w:t>(schválená správcem)</w:t>
            </w:r>
          </w:p>
        </w:tc>
        <w:tc>
          <w:tcPr>
            <w:tcW w:w="1431"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Obsahtabulky"/>
            </w:pPr>
            <w:r>
              <w:rPr>
                <w:rFonts w:ascii="Calibri" w:hAnsi="Calibri" w:cs="Calibri"/>
                <w:sz w:val="20"/>
                <w:szCs w:val="20"/>
              </w:rPr>
              <w:t>správce</w:t>
            </w:r>
          </w:p>
        </w:tc>
      </w:tr>
      <w:tr w:rsidR="00D27F66">
        <w:trPr>
          <w:cantSplit/>
        </w:trPr>
        <w:tc>
          <w:tcPr>
            <w:tcW w:w="2602"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5. Kontrola ředitelem</w:t>
            </w:r>
          </w:p>
        </w:tc>
        <w:tc>
          <w:tcPr>
            <w:tcW w:w="1469"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 xml:space="preserve">žádanka </w:t>
            </w:r>
          </w:p>
          <w:p w:rsidR="00D27F66" w:rsidRDefault="0093037D">
            <w:pPr>
              <w:pStyle w:val="Obsahtabulky"/>
            </w:pPr>
            <w:r>
              <w:rPr>
                <w:rFonts w:ascii="Calibri" w:hAnsi="Calibri" w:cs="Times New Roman"/>
                <w:sz w:val="20"/>
                <w:szCs w:val="20"/>
              </w:rPr>
              <w:t>(schválená správcem)</w:t>
            </w:r>
          </w:p>
        </w:tc>
        <w:tc>
          <w:tcPr>
            <w:tcW w:w="7373"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bCs/>
                <w:color w:val="000000"/>
                <w:sz w:val="20"/>
                <w:szCs w:val="20"/>
                <w:highlight w:val="white"/>
              </w:rPr>
              <w:t xml:space="preserve">Ředitel provede závěrečnou kontrolu a uvolní žádanku k vytvoření objednávky. V případě neschválení je návrat do kroku </w:t>
            </w:r>
            <w:r>
              <w:rPr>
                <w:rFonts w:ascii="Calibri" w:hAnsi="Calibri" w:cs="Times New Roman"/>
                <w:sz w:val="20"/>
                <w:szCs w:val="20"/>
              </w:rPr>
              <w:t xml:space="preserve">3. </w:t>
            </w:r>
            <w:r>
              <w:rPr>
                <w:rFonts w:ascii="Calibri" w:hAnsi="Calibri" w:cs="Times New Roman"/>
                <w:i/>
                <w:sz w:val="20"/>
                <w:szCs w:val="20"/>
              </w:rPr>
              <w:t>Schválení příkazcem</w:t>
            </w:r>
            <w:r>
              <w:rPr>
                <w:rFonts w:ascii="Calibri" w:hAnsi="Calibri" w:cs="Times New Roman"/>
                <w:sz w:val="20"/>
                <w:szCs w:val="20"/>
              </w:rPr>
              <w:t>.</w:t>
            </w:r>
          </w:p>
        </w:tc>
        <w:tc>
          <w:tcPr>
            <w:tcW w:w="1696"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žádanka (zkontrolovaná ředitelem)</w:t>
            </w:r>
          </w:p>
        </w:tc>
        <w:tc>
          <w:tcPr>
            <w:tcW w:w="1431"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Obsahtabulky"/>
            </w:pPr>
            <w:r>
              <w:rPr>
                <w:rFonts w:ascii="Calibri" w:hAnsi="Calibri" w:cs="Calibri"/>
                <w:sz w:val="20"/>
                <w:szCs w:val="20"/>
              </w:rPr>
              <w:t>ředitel</w:t>
            </w:r>
          </w:p>
        </w:tc>
      </w:tr>
      <w:tr w:rsidR="00D27F66">
        <w:trPr>
          <w:cantSplit/>
        </w:trPr>
        <w:tc>
          <w:tcPr>
            <w:tcW w:w="2602"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lastRenderedPageBreak/>
              <w:t>6. Vytvoření objednávky</w:t>
            </w:r>
          </w:p>
        </w:tc>
        <w:tc>
          <w:tcPr>
            <w:tcW w:w="1469"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 xml:space="preserve">žádanka </w:t>
            </w:r>
          </w:p>
          <w:p w:rsidR="00D27F66" w:rsidRDefault="0093037D">
            <w:pPr>
              <w:pStyle w:val="Obsahtabulky"/>
            </w:pPr>
            <w:r>
              <w:rPr>
                <w:rFonts w:ascii="Calibri" w:hAnsi="Calibri" w:cs="Times New Roman"/>
                <w:sz w:val="20"/>
                <w:szCs w:val="20"/>
              </w:rPr>
              <w:t>(schválená správcem)</w:t>
            </w:r>
          </w:p>
        </w:tc>
        <w:tc>
          <w:tcPr>
            <w:tcW w:w="7373" w:type="dxa"/>
            <w:tcBorders>
              <w:top w:val="single" w:sz="2" w:space="0" w:color="000001"/>
              <w:left w:val="single" w:sz="2" w:space="0" w:color="000001"/>
              <w:bottom w:val="single" w:sz="2" w:space="0" w:color="000001"/>
            </w:tcBorders>
            <w:shd w:val="clear" w:color="auto" w:fill="auto"/>
          </w:tcPr>
          <w:p w:rsidR="00D27F66" w:rsidRDefault="0093037D">
            <w:pPr>
              <w:pStyle w:val="Normlnweb"/>
              <w:spacing w:before="0" w:after="0" w:line="240" w:lineRule="auto"/>
            </w:pPr>
            <w:r>
              <w:rPr>
                <w:rFonts w:ascii="Calibri" w:hAnsi="Calibri"/>
              </w:rPr>
              <w:t>Administrátor objednávek je uvědoměn, že může vygenerovat objednávku a předat ji dodavateli.</w:t>
            </w:r>
          </w:p>
          <w:p w:rsidR="00D27F66" w:rsidRDefault="0093037D">
            <w:pPr>
              <w:pStyle w:val="Normlnweb"/>
              <w:spacing w:before="0" w:after="0" w:line="240" w:lineRule="auto"/>
            </w:pPr>
            <w:r>
              <w:rPr>
                <w:rFonts w:ascii="Calibri" w:hAnsi="Calibri"/>
              </w:rPr>
              <w:t>Po vygenerování objednávky je zaslána notifikace na žadatele.</w:t>
            </w:r>
          </w:p>
          <w:p w:rsidR="00D27F66" w:rsidRDefault="0093037D">
            <w:pPr>
              <w:pStyle w:val="Normlnweb"/>
              <w:spacing w:before="0" w:after="0" w:line="240" w:lineRule="auto"/>
            </w:pPr>
            <w:r>
              <w:rPr>
                <w:rFonts w:ascii="Calibri" w:hAnsi="Calibri"/>
              </w:rPr>
              <w:t xml:space="preserve">Pozn.: </w:t>
            </w:r>
          </w:p>
          <w:p w:rsidR="00D27F66" w:rsidRDefault="0093037D">
            <w:pPr>
              <w:pStyle w:val="Normlnweb"/>
              <w:spacing w:before="0" w:after="0" w:line="240" w:lineRule="auto"/>
            </w:pPr>
            <w:r>
              <w:rPr>
                <w:rFonts w:ascii="Calibri" w:hAnsi="Calibri"/>
              </w:rPr>
              <w:t>1. K jedné žádance může být více objednávek.</w:t>
            </w:r>
          </w:p>
          <w:p w:rsidR="00D27F66" w:rsidRDefault="0093037D">
            <w:pPr>
              <w:pStyle w:val="Normlnweb"/>
              <w:spacing w:before="0" w:after="0" w:line="240" w:lineRule="auto"/>
            </w:pPr>
            <w:r>
              <w:rPr>
                <w:rFonts w:ascii="Calibri" w:hAnsi="Calibri"/>
              </w:rPr>
              <w:t>2. Administrátorem objednávek může být žadatel. V tomto případě se notifikace neposílá.</w:t>
            </w:r>
          </w:p>
        </w:tc>
        <w:tc>
          <w:tcPr>
            <w:tcW w:w="1696"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objednávka</w:t>
            </w:r>
          </w:p>
        </w:tc>
        <w:tc>
          <w:tcPr>
            <w:tcW w:w="1431"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Obsahtabulky"/>
            </w:pPr>
            <w:r>
              <w:rPr>
                <w:rFonts w:ascii="Calibri" w:hAnsi="Calibri" w:cs="Times New Roman"/>
                <w:sz w:val="20"/>
                <w:szCs w:val="20"/>
              </w:rPr>
              <w:t>administrátor objednávek</w:t>
            </w:r>
          </w:p>
        </w:tc>
      </w:tr>
      <w:tr w:rsidR="00D27F66">
        <w:trPr>
          <w:cantSplit/>
        </w:trPr>
        <w:tc>
          <w:tcPr>
            <w:tcW w:w="2602" w:type="dxa"/>
            <w:tcBorders>
              <w:top w:val="single" w:sz="2" w:space="0" w:color="000001"/>
              <w:left w:val="single" w:sz="2" w:space="0" w:color="000001"/>
              <w:bottom w:val="single" w:sz="2" w:space="0" w:color="000001"/>
            </w:tcBorders>
            <w:shd w:val="clear" w:color="auto" w:fill="E6E6E6"/>
          </w:tcPr>
          <w:p w:rsidR="00D27F66" w:rsidRDefault="0093037D">
            <w:pPr>
              <w:pStyle w:val="Obsahtabulky"/>
            </w:pPr>
            <w:r>
              <w:rPr>
                <w:rFonts w:ascii="Calibri" w:hAnsi="Calibri" w:cs="Times New Roman"/>
                <w:i/>
                <w:iCs/>
                <w:sz w:val="20"/>
                <w:szCs w:val="20"/>
              </w:rPr>
              <w:t>Potvrzení objednávky</w:t>
            </w:r>
          </w:p>
        </w:tc>
        <w:tc>
          <w:tcPr>
            <w:tcW w:w="1469" w:type="dxa"/>
            <w:tcBorders>
              <w:top w:val="single" w:sz="2" w:space="0" w:color="000001"/>
              <w:left w:val="single" w:sz="2" w:space="0" w:color="000001"/>
              <w:bottom w:val="single" w:sz="2" w:space="0" w:color="000001"/>
            </w:tcBorders>
            <w:shd w:val="clear" w:color="auto" w:fill="E6E6E6"/>
          </w:tcPr>
          <w:p w:rsidR="00D27F66" w:rsidRDefault="0093037D">
            <w:pPr>
              <w:pStyle w:val="Obsahtabulky"/>
            </w:pPr>
            <w:r>
              <w:rPr>
                <w:rFonts w:ascii="Calibri" w:hAnsi="Calibri" w:cs="Times New Roman"/>
                <w:i/>
                <w:iCs/>
                <w:sz w:val="20"/>
                <w:szCs w:val="20"/>
              </w:rPr>
              <w:t>objednávka</w:t>
            </w:r>
          </w:p>
        </w:tc>
        <w:tc>
          <w:tcPr>
            <w:tcW w:w="7373" w:type="dxa"/>
            <w:tcBorders>
              <w:top w:val="single" w:sz="2" w:space="0" w:color="000001"/>
              <w:left w:val="single" w:sz="2" w:space="0" w:color="000001"/>
              <w:bottom w:val="single" w:sz="2" w:space="0" w:color="000001"/>
            </w:tcBorders>
            <w:shd w:val="clear" w:color="auto" w:fill="E6E6E6"/>
          </w:tcPr>
          <w:p w:rsidR="00D27F66" w:rsidRDefault="0093037D">
            <w:pPr>
              <w:pStyle w:val="Normlnweb"/>
              <w:spacing w:before="0" w:after="0" w:line="240" w:lineRule="auto"/>
            </w:pPr>
            <w:r>
              <w:rPr>
                <w:rFonts w:ascii="Calibri" w:hAnsi="Calibri"/>
                <w:i/>
                <w:iCs/>
              </w:rPr>
              <w:t>Dodavatel objednávku podepíše, orazítkuje a zašle zpět . Akceptovatelné je i zaslání souhlasu na email bez přiloženého dokumentu či telefonické potvrzení objednávky.</w:t>
            </w:r>
          </w:p>
          <w:p w:rsidR="00D27F66" w:rsidRDefault="0093037D">
            <w:pPr>
              <w:pStyle w:val="Normlnweb"/>
              <w:spacing w:before="0" w:after="0" w:line="240" w:lineRule="auto"/>
            </w:pPr>
            <w:r>
              <w:rPr>
                <w:rFonts w:ascii="Calibri" w:hAnsi="Calibri"/>
                <w:i/>
                <w:iCs/>
              </w:rPr>
              <w:t>Potvrzení objednávky není vyžadováno v případě, že dodavatel předložil odpovídající nabídku.</w:t>
            </w:r>
          </w:p>
        </w:tc>
        <w:tc>
          <w:tcPr>
            <w:tcW w:w="1696" w:type="dxa"/>
            <w:tcBorders>
              <w:top w:val="single" w:sz="2" w:space="0" w:color="000001"/>
              <w:left w:val="single" w:sz="2" w:space="0" w:color="000001"/>
              <w:bottom w:val="single" w:sz="2" w:space="0" w:color="000001"/>
            </w:tcBorders>
            <w:shd w:val="clear" w:color="auto" w:fill="E6E6E6"/>
          </w:tcPr>
          <w:p w:rsidR="00D27F66" w:rsidRDefault="0093037D">
            <w:pPr>
              <w:pStyle w:val="Obsahtabulky"/>
            </w:pPr>
            <w:r>
              <w:rPr>
                <w:rFonts w:ascii="Calibri" w:hAnsi="Calibri" w:cs="Times New Roman"/>
                <w:i/>
                <w:iCs/>
                <w:sz w:val="20"/>
                <w:szCs w:val="20"/>
              </w:rPr>
              <w:t>dodavatelem potvrzená objednávka</w:t>
            </w:r>
          </w:p>
        </w:tc>
        <w:tc>
          <w:tcPr>
            <w:tcW w:w="1431" w:type="dxa"/>
            <w:tcBorders>
              <w:top w:val="single" w:sz="2" w:space="0" w:color="000001"/>
              <w:left w:val="single" w:sz="2" w:space="0" w:color="000001"/>
              <w:bottom w:val="single" w:sz="2" w:space="0" w:color="000001"/>
              <w:right w:val="single" w:sz="2" w:space="0" w:color="000001"/>
            </w:tcBorders>
            <w:shd w:val="clear" w:color="auto" w:fill="E6E6E6"/>
          </w:tcPr>
          <w:p w:rsidR="00D27F66" w:rsidRDefault="0093037D">
            <w:pPr>
              <w:pStyle w:val="Obsahtabulky"/>
            </w:pPr>
            <w:r>
              <w:rPr>
                <w:rFonts w:ascii="Calibri" w:hAnsi="Calibri" w:cs="Calibri"/>
                <w:i/>
                <w:iCs/>
                <w:sz w:val="20"/>
                <w:szCs w:val="20"/>
              </w:rPr>
              <w:t>dodavatel</w:t>
            </w:r>
          </w:p>
        </w:tc>
      </w:tr>
      <w:tr w:rsidR="00D27F66">
        <w:trPr>
          <w:cantSplit/>
        </w:trPr>
        <w:tc>
          <w:tcPr>
            <w:tcW w:w="2602"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7. Přijetí potvrzení objednávky</w:t>
            </w:r>
          </w:p>
        </w:tc>
        <w:tc>
          <w:tcPr>
            <w:tcW w:w="1469"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dodavatelem potvrzená objednávka</w:t>
            </w:r>
          </w:p>
        </w:tc>
        <w:tc>
          <w:tcPr>
            <w:tcW w:w="7373" w:type="dxa"/>
            <w:tcBorders>
              <w:top w:val="single" w:sz="2" w:space="0" w:color="000001"/>
              <w:left w:val="single" w:sz="2" w:space="0" w:color="000001"/>
              <w:bottom w:val="single" w:sz="2" w:space="0" w:color="000001"/>
            </w:tcBorders>
            <w:shd w:val="clear" w:color="auto" w:fill="auto"/>
          </w:tcPr>
          <w:p w:rsidR="00D27F66" w:rsidRDefault="0093037D">
            <w:pPr>
              <w:pStyle w:val="Normlnweb"/>
              <w:spacing w:before="0" w:after="0" w:line="240" w:lineRule="auto"/>
            </w:pPr>
            <w:r>
              <w:rPr>
                <w:rFonts w:ascii="Calibri" w:hAnsi="Calibri"/>
              </w:rPr>
              <w:t>V případě objednávky nad 50 tis. Kč bez DPH převezme od dodavatele potvrzení objednávky. Informaci o potvrzení objednávky dodavatelem zadá do systému.</w:t>
            </w:r>
          </w:p>
          <w:p w:rsidR="00D27F66" w:rsidRDefault="0093037D">
            <w:pPr>
              <w:pStyle w:val="Normlnweb"/>
              <w:spacing w:before="0" w:after="0" w:line="240" w:lineRule="auto"/>
            </w:pPr>
            <w:r>
              <w:rPr>
                <w:rFonts w:ascii="Calibri" w:hAnsi="Calibri"/>
              </w:rPr>
              <w:t>Pokud dodavatel objednávku nad 50 tis. Kč bez DPH neakceptuje, administrátor objednávek ji zruší.</w:t>
            </w:r>
          </w:p>
        </w:tc>
        <w:tc>
          <w:tcPr>
            <w:tcW w:w="1696"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objednávka (potvrzená v systému)</w:t>
            </w:r>
          </w:p>
        </w:tc>
        <w:tc>
          <w:tcPr>
            <w:tcW w:w="1431"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Obsahtabulky"/>
            </w:pPr>
            <w:r>
              <w:rPr>
                <w:rFonts w:ascii="Calibri" w:hAnsi="Calibri" w:cs="Times New Roman"/>
                <w:sz w:val="20"/>
                <w:szCs w:val="20"/>
              </w:rPr>
              <w:t>administrátor objednávek</w:t>
            </w:r>
          </w:p>
        </w:tc>
      </w:tr>
      <w:tr w:rsidR="00D27F66">
        <w:trPr>
          <w:cantSplit/>
        </w:trPr>
        <w:tc>
          <w:tcPr>
            <w:tcW w:w="2602"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8. Registrace objednávky</w:t>
            </w:r>
          </w:p>
        </w:tc>
        <w:tc>
          <w:tcPr>
            <w:tcW w:w="1469"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objednávka (potvrzená v systému)</w:t>
            </w:r>
          </w:p>
        </w:tc>
        <w:tc>
          <w:tcPr>
            <w:tcW w:w="7373" w:type="dxa"/>
            <w:tcBorders>
              <w:top w:val="single" w:sz="2" w:space="0" w:color="000001"/>
              <w:left w:val="single" w:sz="2" w:space="0" w:color="000001"/>
              <w:bottom w:val="single" w:sz="2" w:space="0" w:color="000001"/>
            </w:tcBorders>
            <w:shd w:val="clear" w:color="auto" w:fill="auto"/>
          </w:tcPr>
          <w:p w:rsidR="00D27F66" w:rsidRDefault="0093037D">
            <w:pPr>
              <w:pStyle w:val="Normlnweb"/>
              <w:spacing w:before="0" w:after="0" w:line="240" w:lineRule="auto"/>
            </w:pPr>
            <w:r>
              <w:rPr>
                <w:rFonts w:ascii="Calibri" w:hAnsi="Calibri"/>
              </w:rPr>
              <w:t>Objednávky nad 50 tis. Kč bez DPH zveřejní v registru smluv.</w:t>
            </w:r>
          </w:p>
        </w:tc>
        <w:tc>
          <w:tcPr>
            <w:tcW w:w="1696"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objednávka (v registru smluv)</w:t>
            </w:r>
          </w:p>
        </w:tc>
        <w:tc>
          <w:tcPr>
            <w:tcW w:w="1431"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Obsahtabulky"/>
            </w:pPr>
            <w:r>
              <w:rPr>
                <w:rFonts w:ascii="Calibri" w:hAnsi="Calibri" w:cs="Calibri"/>
                <w:sz w:val="20"/>
                <w:szCs w:val="20"/>
              </w:rPr>
              <w:t>vedoucí THS</w:t>
            </w:r>
          </w:p>
        </w:tc>
      </w:tr>
    </w:tbl>
    <w:p w:rsidR="00D27F66" w:rsidRDefault="00D27F66">
      <w:pPr>
        <w:pStyle w:val="Nadpis3"/>
        <w:numPr>
          <w:ilvl w:val="2"/>
          <w:numId w:val="3"/>
        </w:numPr>
        <w:rPr>
          <w:bCs/>
          <w:sz w:val="28"/>
        </w:rPr>
      </w:pPr>
    </w:p>
    <w:p w:rsidR="00D27F66" w:rsidRDefault="00D27F66">
      <w:pPr>
        <w:keepNext/>
        <w:rPr>
          <w:b/>
          <w:bCs/>
          <w:sz w:val="24"/>
        </w:rPr>
      </w:pPr>
    </w:p>
    <w:p w:rsidR="00D27F66" w:rsidRDefault="0093037D">
      <w:pPr>
        <w:rPr>
          <w:b/>
          <w:bCs/>
          <w:sz w:val="24"/>
        </w:rPr>
      </w:pPr>
      <w:r>
        <w:br w:type="page"/>
      </w:r>
    </w:p>
    <w:p w:rsidR="00D27F66" w:rsidRDefault="0093037D">
      <w:pPr>
        <w:rPr>
          <w:b/>
          <w:bCs/>
          <w:sz w:val="24"/>
        </w:rPr>
      </w:pPr>
      <w:r>
        <w:rPr>
          <w:b/>
          <w:bCs/>
          <w:noProof/>
          <w:sz w:val="24"/>
          <w:lang w:eastAsia="cs-CZ" w:bidi="ar-SA"/>
        </w:rPr>
        <w:lastRenderedPageBreak/>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7664450" cy="5652135"/>
            <wp:effectExtent l="0" t="0" r="0" b="0"/>
            <wp:wrapSquare wrapText="largest"/>
            <wp:docPr id="1"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8"/>
                    <a:stretch>
                      <a:fillRect/>
                    </a:stretch>
                  </pic:blipFill>
                  <pic:spPr bwMode="auto">
                    <a:xfrm>
                      <a:off x="0" y="0"/>
                      <a:ext cx="7664450" cy="5652135"/>
                    </a:xfrm>
                    <a:prstGeom prst="rect">
                      <a:avLst/>
                    </a:prstGeom>
                  </pic:spPr>
                </pic:pic>
              </a:graphicData>
            </a:graphic>
          </wp:anchor>
        </w:drawing>
      </w:r>
      <w:r>
        <w:br w:type="page"/>
      </w:r>
    </w:p>
    <w:p w:rsidR="00D27F66" w:rsidRDefault="0093037D">
      <w:r>
        <w:rPr>
          <w:b/>
          <w:bCs/>
          <w:sz w:val="24"/>
        </w:rPr>
        <w:lastRenderedPageBreak/>
        <w:t>Likvidace závazků (úhrada faktur)</w:t>
      </w:r>
    </w:p>
    <w:tbl>
      <w:tblPr>
        <w:tblW w:w="14580" w:type="dxa"/>
        <w:tblInd w:w="-5" w:type="dxa"/>
        <w:tblCellMar>
          <w:top w:w="57" w:type="dxa"/>
          <w:left w:w="48" w:type="dxa"/>
          <w:bottom w:w="57" w:type="dxa"/>
          <w:right w:w="57" w:type="dxa"/>
        </w:tblCellMar>
        <w:tblLook w:val="0000" w:firstRow="0" w:lastRow="0" w:firstColumn="0" w:lastColumn="0" w:noHBand="0" w:noVBand="0"/>
      </w:tblPr>
      <w:tblGrid>
        <w:gridCol w:w="2427"/>
        <w:gridCol w:w="1560"/>
        <w:gridCol w:w="6918"/>
        <w:gridCol w:w="1687"/>
        <w:gridCol w:w="1988"/>
      </w:tblGrid>
      <w:tr w:rsidR="00D27F66">
        <w:trPr>
          <w:cantSplit/>
          <w:tblHeader/>
        </w:trPr>
        <w:tc>
          <w:tcPr>
            <w:tcW w:w="2427" w:type="dxa"/>
            <w:tcBorders>
              <w:top w:val="single" w:sz="2" w:space="0" w:color="000001"/>
              <w:left w:val="single" w:sz="2" w:space="0" w:color="000001"/>
              <w:bottom w:val="single" w:sz="2" w:space="0" w:color="000001"/>
            </w:tcBorders>
            <w:shd w:val="clear" w:color="auto" w:fill="E6E6E6"/>
            <w:vAlign w:val="center"/>
          </w:tcPr>
          <w:p w:rsidR="00D27F66" w:rsidRDefault="0093037D">
            <w:pPr>
              <w:pStyle w:val="Obsahtabulky"/>
            </w:pPr>
            <w:r>
              <w:rPr>
                <w:rFonts w:cs="Calibri"/>
                <w:b/>
                <w:bCs/>
                <w:szCs w:val="22"/>
              </w:rPr>
              <w:t>Činnost</w:t>
            </w:r>
          </w:p>
        </w:tc>
        <w:tc>
          <w:tcPr>
            <w:tcW w:w="1560" w:type="dxa"/>
            <w:tcBorders>
              <w:top w:val="single" w:sz="2" w:space="0" w:color="000001"/>
              <w:left w:val="single" w:sz="2" w:space="0" w:color="000001"/>
              <w:bottom w:val="single" w:sz="2" w:space="0" w:color="000001"/>
            </w:tcBorders>
            <w:shd w:val="clear" w:color="auto" w:fill="E6E6E6"/>
            <w:vAlign w:val="center"/>
          </w:tcPr>
          <w:p w:rsidR="00D27F66" w:rsidRDefault="0093037D">
            <w:pPr>
              <w:pStyle w:val="Obsahtabulky"/>
              <w:ind w:left="57"/>
            </w:pPr>
            <w:r>
              <w:rPr>
                <w:rFonts w:cs="Calibri"/>
                <w:b/>
                <w:bCs/>
                <w:szCs w:val="22"/>
              </w:rPr>
              <w:t>Vstup</w:t>
            </w:r>
          </w:p>
        </w:tc>
        <w:tc>
          <w:tcPr>
            <w:tcW w:w="6918" w:type="dxa"/>
            <w:tcBorders>
              <w:top w:val="single" w:sz="2" w:space="0" w:color="000001"/>
              <w:left w:val="single" w:sz="2" w:space="0" w:color="000001"/>
              <w:bottom w:val="single" w:sz="2" w:space="0" w:color="000001"/>
            </w:tcBorders>
            <w:shd w:val="clear" w:color="auto" w:fill="E6E6E6"/>
            <w:vAlign w:val="center"/>
          </w:tcPr>
          <w:p w:rsidR="00D27F66" w:rsidRDefault="0093037D">
            <w:pPr>
              <w:pStyle w:val="Obsahtabulky"/>
              <w:ind w:left="57"/>
            </w:pPr>
            <w:r>
              <w:rPr>
                <w:rFonts w:cs="Calibri"/>
                <w:b/>
                <w:bCs/>
                <w:szCs w:val="22"/>
              </w:rPr>
              <w:t>Popis činnosti</w:t>
            </w:r>
          </w:p>
        </w:tc>
        <w:tc>
          <w:tcPr>
            <w:tcW w:w="1687" w:type="dxa"/>
            <w:tcBorders>
              <w:top w:val="single" w:sz="2" w:space="0" w:color="000001"/>
              <w:left w:val="single" w:sz="2" w:space="0" w:color="000001"/>
              <w:bottom w:val="single" w:sz="2" w:space="0" w:color="000001"/>
            </w:tcBorders>
            <w:shd w:val="clear" w:color="auto" w:fill="E6E6E6"/>
            <w:vAlign w:val="center"/>
          </w:tcPr>
          <w:p w:rsidR="00D27F66" w:rsidRDefault="0093037D">
            <w:pPr>
              <w:pStyle w:val="Obsahtabulky"/>
              <w:ind w:left="57"/>
            </w:pPr>
            <w:r>
              <w:rPr>
                <w:rFonts w:cs="Calibri"/>
                <w:b/>
                <w:bCs/>
                <w:szCs w:val="22"/>
              </w:rPr>
              <w:t>Výstup (mezivýstup)</w:t>
            </w:r>
          </w:p>
        </w:tc>
        <w:tc>
          <w:tcPr>
            <w:tcW w:w="1988" w:type="dxa"/>
            <w:tcBorders>
              <w:top w:val="single" w:sz="2" w:space="0" w:color="000001"/>
              <w:left w:val="single" w:sz="2" w:space="0" w:color="000001"/>
              <w:bottom w:val="single" w:sz="2" w:space="0" w:color="000001"/>
              <w:right w:val="single" w:sz="2" w:space="0" w:color="000001"/>
            </w:tcBorders>
            <w:shd w:val="clear" w:color="auto" w:fill="E6E6E6"/>
            <w:vAlign w:val="center"/>
          </w:tcPr>
          <w:p w:rsidR="00D27F66" w:rsidRDefault="0093037D">
            <w:pPr>
              <w:pStyle w:val="Obsahtabulky"/>
              <w:ind w:left="57"/>
            </w:pPr>
            <w:r>
              <w:rPr>
                <w:rFonts w:cs="Calibri"/>
                <w:b/>
                <w:bCs/>
                <w:szCs w:val="22"/>
              </w:rPr>
              <w:t>Provádí</w:t>
            </w:r>
          </w:p>
        </w:tc>
      </w:tr>
      <w:tr w:rsidR="00D27F66">
        <w:trPr>
          <w:cantSplit/>
        </w:trPr>
        <w:tc>
          <w:tcPr>
            <w:tcW w:w="2427"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 xml:space="preserve">1. </w:t>
            </w:r>
            <w:r>
              <w:rPr>
                <w:rFonts w:ascii="Calibri" w:hAnsi="Calibri" w:cs="Calibri"/>
                <w:sz w:val="20"/>
                <w:szCs w:val="20"/>
              </w:rPr>
              <w:t>Převzetí daňového dokladu</w:t>
            </w:r>
          </w:p>
        </w:tc>
        <w:tc>
          <w:tcPr>
            <w:tcW w:w="1560"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Calibri"/>
                <w:sz w:val="20"/>
                <w:szCs w:val="20"/>
              </w:rPr>
              <w:t>faktura (listinná, elektronická)</w:t>
            </w:r>
          </w:p>
        </w:tc>
        <w:tc>
          <w:tcPr>
            <w:tcW w:w="6918"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 xml:space="preserve">Zavedení faktury do došlé pošty.  </w:t>
            </w:r>
          </w:p>
          <w:p w:rsidR="00D27F66" w:rsidRDefault="0093037D">
            <w:pPr>
              <w:pStyle w:val="Obsahtabulky"/>
            </w:pPr>
            <w:r>
              <w:rPr>
                <w:rFonts w:ascii="Calibri" w:hAnsi="Calibri" w:cs="Times New Roman"/>
                <w:sz w:val="20"/>
                <w:szCs w:val="20"/>
              </w:rPr>
              <w:t>Elektronická faktura je zavedena do došlé pošty z e-mailu nebo z datové schránky. Faktura obdržená v písemné podobě je oskenována včetně příloh a zadána do došlé pošty.</w:t>
            </w:r>
          </w:p>
          <w:p w:rsidR="00D27F66" w:rsidRDefault="0093037D">
            <w:pPr>
              <w:pStyle w:val="Obsahtabulky"/>
            </w:pPr>
            <w:r>
              <w:rPr>
                <w:rFonts w:ascii="Calibri" w:hAnsi="Calibri" w:cs="Times New Roman"/>
                <w:sz w:val="20"/>
                <w:szCs w:val="20"/>
              </w:rPr>
              <w:t>Fyzicky je faktura včetně příloh předána do účtárny, elektronicky přijaté faktury jsou před předáním vytištěny.</w:t>
            </w:r>
          </w:p>
          <w:p w:rsidR="00D27F66" w:rsidRDefault="0093037D">
            <w:pPr>
              <w:pStyle w:val="Obsahtabulky"/>
            </w:pPr>
            <w:r>
              <w:rPr>
                <w:rFonts w:ascii="Calibri" w:hAnsi="Calibri" w:cs="Times New Roman"/>
                <w:sz w:val="20"/>
                <w:szCs w:val="20"/>
              </w:rPr>
              <w:t>Pracovník podatelny provádí prvotní rámcovou kontrolu na správnost faktury a v případě zjištění nesrovnalostí vrátí fakturu dodavateli a ukončí workflow.</w:t>
            </w:r>
          </w:p>
        </w:tc>
        <w:tc>
          <w:tcPr>
            <w:tcW w:w="1687"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Calibri"/>
                <w:sz w:val="20"/>
                <w:szCs w:val="20"/>
              </w:rPr>
              <w:t>faktura zavedená</w:t>
            </w:r>
          </w:p>
          <w:p w:rsidR="00D27F66" w:rsidRDefault="0093037D">
            <w:pPr>
              <w:pStyle w:val="Obsahtabulky"/>
              <w:spacing w:before="113"/>
            </w:pPr>
            <w:r>
              <w:rPr>
                <w:rFonts w:ascii="Calibri" w:hAnsi="Calibri" w:cs="Calibri"/>
                <w:sz w:val="20"/>
                <w:szCs w:val="20"/>
              </w:rPr>
              <w:t>faktura včetně příloh (listinná)</w:t>
            </w:r>
          </w:p>
        </w:tc>
        <w:tc>
          <w:tcPr>
            <w:tcW w:w="1988"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Obsahtabulky"/>
            </w:pPr>
            <w:r>
              <w:rPr>
                <w:rFonts w:ascii="Calibri" w:hAnsi="Calibri" w:cs="Calibri"/>
                <w:sz w:val="20"/>
                <w:szCs w:val="20"/>
              </w:rPr>
              <w:t>podatelna/sekretariát</w:t>
            </w:r>
          </w:p>
        </w:tc>
      </w:tr>
      <w:tr w:rsidR="00D27F66">
        <w:trPr>
          <w:cantSplit/>
        </w:trPr>
        <w:tc>
          <w:tcPr>
            <w:tcW w:w="2427"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2. Zadání faktury do informačního systému</w:t>
            </w:r>
          </w:p>
        </w:tc>
        <w:tc>
          <w:tcPr>
            <w:tcW w:w="1560"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Calibri"/>
                <w:sz w:val="20"/>
                <w:szCs w:val="20"/>
              </w:rPr>
              <w:t>faktura zavedená</w:t>
            </w:r>
          </w:p>
          <w:p w:rsidR="00D27F66" w:rsidRDefault="0093037D">
            <w:pPr>
              <w:pStyle w:val="Obsahtabulky"/>
              <w:spacing w:before="113"/>
            </w:pPr>
            <w:r>
              <w:rPr>
                <w:rFonts w:ascii="Calibri" w:hAnsi="Calibri" w:cs="Calibri"/>
                <w:sz w:val="20"/>
                <w:szCs w:val="20"/>
              </w:rPr>
              <w:t>faktura včetně příloh (listinná)</w:t>
            </w:r>
          </w:p>
        </w:tc>
        <w:tc>
          <w:tcPr>
            <w:tcW w:w="6918"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 xml:space="preserve">Účetní nebo jiná pověřená osoba provede přiřazení závazku (faktury) k objednávce/smlouvě a tím určí zdroj krytí. </w:t>
            </w:r>
            <w:r>
              <w:rPr>
                <w:rFonts w:ascii="Calibri" w:hAnsi="Calibri" w:cs="Times New Roman"/>
                <w:sz w:val="20"/>
                <w:szCs w:val="20"/>
                <w:highlight w:val="white"/>
              </w:rPr>
              <w:t>Pokud k faktuře náleží vícezdrojové krytí (více středisek nebo více úkolů), zadá do informačního systému všechny zdroje krytí. Ke každému zdroji krytí na faktuře je systémem přidělen příkazce a správce (resp. hlavní účetní).</w:t>
            </w:r>
          </w:p>
          <w:p w:rsidR="00D27F66" w:rsidRDefault="0093037D">
            <w:pPr>
              <w:pStyle w:val="Obsahtabulky"/>
            </w:pPr>
            <w:r>
              <w:rPr>
                <w:rFonts w:ascii="Calibri" w:hAnsi="Calibri" w:cs="Times New Roman"/>
                <w:sz w:val="20"/>
                <w:szCs w:val="20"/>
              </w:rPr>
              <w:t>V případě, kdy nemá závazek dohledatelnou objednávku/smlouvu nebo jde o závazek bez předběžného schválení (tj. existující objednávky/smlouvy, jako např. soudní poplatky, penalizace, úroky z prodlení, poplatky veterinární správě), musí z povahy závazku účetní určit odpovědnou osobu a vznést na ni dotaz k určení zdroje. Pokud má závazek vycházet z objednávky/smlouvy, dá účetní informaci vedoucímu THS k vytvoření objednávky/smlouvy.</w:t>
            </w:r>
          </w:p>
          <w:p w:rsidR="00D27F66" w:rsidRDefault="0093037D">
            <w:pPr>
              <w:pStyle w:val="Obsahtabulky"/>
            </w:pPr>
            <w:r>
              <w:rPr>
                <w:rFonts w:ascii="Calibri" w:hAnsi="Calibri" w:cs="Times New Roman"/>
                <w:sz w:val="20"/>
                <w:szCs w:val="20"/>
                <w:highlight w:val="white"/>
              </w:rPr>
              <w:t xml:space="preserve">V případě zjištění nesrovnalostí vrátí fakturu do kroku 1. </w:t>
            </w:r>
            <w:r>
              <w:rPr>
                <w:rFonts w:ascii="Calibri" w:hAnsi="Calibri" w:cs="Times New Roman"/>
                <w:i/>
                <w:iCs/>
                <w:sz w:val="20"/>
                <w:szCs w:val="20"/>
                <w:highlight w:val="white"/>
              </w:rPr>
              <w:t>Převzetí daňového dokladu</w:t>
            </w:r>
            <w:r>
              <w:rPr>
                <w:rFonts w:ascii="Calibri" w:hAnsi="Calibri" w:cs="Times New Roman"/>
                <w:sz w:val="20"/>
                <w:szCs w:val="20"/>
                <w:highlight w:val="white"/>
              </w:rPr>
              <w:t xml:space="preserve"> se zdůvodněním.</w:t>
            </w:r>
          </w:p>
        </w:tc>
        <w:tc>
          <w:tcPr>
            <w:tcW w:w="1687"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karta faktury</w:t>
            </w:r>
          </w:p>
          <w:p w:rsidR="00D27F66" w:rsidRDefault="0093037D">
            <w:pPr>
              <w:pStyle w:val="Obsahtabulky"/>
            </w:pPr>
            <w:r>
              <w:rPr>
                <w:rFonts w:ascii="Calibri" w:hAnsi="Calibri" w:cs="Times New Roman"/>
                <w:sz w:val="20"/>
                <w:szCs w:val="20"/>
              </w:rPr>
              <w:t>(založená)</w:t>
            </w:r>
          </w:p>
        </w:tc>
        <w:tc>
          <w:tcPr>
            <w:tcW w:w="1988"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Obsahtabulky"/>
            </w:pPr>
            <w:r>
              <w:rPr>
                <w:rFonts w:ascii="Calibri" w:hAnsi="Calibri" w:cs="Times New Roman"/>
                <w:sz w:val="20"/>
                <w:szCs w:val="20"/>
              </w:rPr>
              <w:t>účetní</w:t>
            </w:r>
          </w:p>
        </w:tc>
      </w:tr>
      <w:tr w:rsidR="00D27F66">
        <w:trPr>
          <w:cantSplit/>
        </w:trPr>
        <w:tc>
          <w:tcPr>
            <w:tcW w:w="2427"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3. Schválení příkazcem operace</w:t>
            </w:r>
          </w:p>
        </w:tc>
        <w:tc>
          <w:tcPr>
            <w:tcW w:w="1560"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karta faktury</w:t>
            </w:r>
          </w:p>
          <w:p w:rsidR="00D27F66" w:rsidRDefault="0093037D">
            <w:pPr>
              <w:pStyle w:val="Obsahtabulky"/>
            </w:pPr>
            <w:r>
              <w:rPr>
                <w:rFonts w:ascii="Calibri" w:hAnsi="Calibri" w:cs="Times New Roman"/>
                <w:sz w:val="20"/>
                <w:szCs w:val="20"/>
              </w:rPr>
              <w:t>(založená)</w:t>
            </w:r>
          </w:p>
        </w:tc>
        <w:tc>
          <w:tcPr>
            <w:tcW w:w="6918"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Příkazce provede kontrolu věcné správnosti a ceny. V případě, že příkazce fakturu neschválí, musí se stornovat a vrací se zpět do kroku 2.</w:t>
            </w:r>
            <w:r>
              <w:rPr>
                <w:rFonts w:ascii="Calibri" w:hAnsi="Calibri" w:cs="Times New Roman"/>
                <w:i/>
                <w:iCs/>
                <w:sz w:val="20"/>
                <w:szCs w:val="20"/>
              </w:rPr>
              <w:t xml:space="preserve"> Zadání faktury do informačního systému</w:t>
            </w:r>
            <w:r>
              <w:rPr>
                <w:rFonts w:ascii="Calibri" w:hAnsi="Calibri" w:cs="Times New Roman"/>
                <w:sz w:val="20"/>
                <w:szCs w:val="20"/>
              </w:rPr>
              <w:t>.</w:t>
            </w:r>
          </w:p>
          <w:p w:rsidR="00D27F66" w:rsidRDefault="0093037D">
            <w:pPr>
              <w:pStyle w:val="Obsahtabulky"/>
            </w:pPr>
            <w:r>
              <w:rPr>
                <w:rFonts w:ascii="Calibri" w:hAnsi="Calibri" w:cs="Times New Roman"/>
                <w:sz w:val="20"/>
                <w:szCs w:val="20"/>
              </w:rPr>
              <w:t xml:space="preserve">Příkazce má možnost vyžádat si posouzení/vyjádření kvalifikovanou osobou v rámci ústavu (zaměstnancem) a doplnit doklady k faktuře. </w:t>
            </w:r>
          </w:p>
          <w:p w:rsidR="00D27F66" w:rsidRDefault="0093037D">
            <w:pPr>
              <w:pStyle w:val="Obsahtabulky"/>
            </w:pPr>
            <w:r>
              <w:rPr>
                <w:rFonts w:ascii="Calibri" w:hAnsi="Calibri" w:cs="Times New Roman"/>
                <w:sz w:val="20"/>
                <w:szCs w:val="20"/>
              </w:rPr>
              <w:t>Pozn.: Pro každý zdroj probíhá schválení příkazcem a správcem.</w:t>
            </w:r>
          </w:p>
        </w:tc>
        <w:tc>
          <w:tcPr>
            <w:tcW w:w="1687"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karta faktury (schválená příkazcem)</w:t>
            </w:r>
          </w:p>
        </w:tc>
        <w:tc>
          <w:tcPr>
            <w:tcW w:w="1988"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Obsahtabulky"/>
            </w:pPr>
            <w:r>
              <w:rPr>
                <w:rFonts w:ascii="Calibri" w:hAnsi="Calibri" w:cs="Times New Roman"/>
                <w:sz w:val="20"/>
                <w:szCs w:val="20"/>
              </w:rPr>
              <w:t>příkazce operace</w:t>
            </w:r>
          </w:p>
        </w:tc>
      </w:tr>
      <w:tr w:rsidR="00D27F66">
        <w:trPr>
          <w:cantSplit/>
        </w:trPr>
        <w:tc>
          <w:tcPr>
            <w:tcW w:w="2427"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 xml:space="preserve">4. </w:t>
            </w:r>
            <w:r>
              <w:rPr>
                <w:rFonts w:ascii="Calibri" w:hAnsi="Calibri" w:cs="Calibri"/>
                <w:sz w:val="20"/>
                <w:szCs w:val="20"/>
              </w:rPr>
              <w:t>Schválení správcem rozpočtu</w:t>
            </w:r>
          </w:p>
        </w:tc>
        <w:tc>
          <w:tcPr>
            <w:tcW w:w="1560"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highlight w:val="white"/>
              </w:rPr>
              <w:t>karta faktury (schválená příkazcem)</w:t>
            </w:r>
          </w:p>
        </w:tc>
        <w:tc>
          <w:tcPr>
            <w:tcW w:w="6918"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Calibri"/>
                <w:sz w:val="20"/>
                <w:szCs w:val="20"/>
              </w:rPr>
              <w:t xml:space="preserve">Správce rozpočtu provede kontrolu zdrojového krytí dle schválených rozpočtů. Při neschválení správcem se vrací do kroku 3. </w:t>
            </w:r>
            <w:r>
              <w:rPr>
                <w:rFonts w:ascii="Calibri" w:hAnsi="Calibri" w:cs="Calibri"/>
                <w:i/>
                <w:iCs/>
                <w:sz w:val="20"/>
                <w:szCs w:val="20"/>
              </w:rPr>
              <w:t>Schválení příkazcem operace</w:t>
            </w:r>
            <w:r>
              <w:rPr>
                <w:rFonts w:ascii="Calibri" w:hAnsi="Calibri" w:cs="Calibri"/>
                <w:sz w:val="20"/>
                <w:szCs w:val="20"/>
              </w:rPr>
              <w:t>.</w:t>
            </w:r>
          </w:p>
        </w:tc>
        <w:tc>
          <w:tcPr>
            <w:tcW w:w="1687"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highlight w:val="white"/>
              </w:rPr>
              <w:t>karta faktury (schválená správcem)</w:t>
            </w:r>
          </w:p>
        </w:tc>
        <w:tc>
          <w:tcPr>
            <w:tcW w:w="1988"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Obsahtabulky"/>
            </w:pPr>
            <w:r>
              <w:rPr>
                <w:rFonts w:ascii="Calibri" w:hAnsi="Calibri" w:cs="Calibri"/>
                <w:sz w:val="20"/>
                <w:szCs w:val="20"/>
              </w:rPr>
              <w:t>správce rozpočtu</w:t>
            </w:r>
          </w:p>
        </w:tc>
      </w:tr>
      <w:tr w:rsidR="00D27F66">
        <w:trPr>
          <w:cantSplit/>
        </w:trPr>
        <w:tc>
          <w:tcPr>
            <w:tcW w:w="2427"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lastRenderedPageBreak/>
              <w:t>5.</w:t>
            </w:r>
            <w:r>
              <w:rPr>
                <w:rFonts w:ascii="Calibri" w:hAnsi="Calibri" w:cs="Calibri"/>
                <w:sz w:val="20"/>
                <w:szCs w:val="20"/>
              </w:rPr>
              <w:t xml:space="preserve"> Zaúčtování faktury</w:t>
            </w:r>
          </w:p>
        </w:tc>
        <w:tc>
          <w:tcPr>
            <w:tcW w:w="1560"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highlight w:val="white"/>
              </w:rPr>
              <w:t>karta faktury (schválená správcem)</w:t>
            </w:r>
          </w:p>
          <w:p w:rsidR="00D27F66" w:rsidRDefault="0093037D">
            <w:pPr>
              <w:pStyle w:val="Obsahtabulky"/>
              <w:spacing w:before="113"/>
            </w:pPr>
            <w:r>
              <w:rPr>
                <w:rFonts w:ascii="Calibri" w:hAnsi="Calibri" w:cs="Calibri"/>
                <w:sz w:val="20"/>
                <w:szCs w:val="20"/>
                <w:highlight w:val="white"/>
              </w:rPr>
              <w:t>faktura včetně příloh (listinná)</w:t>
            </w:r>
          </w:p>
        </w:tc>
        <w:tc>
          <w:tcPr>
            <w:tcW w:w="6918"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Calibri"/>
                <w:sz w:val="20"/>
                <w:szCs w:val="20"/>
              </w:rPr>
              <w:t xml:space="preserve">Účetní fakturu zaúčtuje. </w:t>
            </w:r>
          </w:p>
        </w:tc>
        <w:tc>
          <w:tcPr>
            <w:tcW w:w="1687" w:type="dxa"/>
            <w:tcBorders>
              <w:top w:val="single" w:sz="2" w:space="0" w:color="000001"/>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highlight w:val="white"/>
              </w:rPr>
              <w:t>faktura (zaúčtovaná)</w:t>
            </w:r>
          </w:p>
        </w:tc>
        <w:tc>
          <w:tcPr>
            <w:tcW w:w="1988"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Obsahtabulky"/>
            </w:pPr>
            <w:r>
              <w:rPr>
                <w:rFonts w:ascii="Calibri" w:hAnsi="Calibri" w:cs="Calibri"/>
                <w:sz w:val="20"/>
                <w:szCs w:val="20"/>
              </w:rPr>
              <w:t>účetní</w:t>
            </w:r>
          </w:p>
        </w:tc>
      </w:tr>
      <w:tr w:rsidR="00D27F66">
        <w:trPr>
          <w:cantSplit/>
        </w:trPr>
        <w:tc>
          <w:tcPr>
            <w:tcW w:w="2427" w:type="dxa"/>
            <w:tcBorders>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rPr>
              <w:t>6.</w:t>
            </w:r>
            <w:r>
              <w:rPr>
                <w:rFonts w:ascii="Calibri" w:hAnsi="Calibri" w:cs="Calibri"/>
                <w:sz w:val="20"/>
                <w:szCs w:val="20"/>
              </w:rPr>
              <w:t xml:space="preserve"> Schválení faktury hlavní účetní</w:t>
            </w:r>
          </w:p>
        </w:tc>
        <w:tc>
          <w:tcPr>
            <w:tcW w:w="1560" w:type="dxa"/>
            <w:tcBorders>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highlight w:val="white"/>
              </w:rPr>
              <w:t>faktura (zaúčtovaná)</w:t>
            </w:r>
          </w:p>
        </w:tc>
        <w:tc>
          <w:tcPr>
            <w:tcW w:w="6918" w:type="dxa"/>
            <w:tcBorders>
              <w:left w:val="single" w:sz="2" w:space="0" w:color="000001"/>
              <w:bottom w:val="single" w:sz="2" w:space="0" w:color="000001"/>
            </w:tcBorders>
            <w:shd w:val="clear" w:color="auto" w:fill="auto"/>
          </w:tcPr>
          <w:p w:rsidR="00D27F66" w:rsidRDefault="0093037D">
            <w:pPr>
              <w:pStyle w:val="Obsahtabulky"/>
            </w:pPr>
            <w:r>
              <w:rPr>
                <w:rFonts w:ascii="Calibri" w:hAnsi="Calibri" w:cs="Calibri"/>
                <w:sz w:val="20"/>
                <w:szCs w:val="20"/>
              </w:rPr>
              <w:t xml:space="preserve">Hlavní účetní provede kontrolu zaúčtované faktury. Při neschválení hlavní účetní se proces schvalování vrací zpět do kroku 3. </w:t>
            </w:r>
            <w:r>
              <w:rPr>
                <w:rFonts w:ascii="Calibri" w:hAnsi="Calibri" w:cs="Calibri"/>
                <w:i/>
                <w:iCs/>
                <w:sz w:val="20"/>
                <w:szCs w:val="20"/>
              </w:rPr>
              <w:t>Schválení příkazcem operace</w:t>
            </w:r>
            <w:r>
              <w:rPr>
                <w:rFonts w:ascii="Calibri" w:hAnsi="Calibri" w:cs="Calibri"/>
                <w:sz w:val="20"/>
                <w:szCs w:val="20"/>
              </w:rPr>
              <w:t xml:space="preserve">, nebo do kroku 5. </w:t>
            </w:r>
            <w:r>
              <w:rPr>
                <w:rFonts w:ascii="Calibri" w:hAnsi="Calibri" w:cs="Calibri"/>
                <w:i/>
                <w:iCs/>
                <w:sz w:val="20"/>
                <w:szCs w:val="20"/>
              </w:rPr>
              <w:t>Zaúčtování faktury</w:t>
            </w:r>
            <w:r>
              <w:rPr>
                <w:rFonts w:ascii="Calibri" w:hAnsi="Calibri" w:cs="Calibri"/>
                <w:sz w:val="20"/>
                <w:szCs w:val="20"/>
              </w:rPr>
              <w:t>.</w:t>
            </w:r>
          </w:p>
          <w:p w:rsidR="00D27F66" w:rsidRDefault="0093037D">
            <w:pPr>
              <w:pStyle w:val="Obsahtabulky"/>
            </w:pPr>
            <w:r>
              <w:rPr>
                <w:rFonts w:ascii="Calibri" w:hAnsi="Calibri" w:cs="Calibri"/>
                <w:sz w:val="20"/>
                <w:szCs w:val="20"/>
              </w:rPr>
              <w:t xml:space="preserve">Pozn.: </w:t>
            </w:r>
          </w:p>
          <w:p w:rsidR="00D27F66" w:rsidRDefault="0093037D">
            <w:pPr>
              <w:pStyle w:val="Obsahtabulky"/>
            </w:pPr>
            <w:r>
              <w:rPr>
                <w:rFonts w:ascii="Calibri" w:hAnsi="Calibri" w:cs="Calibri"/>
                <w:sz w:val="20"/>
                <w:szCs w:val="20"/>
              </w:rPr>
              <w:t>1) Pro různý typ faktur může být různá hlavní účetní.</w:t>
            </w:r>
          </w:p>
          <w:p w:rsidR="00D27F66" w:rsidRDefault="0093037D">
            <w:pPr>
              <w:pStyle w:val="Obsahtabulky"/>
            </w:pPr>
            <w:r>
              <w:rPr>
                <w:rFonts w:ascii="Calibri" w:hAnsi="Calibri" w:cs="Calibri"/>
                <w:sz w:val="20"/>
                <w:szCs w:val="20"/>
              </w:rPr>
              <w:t>2) V případě ARÚB a PSÚ se krok 5. a 6. slučuje.</w:t>
            </w:r>
          </w:p>
        </w:tc>
        <w:tc>
          <w:tcPr>
            <w:tcW w:w="1687" w:type="dxa"/>
            <w:tcBorders>
              <w:left w:val="single" w:sz="2" w:space="0" w:color="000001"/>
              <w:bottom w:val="single" w:sz="2" w:space="0" w:color="000001"/>
            </w:tcBorders>
            <w:shd w:val="clear" w:color="auto" w:fill="auto"/>
          </w:tcPr>
          <w:p w:rsidR="00D27F66" w:rsidRDefault="0093037D">
            <w:pPr>
              <w:pStyle w:val="Obsahtabulky"/>
            </w:pPr>
            <w:bookmarkStart w:id="4" w:name="__DdeLink__43503_3723135989"/>
            <w:r>
              <w:rPr>
                <w:rFonts w:ascii="Calibri" w:hAnsi="Calibri" w:cs="Times New Roman"/>
                <w:sz w:val="20"/>
                <w:szCs w:val="20"/>
                <w:highlight w:val="white"/>
              </w:rPr>
              <w:t>karta faktury (schválená hlavní účetní)</w:t>
            </w:r>
            <w:bookmarkEnd w:id="4"/>
          </w:p>
        </w:tc>
        <w:tc>
          <w:tcPr>
            <w:tcW w:w="1988" w:type="dxa"/>
            <w:tcBorders>
              <w:left w:val="single" w:sz="2" w:space="0" w:color="000001"/>
              <w:bottom w:val="single" w:sz="2" w:space="0" w:color="000001"/>
              <w:right w:val="single" w:sz="2" w:space="0" w:color="000001"/>
            </w:tcBorders>
            <w:shd w:val="clear" w:color="auto" w:fill="auto"/>
          </w:tcPr>
          <w:p w:rsidR="00D27F66" w:rsidRDefault="0093037D">
            <w:pPr>
              <w:pStyle w:val="Obsahtabulky"/>
            </w:pPr>
            <w:r>
              <w:rPr>
                <w:rFonts w:ascii="Calibri" w:hAnsi="Calibri" w:cs="Calibri"/>
                <w:sz w:val="20"/>
                <w:szCs w:val="20"/>
              </w:rPr>
              <w:t>hlavní účetní</w:t>
            </w:r>
          </w:p>
        </w:tc>
      </w:tr>
      <w:tr w:rsidR="00D27F66">
        <w:trPr>
          <w:cantSplit/>
        </w:trPr>
        <w:tc>
          <w:tcPr>
            <w:tcW w:w="2427" w:type="dxa"/>
            <w:tcBorders>
              <w:left w:val="single" w:sz="2" w:space="0" w:color="000001"/>
              <w:bottom w:val="single" w:sz="2" w:space="0" w:color="000001"/>
            </w:tcBorders>
            <w:shd w:val="clear" w:color="auto" w:fill="auto"/>
          </w:tcPr>
          <w:p w:rsidR="00D27F66" w:rsidRDefault="0093037D">
            <w:pPr>
              <w:pStyle w:val="Obsahtabulky"/>
            </w:pPr>
            <w:r>
              <w:rPr>
                <w:rFonts w:ascii="Calibri" w:hAnsi="Calibri"/>
                <w:sz w:val="20"/>
                <w:szCs w:val="20"/>
              </w:rPr>
              <w:t>7. Kontrola ředitelem</w:t>
            </w:r>
          </w:p>
        </w:tc>
        <w:tc>
          <w:tcPr>
            <w:tcW w:w="1560" w:type="dxa"/>
            <w:tcBorders>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highlight w:val="white"/>
              </w:rPr>
              <w:t>karta faktury (schválená hlavní účetní)</w:t>
            </w:r>
          </w:p>
        </w:tc>
        <w:tc>
          <w:tcPr>
            <w:tcW w:w="6918" w:type="dxa"/>
            <w:tcBorders>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bCs/>
                <w:color w:val="000000"/>
                <w:sz w:val="20"/>
                <w:szCs w:val="20"/>
                <w:highlight w:val="white"/>
              </w:rPr>
              <w:t xml:space="preserve">Ředitel provede závěrečnou kontrolu a uvolní fakturu k proplacení. V případě neschválení je návrat do kroku </w:t>
            </w:r>
            <w:r>
              <w:rPr>
                <w:rFonts w:ascii="Calibri" w:hAnsi="Calibri" w:cs="Times New Roman"/>
                <w:sz w:val="20"/>
                <w:szCs w:val="20"/>
              </w:rPr>
              <w:t xml:space="preserve">3. </w:t>
            </w:r>
            <w:r>
              <w:rPr>
                <w:rFonts w:ascii="Calibri" w:hAnsi="Calibri" w:cs="Times New Roman"/>
                <w:i/>
                <w:sz w:val="20"/>
                <w:szCs w:val="20"/>
              </w:rPr>
              <w:t>Schválení příkazcem</w:t>
            </w:r>
            <w:r>
              <w:rPr>
                <w:rFonts w:ascii="Calibri" w:hAnsi="Calibri" w:cs="Times New Roman"/>
                <w:sz w:val="20"/>
                <w:szCs w:val="20"/>
              </w:rPr>
              <w:t>.</w:t>
            </w:r>
          </w:p>
        </w:tc>
        <w:tc>
          <w:tcPr>
            <w:tcW w:w="1687" w:type="dxa"/>
            <w:tcBorders>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highlight w:val="white"/>
              </w:rPr>
              <w:t>karta faktury (zkontrolovaná ředitelem)</w:t>
            </w:r>
          </w:p>
        </w:tc>
        <w:tc>
          <w:tcPr>
            <w:tcW w:w="1988" w:type="dxa"/>
            <w:tcBorders>
              <w:left w:val="single" w:sz="2" w:space="0" w:color="000001"/>
              <w:bottom w:val="single" w:sz="2" w:space="0" w:color="000001"/>
              <w:right w:val="single" w:sz="2" w:space="0" w:color="000001"/>
            </w:tcBorders>
            <w:shd w:val="clear" w:color="auto" w:fill="auto"/>
          </w:tcPr>
          <w:p w:rsidR="00D27F66" w:rsidRDefault="0093037D">
            <w:pPr>
              <w:pStyle w:val="Obsahtabulky"/>
            </w:pPr>
            <w:r>
              <w:rPr>
                <w:rFonts w:ascii="Calibri" w:hAnsi="Calibri"/>
                <w:sz w:val="20"/>
                <w:szCs w:val="20"/>
              </w:rPr>
              <w:t>ředitel</w:t>
            </w:r>
          </w:p>
        </w:tc>
      </w:tr>
      <w:tr w:rsidR="00D27F66">
        <w:trPr>
          <w:cantSplit/>
        </w:trPr>
        <w:tc>
          <w:tcPr>
            <w:tcW w:w="2427" w:type="dxa"/>
            <w:tcBorders>
              <w:left w:val="single" w:sz="2" w:space="0" w:color="000001"/>
              <w:bottom w:val="single" w:sz="2" w:space="0" w:color="000001"/>
            </w:tcBorders>
            <w:shd w:val="clear" w:color="auto" w:fill="auto"/>
          </w:tcPr>
          <w:p w:rsidR="00D27F66" w:rsidRDefault="0093037D">
            <w:pPr>
              <w:pStyle w:val="Obsahtabulky"/>
            </w:pPr>
            <w:r>
              <w:rPr>
                <w:rFonts w:ascii="Calibri" w:hAnsi="Calibri"/>
                <w:sz w:val="20"/>
                <w:szCs w:val="20"/>
              </w:rPr>
              <w:t>8. Vytvoření příkazu k úhradě</w:t>
            </w:r>
          </w:p>
        </w:tc>
        <w:tc>
          <w:tcPr>
            <w:tcW w:w="1560" w:type="dxa"/>
            <w:tcBorders>
              <w:left w:val="single" w:sz="2" w:space="0" w:color="000001"/>
              <w:bottom w:val="single" w:sz="2" w:space="0" w:color="000001"/>
            </w:tcBorders>
            <w:shd w:val="clear" w:color="auto" w:fill="auto"/>
          </w:tcPr>
          <w:p w:rsidR="00D27F66" w:rsidRDefault="0093037D">
            <w:pPr>
              <w:pStyle w:val="Obsahtabulky"/>
            </w:pPr>
            <w:r>
              <w:rPr>
                <w:rFonts w:ascii="Calibri" w:hAnsi="Calibri" w:cs="Times New Roman"/>
                <w:sz w:val="20"/>
                <w:szCs w:val="20"/>
                <w:highlight w:val="white"/>
              </w:rPr>
              <w:t>karta faktury (zkontrolovaná ředitelem)</w:t>
            </w:r>
          </w:p>
        </w:tc>
        <w:tc>
          <w:tcPr>
            <w:tcW w:w="6918" w:type="dxa"/>
            <w:tcBorders>
              <w:left w:val="single" w:sz="2" w:space="0" w:color="000001"/>
              <w:bottom w:val="single" w:sz="2" w:space="0" w:color="000001"/>
            </w:tcBorders>
            <w:shd w:val="clear" w:color="auto" w:fill="auto"/>
          </w:tcPr>
          <w:p w:rsidR="00D27F66" w:rsidRDefault="0093037D">
            <w:pPr>
              <w:pStyle w:val="Obsahtabulky"/>
            </w:pPr>
            <w:r>
              <w:rPr>
                <w:rFonts w:ascii="Calibri" w:hAnsi="Calibri"/>
                <w:sz w:val="20"/>
                <w:szCs w:val="20"/>
              </w:rPr>
              <w:t xml:space="preserve">Účetní vytvoří v informačním systému příkaz k úhradě a provede kontrolu na bankovní spojení, VS a částky uvedené ve faktuře. </w:t>
            </w:r>
          </w:p>
        </w:tc>
        <w:tc>
          <w:tcPr>
            <w:tcW w:w="1687" w:type="dxa"/>
            <w:tcBorders>
              <w:left w:val="single" w:sz="2" w:space="0" w:color="000001"/>
              <w:bottom w:val="single" w:sz="2" w:space="0" w:color="000001"/>
            </w:tcBorders>
            <w:shd w:val="clear" w:color="auto" w:fill="auto"/>
          </w:tcPr>
          <w:p w:rsidR="00D27F66" w:rsidRDefault="0093037D">
            <w:pPr>
              <w:pStyle w:val="Obsahtabulky"/>
            </w:pPr>
            <w:r>
              <w:rPr>
                <w:rFonts w:ascii="Calibri" w:hAnsi="Calibri"/>
                <w:sz w:val="20"/>
                <w:szCs w:val="20"/>
              </w:rPr>
              <w:t>hromadný příkaz k úhradě</w:t>
            </w:r>
          </w:p>
        </w:tc>
        <w:tc>
          <w:tcPr>
            <w:tcW w:w="1988" w:type="dxa"/>
            <w:tcBorders>
              <w:left w:val="single" w:sz="2" w:space="0" w:color="000001"/>
              <w:bottom w:val="single" w:sz="2" w:space="0" w:color="000001"/>
              <w:right w:val="single" w:sz="2" w:space="0" w:color="000001"/>
            </w:tcBorders>
            <w:shd w:val="clear" w:color="auto" w:fill="auto"/>
          </w:tcPr>
          <w:p w:rsidR="00D27F66" w:rsidRDefault="0093037D">
            <w:pPr>
              <w:pStyle w:val="Obsahtabulky"/>
            </w:pPr>
            <w:r>
              <w:rPr>
                <w:rFonts w:ascii="Calibri" w:hAnsi="Calibri"/>
                <w:sz w:val="20"/>
                <w:szCs w:val="20"/>
              </w:rPr>
              <w:t>účetní</w:t>
            </w:r>
          </w:p>
        </w:tc>
      </w:tr>
    </w:tbl>
    <w:p w:rsidR="00D27F66" w:rsidRDefault="0093037D">
      <w:pPr>
        <w:spacing w:before="113"/>
      </w:pPr>
      <w:r>
        <w:rPr>
          <w:color w:val="000000"/>
          <w:szCs w:val="22"/>
        </w:rPr>
        <w:t>Pozn.: Zálohové faktury se řeší stejně jako řádné faktury.</w:t>
      </w:r>
    </w:p>
    <w:p w:rsidR="00D27F66" w:rsidRDefault="0093037D">
      <w:r>
        <w:br w:type="page"/>
      </w:r>
    </w:p>
    <w:p w:rsidR="00D27F66" w:rsidRDefault="0093037D">
      <w:r>
        <w:rPr>
          <w:noProof/>
          <w:lang w:eastAsia="cs-CZ" w:bidi="ar-SA"/>
        </w:rPr>
        <w:lastRenderedPageBreak/>
        <w:drawing>
          <wp:anchor distT="0" distB="0" distL="0" distR="0" simplePos="0" relativeHeight="3" behindDoc="0" locked="0" layoutInCell="1" allowOverlap="1">
            <wp:simplePos x="0" y="0"/>
            <wp:positionH relativeFrom="column">
              <wp:align>center</wp:align>
            </wp:positionH>
            <wp:positionV relativeFrom="paragraph">
              <wp:posOffset>635</wp:posOffset>
            </wp:positionV>
            <wp:extent cx="7948930" cy="6076950"/>
            <wp:effectExtent l="0" t="0" r="0" b="0"/>
            <wp:wrapSquare wrapText="largest"/>
            <wp:docPr id="2"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2"/>
                    <pic:cNvPicPr>
                      <a:picLocks noChangeAspect="1" noChangeArrowheads="1"/>
                    </pic:cNvPicPr>
                  </pic:nvPicPr>
                  <pic:blipFill>
                    <a:blip r:embed="rId9"/>
                    <a:stretch>
                      <a:fillRect/>
                    </a:stretch>
                  </pic:blipFill>
                  <pic:spPr bwMode="auto">
                    <a:xfrm>
                      <a:off x="0" y="0"/>
                      <a:ext cx="7948930" cy="6076950"/>
                    </a:xfrm>
                    <a:prstGeom prst="rect">
                      <a:avLst/>
                    </a:prstGeom>
                  </pic:spPr>
                </pic:pic>
              </a:graphicData>
            </a:graphic>
          </wp:anchor>
        </w:drawing>
      </w:r>
      <w:r>
        <w:br w:type="page"/>
      </w:r>
    </w:p>
    <w:p w:rsidR="00D27F66" w:rsidRDefault="0093037D">
      <w:pPr>
        <w:pStyle w:val="Nadpis3"/>
        <w:numPr>
          <w:ilvl w:val="2"/>
          <w:numId w:val="3"/>
        </w:numPr>
      </w:pPr>
      <w:r>
        <w:lastRenderedPageBreak/>
        <w:t>Schvalování nepřítomností (dovolená, náhradní volno, studijní volno, svatba/pohřeb, darování krve)</w:t>
      </w:r>
    </w:p>
    <w:tbl>
      <w:tblPr>
        <w:tblW w:w="14792" w:type="dxa"/>
        <w:tblInd w:w="46" w:type="dxa"/>
        <w:tblCellMar>
          <w:top w:w="57" w:type="dxa"/>
          <w:left w:w="46" w:type="dxa"/>
          <w:bottom w:w="57" w:type="dxa"/>
          <w:right w:w="57" w:type="dxa"/>
        </w:tblCellMar>
        <w:tblLook w:val="04A0" w:firstRow="1" w:lastRow="0" w:firstColumn="1" w:lastColumn="0" w:noHBand="0" w:noVBand="1"/>
      </w:tblPr>
      <w:tblGrid>
        <w:gridCol w:w="2261"/>
        <w:gridCol w:w="1695"/>
        <w:gridCol w:w="7654"/>
        <w:gridCol w:w="1693"/>
        <w:gridCol w:w="1489"/>
      </w:tblGrid>
      <w:tr w:rsidR="00D27F66">
        <w:trPr>
          <w:cantSplit/>
          <w:tblHeader/>
        </w:trPr>
        <w:tc>
          <w:tcPr>
            <w:tcW w:w="2261" w:type="dxa"/>
            <w:tcBorders>
              <w:top w:val="single" w:sz="2" w:space="0" w:color="000001"/>
              <w:left w:val="single" w:sz="2" w:space="0" w:color="000001"/>
              <w:bottom w:val="single" w:sz="2" w:space="0" w:color="000001"/>
            </w:tcBorders>
            <w:shd w:val="clear" w:color="auto" w:fill="E6E6E6"/>
            <w:vAlign w:val="center"/>
          </w:tcPr>
          <w:p w:rsidR="00D27F66" w:rsidRDefault="0093037D">
            <w:pPr>
              <w:pStyle w:val="Obsahtabulky"/>
              <w:numPr>
                <w:ilvl w:val="0"/>
                <w:numId w:val="3"/>
              </w:numPr>
            </w:pPr>
            <w:r>
              <w:rPr>
                <w:rFonts w:cs="Calibri"/>
                <w:szCs w:val="20"/>
              </w:rPr>
              <w:t>Činnost</w:t>
            </w:r>
          </w:p>
        </w:tc>
        <w:tc>
          <w:tcPr>
            <w:tcW w:w="1695" w:type="dxa"/>
            <w:tcBorders>
              <w:top w:val="single" w:sz="2" w:space="0" w:color="000001"/>
              <w:left w:val="single" w:sz="2" w:space="0" w:color="000001"/>
              <w:bottom w:val="single" w:sz="2" w:space="0" w:color="000001"/>
            </w:tcBorders>
            <w:shd w:val="clear" w:color="auto" w:fill="E6E6E6"/>
            <w:vAlign w:val="center"/>
          </w:tcPr>
          <w:p w:rsidR="00D27F66" w:rsidRDefault="0093037D">
            <w:pPr>
              <w:pStyle w:val="Obsahtabulky"/>
              <w:numPr>
                <w:ilvl w:val="0"/>
                <w:numId w:val="3"/>
              </w:numPr>
              <w:ind w:left="57"/>
            </w:pPr>
            <w:r>
              <w:rPr>
                <w:rFonts w:cs="Calibri"/>
                <w:szCs w:val="20"/>
              </w:rPr>
              <w:t>Vstup</w:t>
            </w:r>
          </w:p>
        </w:tc>
        <w:tc>
          <w:tcPr>
            <w:tcW w:w="7654" w:type="dxa"/>
            <w:tcBorders>
              <w:top w:val="single" w:sz="2" w:space="0" w:color="000001"/>
              <w:left w:val="single" w:sz="2" w:space="0" w:color="000001"/>
              <w:bottom w:val="single" w:sz="2" w:space="0" w:color="000001"/>
            </w:tcBorders>
            <w:shd w:val="clear" w:color="auto" w:fill="E6E6E6"/>
            <w:vAlign w:val="center"/>
          </w:tcPr>
          <w:p w:rsidR="00D27F66" w:rsidRDefault="0093037D">
            <w:pPr>
              <w:pStyle w:val="Obsahtabulky"/>
              <w:numPr>
                <w:ilvl w:val="0"/>
                <w:numId w:val="3"/>
              </w:numPr>
              <w:ind w:left="57"/>
            </w:pPr>
            <w:r>
              <w:rPr>
                <w:rFonts w:cs="Calibri"/>
                <w:szCs w:val="20"/>
              </w:rPr>
              <w:t>Popis</w:t>
            </w:r>
            <w:r>
              <w:rPr>
                <w:rFonts w:cs="Calibri"/>
                <w:color w:val="333333"/>
                <w:szCs w:val="20"/>
              </w:rPr>
              <w:t xml:space="preserve"> činnosti</w:t>
            </w:r>
          </w:p>
        </w:tc>
        <w:tc>
          <w:tcPr>
            <w:tcW w:w="1693" w:type="dxa"/>
            <w:tcBorders>
              <w:top w:val="single" w:sz="2" w:space="0" w:color="000001"/>
              <w:left w:val="single" w:sz="2" w:space="0" w:color="000001"/>
              <w:bottom w:val="single" w:sz="2" w:space="0" w:color="000001"/>
            </w:tcBorders>
            <w:shd w:val="clear" w:color="auto" w:fill="E6E6E6"/>
            <w:vAlign w:val="center"/>
          </w:tcPr>
          <w:p w:rsidR="00D27F66" w:rsidRDefault="0093037D">
            <w:pPr>
              <w:pStyle w:val="Obsahtabulky"/>
              <w:numPr>
                <w:ilvl w:val="0"/>
                <w:numId w:val="3"/>
              </w:numPr>
              <w:ind w:left="57"/>
            </w:pPr>
            <w:r>
              <w:rPr>
                <w:rFonts w:cs="Calibri"/>
                <w:szCs w:val="20"/>
              </w:rPr>
              <w:t>Výstup (mezivýstup)</w:t>
            </w:r>
          </w:p>
        </w:tc>
        <w:tc>
          <w:tcPr>
            <w:tcW w:w="1489" w:type="dxa"/>
            <w:tcBorders>
              <w:top w:val="single" w:sz="2" w:space="0" w:color="000001"/>
              <w:left w:val="single" w:sz="2" w:space="0" w:color="000001"/>
              <w:bottom w:val="single" w:sz="2" w:space="0" w:color="000001"/>
              <w:right w:val="single" w:sz="2" w:space="0" w:color="000001"/>
            </w:tcBorders>
            <w:shd w:val="clear" w:color="auto" w:fill="E6E6E6"/>
            <w:vAlign w:val="center"/>
          </w:tcPr>
          <w:p w:rsidR="00D27F66" w:rsidRDefault="0093037D">
            <w:pPr>
              <w:pStyle w:val="Obsahtabulky"/>
              <w:numPr>
                <w:ilvl w:val="0"/>
                <w:numId w:val="3"/>
              </w:numPr>
              <w:ind w:left="57"/>
            </w:pPr>
            <w:r>
              <w:rPr>
                <w:rFonts w:cs="Calibri"/>
                <w:szCs w:val="20"/>
              </w:rPr>
              <w:t>Provádí</w:t>
            </w:r>
          </w:p>
        </w:tc>
      </w:tr>
      <w:tr w:rsidR="00D27F66">
        <w:trPr>
          <w:cantSplit/>
        </w:trPr>
        <w:tc>
          <w:tcPr>
            <w:tcW w:w="14792" w:type="dxa"/>
            <w:gridSpan w:val="5"/>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numPr>
                <w:ilvl w:val="0"/>
                <w:numId w:val="3"/>
              </w:numPr>
            </w:pPr>
            <w:r>
              <w:rPr>
                <w:rFonts w:ascii="Calibri" w:hAnsi="Calibri"/>
                <w:b/>
                <w:bCs/>
                <w:sz w:val="20"/>
                <w:szCs w:val="20"/>
              </w:rPr>
              <w:t>Schvalovaná nepřítomnost</w:t>
            </w:r>
          </w:p>
        </w:tc>
      </w:tr>
      <w:tr w:rsidR="00D27F66">
        <w:trPr>
          <w:cantSplit/>
        </w:trPr>
        <w:tc>
          <w:tcPr>
            <w:tcW w:w="2261" w:type="dxa"/>
            <w:tcBorders>
              <w:left w:val="single" w:sz="2" w:space="0" w:color="000001"/>
              <w:bottom w:val="single" w:sz="2" w:space="0" w:color="000001"/>
            </w:tcBorders>
            <w:shd w:val="clear" w:color="auto" w:fill="auto"/>
          </w:tcPr>
          <w:p w:rsidR="00D27F66" w:rsidRDefault="0093037D">
            <w:pPr>
              <w:numPr>
                <w:ilvl w:val="0"/>
                <w:numId w:val="3"/>
              </w:numPr>
            </w:pPr>
            <w:r>
              <w:rPr>
                <w:rFonts w:ascii="Calibri" w:hAnsi="Calibri" w:cs="Times New Roman"/>
                <w:color w:val="000000"/>
                <w:sz w:val="20"/>
                <w:szCs w:val="20"/>
              </w:rPr>
              <w:t>1. Žádost o nepřítomnost</w:t>
            </w:r>
          </w:p>
        </w:tc>
        <w:tc>
          <w:tcPr>
            <w:tcW w:w="1695"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potřeba</w:t>
            </w:r>
          </w:p>
        </w:tc>
        <w:tc>
          <w:tcPr>
            <w:tcW w:w="7654" w:type="dxa"/>
            <w:tcBorders>
              <w:left w:val="single" w:sz="2" w:space="0" w:color="000001"/>
              <w:bottom w:val="single" w:sz="2" w:space="0" w:color="000001"/>
            </w:tcBorders>
            <w:shd w:val="clear" w:color="auto" w:fill="auto"/>
          </w:tcPr>
          <w:p w:rsidR="00D27F66" w:rsidRDefault="0093037D">
            <w:pPr>
              <w:pStyle w:val="Normlnweb"/>
              <w:numPr>
                <w:ilvl w:val="0"/>
                <w:numId w:val="3"/>
              </w:numPr>
              <w:spacing w:before="0" w:after="0" w:line="240" w:lineRule="auto"/>
            </w:pPr>
            <w:r>
              <w:rPr>
                <w:rFonts w:ascii="Calibri" w:hAnsi="Calibri"/>
                <w:bCs/>
                <w:color w:val="000000"/>
                <w:highlight w:val="white"/>
              </w:rPr>
              <w:t>Zaměstnanec vytvoří v systému novou žádost o schválení nepřítomnosti, zadá časový interval a vybere typ nepřítomnosti.</w:t>
            </w:r>
          </w:p>
          <w:p w:rsidR="00D27F66" w:rsidRDefault="0093037D">
            <w:pPr>
              <w:pStyle w:val="Normlnweb"/>
              <w:numPr>
                <w:ilvl w:val="0"/>
                <w:numId w:val="3"/>
              </w:numPr>
              <w:spacing w:before="0" w:after="0" w:line="240" w:lineRule="auto"/>
            </w:pPr>
            <w:r>
              <w:rPr>
                <w:rFonts w:ascii="Calibri" w:hAnsi="Calibri"/>
                <w:bCs/>
                <w:color w:val="000000"/>
                <w:highlight w:val="white"/>
              </w:rPr>
              <w:t>Pozn.: V případě žádosti o nepřítomnost podané zpětně (překročení o zadanou lhůtu), systém neumožní žádost zadat.</w:t>
            </w:r>
          </w:p>
        </w:tc>
        <w:tc>
          <w:tcPr>
            <w:tcW w:w="1693"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žádost</w:t>
            </w:r>
          </w:p>
        </w:tc>
        <w:tc>
          <w:tcPr>
            <w:tcW w:w="1489" w:type="dxa"/>
            <w:tcBorders>
              <w:left w:val="single" w:sz="2" w:space="0" w:color="000001"/>
              <w:bottom w:val="single" w:sz="2" w:space="0" w:color="000001"/>
              <w:right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zaměstnanec</w:t>
            </w:r>
          </w:p>
        </w:tc>
      </w:tr>
      <w:tr w:rsidR="00D27F66">
        <w:trPr>
          <w:cantSplit/>
        </w:trPr>
        <w:tc>
          <w:tcPr>
            <w:tcW w:w="2261"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2. Schválení nepřítomnosti</w:t>
            </w:r>
          </w:p>
        </w:tc>
        <w:tc>
          <w:tcPr>
            <w:tcW w:w="1695"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žádost</w:t>
            </w:r>
          </w:p>
        </w:tc>
        <w:tc>
          <w:tcPr>
            <w:tcW w:w="7654" w:type="dxa"/>
            <w:tcBorders>
              <w:left w:val="single" w:sz="2" w:space="0" w:color="000001"/>
              <w:bottom w:val="single" w:sz="2" w:space="0" w:color="000001"/>
            </w:tcBorders>
            <w:shd w:val="clear" w:color="auto" w:fill="auto"/>
          </w:tcPr>
          <w:p w:rsidR="00D27F66" w:rsidRDefault="0093037D">
            <w:pPr>
              <w:pStyle w:val="Normlnweb"/>
              <w:numPr>
                <w:ilvl w:val="0"/>
                <w:numId w:val="3"/>
              </w:numPr>
              <w:spacing w:before="0" w:after="0" w:line="240" w:lineRule="auto"/>
            </w:pPr>
            <w:r>
              <w:rPr>
                <w:rFonts w:ascii="Calibri" w:hAnsi="Calibri"/>
                <w:bCs/>
                <w:color w:val="000000"/>
                <w:highlight w:val="white"/>
              </w:rPr>
              <w:t>Nadřízený zaměstnance schválí žádost nebo ji zamítne. Zaměstnanci je zaslána notifikace.</w:t>
            </w:r>
          </w:p>
        </w:tc>
        <w:tc>
          <w:tcPr>
            <w:tcW w:w="1693"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schválená žádost</w:t>
            </w:r>
          </w:p>
        </w:tc>
        <w:tc>
          <w:tcPr>
            <w:tcW w:w="1489" w:type="dxa"/>
            <w:tcBorders>
              <w:left w:val="single" w:sz="2" w:space="0" w:color="000001"/>
              <w:bottom w:val="single" w:sz="2" w:space="0" w:color="000001"/>
              <w:right w:val="single" w:sz="2" w:space="0" w:color="000001"/>
            </w:tcBorders>
            <w:shd w:val="clear" w:color="auto" w:fill="auto"/>
          </w:tcPr>
          <w:p w:rsidR="00D27F66" w:rsidRDefault="0093037D">
            <w:pPr>
              <w:pStyle w:val="Obsahtabulky"/>
              <w:numPr>
                <w:ilvl w:val="0"/>
                <w:numId w:val="3"/>
              </w:numPr>
            </w:pPr>
            <w:r>
              <w:rPr>
                <w:rFonts w:ascii="Calibri" w:hAnsi="Calibri"/>
                <w:sz w:val="20"/>
                <w:szCs w:val="20"/>
              </w:rPr>
              <w:t>přímý nadřízený</w:t>
            </w:r>
          </w:p>
        </w:tc>
      </w:tr>
      <w:tr w:rsidR="00D27F66">
        <w:trPr>
          <w:cantSplit/>
        </w:trPr>
        <w:tc>
          <w:tcPr>
            <w:tcW w:w="2261"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3. Storno nepřítomnosti</w:t>
            </w:r>
          </w:p>
        </w:tc>
        <w:tc>
          <w:tcPr>
            <w:tcW w:w="1695"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schválená žádost</w:t>
            </w:r>
          </w:p>
        </w:tc>
        <w:tc>
          <w:tcPr>
            <w:tcW w:w="7654" w:type="dxa"/>
            <w:tcBorders>
              <w:left w:val="single" w:sz="2" w:space="0" w:color="000001"/>
              <w:bottom w:val="single" w:sz="2" w:space="0" w:color="000001"/>
            </w:tcBorders>
            <w:shd w:val="clear" w:color="auto" w:fill="auto"/>
          </w:tcPr>
          <w:p w:rsidR="00D27F66" w:rsidRDefault="0093037D">
            <w:pPr>
              <w:pStyle w:val="Normlnweb"/>
              <w:numPr>
                <w:ilvl w:val="0"/>
                <w:numId w:val="3"/>
              </w:numPr>
              <w:spacing w:before="0" w:after="0" w:line="240" w:lineRule="auto"/>
            </w:pPr>
            <w:r>
              <w:rPr>
                <w:rFonts w:ascii="Calibri" w:hAnsi="Calibri"/>
                <w:bCs/>
                <w:color w:val="000000"/>
                <w:highlight w:val="white"/>
              </w:rPr>
              <w:t>Zaměstnanec nebo přímý nadřízený mohou v odůvodněných případech stornovat schválenou žádost o nepřítomnost. Při stornu ze strany zaměstnance je zaslána notifikace nadřízenému, v případě storna nepřítomnosti ze strany nadřízeného je notifikace zaslána zaměstnanci.</w:t>
            </w:r>
          </w:p>
          <w:p w:rsidR="00D27F66" w:rsidRDefault="0093037D">
            <w:pPr>
              <w:pStyle w:val="Normlnweb"/>
              <w:numPr>
                <w:ilvl w:val="0"/>
                <w:numId w:val="3"/>
              </w:numPr>
              <w:spacing w:before="0" w:after="0" w:line="240" w:lineRule="auto"/>
            </w:pPr>
            <w:r>
              <w:rPr>
                <w:rFonts w:ascii="Calibri" w:hAnsi="Calibri"/>
                <w:bCs/>
                <w:color w:val="000000"/>
                <w:highlight w:val="white"/>
              </w:rPr>
              <w:t>Pozn.: Storno nepřítomnosti nelze provést v případě již vyúčtované mzdy, případně uplynutí 10 dnů po ukončení schválené nepřítomnosti.</w:t>
            </w:r>
          </w:p>
        </w:tc>
        <w:tc>
          <w:tcPr>
            <w:tcW w:w="1693"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stornovaná nepřítomnost</w:t>
            </w:r>
          </w:p>
        </w:tc>
        <w:tc>
          <w:tcPr>
            <w:tcW w:w="1489" w:type="dxa"/>
            <w:tcBorders>
              <w:left w:val="single" w:sz="2" w:space="0" w:color="000001"/>
              <w:bottom w:val="single" w:sz="2" w:space="0" w:color="000001"/>
              <w:right w:val="single" w:sz="2" w:space="0" w:color="000001"/>
            </w:tcBorders>
            <w:shd w:val="clear" w:color="auto" w:fill="auto"/>
          </w:tcPr>
          <w:p w:rsidR="00D27F66" w:rsidRDefault="0093037D">
            <w:pPr>
              <w:pStyle w:val="Obsahtabulky"/>
              <w:numPr>
                <w:ilvl w:val="0"/>
                <w:numId w:val="3"/>
              </w:numPr>
            </w:pPr>
            <w:r>
              <w:rPr>
                <w:rFonts w:ascii="Calibri" w:hAnsi="Calibri"/>
                <w:sz w:val="20"/>
                <w:szCs w:val="20"/>
              </w:rPr>
              <w:t>zaměstnanec nebo přímý nadřízený</w:t>
            </w:r>
          </w:p>
        </w:tc>
      </w:tr>
      <w:tr w:rsidR="00D27F66">
        <w:trPr>
          <w:cantSplit/>
        </w:trPr>
        <w:tc>
          <w:tcPr>
            <w:tcW w:w="14792" w:type="dxa"/>
            <w:gridSpan w:val="5"/>
            <w:tcBorders>
              <w:left w:val="single" w:sz="2" w:space="0" w:color="000001"/>
              <w:bottom w:val="single" w:sz="2" w:space="0" w:color="000001"/>
              <w:right w:val="single" w:sz="2" w:space="0" w:color="000001"/>
            </w:tcBorders>
            <w:shd w:val="clear" w:color="auto" w:fill="auto"/>
          </w:tcPr>
          <w:p w:rsidR="00D27F66" w:rsidRDefault="0093037D">
            <w:pPr>
              <w:pStyle w:val="Obsahtabulky"/>
              <w:numPr>
                <w:ilvl w:val="0"/>
                <w:numId w:val="3"/>
              </w:numPr>
            </w:pPr>
            <w:r>
              <w:rPr>
                <w:rFonts w:ascii="Calibri" w:hAnsi="Calibri"/>
                <w:b/>
                <w:bCs/>
                <w:sz w:val="20"/>
                <w:szCs w:val="20"/>
              </w:rPr>
              <w:t>Neschvalovaná nepřítomnost</w:t>
            </w:r>
          </w:p>
        </w:tc>
      </w:tr>
      <w:tr w:rsidR="00D27F66">
        <w:trPr>
          <w:cantSplit/>
        </w:trPr>
        <w:tc>
          <w:tcPr>
            <w:tcW w:w="2261"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Zavedení neplánované nepřítomnosti</w:t>
            </w:r>
          </w:p>
        </w:tc>
        <w:tc>
          <w:tcPr>
            <w:tcW w:w="1695"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neplánovaná nepřítomnost (důležitá osobní překážka v práci)</w:t>
            </w:r>
          </w:p>
        </w:tc>
        <w:tc>
          <w:tcPr>
            <w:tcW w:w="7654"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bCs/>
                <w:color w:val="000000"/>
                <w:sz w:val="20"/>
                <w:szCs w:val="20"/>
                <w:highlight w:val="white"/>
              </w:rPr>
              <w:t xml:space="preserve">Nepřítomnost pracovníka z důvodu důležité osobní překážky v práci (např. nemoc) zadává do systému mzdová účetní na základě předložených dokladů. </w:t>
            </w:r>
          </w:p>
        </w:tc>
        <w:tc>
          <w:tcPr>
            <w:tcW w:w="1693"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nepřítomnost (zadaná)</w:t>
            </w:r>
          </w:p>
        </w:tc>
        <w:tc>
          <w:tcPr>
            <w:tcW w:w="1489" w:type="dxa"/>
            <w:tcBorders>
              <w:left w:val="single" w:sz="2" w:space="0" w:color="000001"/>
              <w:bottom w:val="single" w:sz="2" w:space="0" w:color="000001"/>
              <w:right w:val="single" w:sz="2" w:space="0" w:color="000001"/>
            </w:tcBorders>
            <w:shd w:val="clear" w:color="auto" w:fill="auto"/>
          </w:tcPr>
          <w:p w:rsidR="00D27F66" w:rsidRDefault="0093037D">
            <w:pPr>
              <w:pStyle w:val="Obsahtabulky"/>
              <w:numPr>
                <w:ilvl w:val="0"/>
                <w:numId w:val="3"/>
              </w:numPr>
            </w:pPr>
            <w:r>
              <w:rPr>
                <w:rFonts w:ascii="Calibri" w:hAnsi="Calibri" w:cs="Calibri"/>
                <w:sz w:val="20"/>
                <w:szCs w:val="20"/>
              </w:rPr>
              <w:t>mzdová účetní</w:t>
            </w:r>
          </w:p>
        </w:tc>
      </w:tr>
    </w:tbl>
    <w:p w:rsidR="00D27F66" w:rsidRDefault="00D27F66">
      <w:pPr>
        <w:numPr>
          <w:ilvl w:val="0"/>
          <w:numId w:val="3"/>
        </w:numPr>
      </w:pPr>
    </w:p>
    <w:p w:rsidR="00D27F66" w:rsidRDefault="00D27F66">
      <w:pPr>
        <w:numPr>
          <w:ilvl w:val="0"/>
          <w:numId w:val="3"/>
        </w:numPr>
        <w:rPr>
          <w:b/>
          <w:bCs/>
          <w:sz w:val="24"/>
        </w:rPr>
      </w:pPr>
    </w:p>
    <w:p w:rsidR="00D27F66" w:rsidRDefault="0093037D">
      <w:pPr>
        <w:rPr>
          <w:b/>
          <w:bCs/>
          <w:sz w:val="24"/>
        </w:rPr>
      </w:pPr>
      <w:r>
        <w:br w:type="page"/>
      </w:r>
    </w:p>
    <w:p w:rsidR="00D27F66" w:rsidRDefault="0093037D">
      <w:pPr>
        <w:pStyle w:val="Nadpis3"/>
        <w:numPr>
          <w:ilvl w:val="2"/>
          <w:numId w:val="3"/>
        </w:numPr>
      </w:pPr>
      <w:r>
        <w:lastRenderedPageBreak/>
        <w:t>Cestovní příkazy tuzemské</w:t>
      </w:r>
    </w:p>
    <w:tbl>
      <w:tblPr>
        <w:tblW w:w="14797" w:type="dxa"/>
        <w:tblInd w:w="43" w:type="dxa"/>
        <w:tblCellMar>
          <w:top w:w="57" w:type="dxa"/>
          <w:left w:w="43" w:type="dxa"/>
          <w:bottom w:w="57" w:type="dxa"/>
          <w:right w:w="57" w:type="dxa"/>
        </w:tblCellMar>
        <w:tblLook w:val="04A0" w:firstRow="1" w:lastRow="0" w:firstColumn="1" w:lastColumn="0" w:noHBand="0" w:noVBand="1"/>
      </w:tblPr>
      <w:tblGrid>
        <w:gridCol w:w="2262"/>
        <w:gridCol w:w="1699"/>
        <w:gridCol w:w="7704"/>
        <w:gridCol w:w="1699"/>
        <w:gridCol w:w="1433"/>
      </w:tblGrid>
      <w:tr w:rsidR="00D27F66">
        <w:trPr>
          <w:cantSplit/>
          <w:tblHeader/>
        </w:trPr>
        <w:tc>
          <w:tcPr>
            <w:tcW w:w="2262" w:type="dxa"/>
            <w:tcBorders>
              <w:top w:val="single" w:sz="2" w:space="0" w:color="000001"/>
              <w:left w:val="single" w:sz="2" w:space="0" w:color="000001"/>
              <w:bottom w:val="single" w:sz="2" w:space="0" w:color="000001"/>
            </w:tcBorders>
            <w:shd w:val="clear" w:color="auto" w:fill="E6E6E6"/>
            <w:vAlign w:val="center"/>
          </w:tcPr>
          <w:p w:rsidR="00D27F66" w:rsidRDefault="0093037D">
            <w:pPr>
              <w:pStyle w:val="Obsahtabulky"/>
              <w:numPr>
                <w:ilvl w:val="0"/>
                <w:numId w:val="3"/>
              </w:numPr>
            </w:pPr>
            <w:r>
              <w:rPr>
                <w:rFonts w:cs="Calibri"/>
                <w:szCs w:val="22"/>
              </w:rPr>
              <w:t>Činnost</w:t>
            </w:r>
          </w:p>
        </w:tc>
        <w:tc>
          <w:tcPr>
            <w:tcW w:w="1699" w:type="dxa"/>
            <w:tcBorders>
              <w:top w:val="single" w:sz="2" w:space="0" w:color="000001"/>
              <w:left w:val="single" w:sz="2" w:space="0" w:color="000001"/>
              <w:bottom w:val="single" w:sz="2" w:space="0" w:color="000001"/>
            </w:tcBorders>
            <w:shd w:val="clear" w:color="auto" w:fill="E6E6E6"/>
            <w:vAlign w:val="center"/>
          </w:tcPr>
          <w:p w:rsidR="00D27F66" w:rsidRDefault="0093037D">
            <w:pPr>
              <w:pStyle w:val="Obsahtabulky"/>
              <w:numPr>
                <w:ilvl w:val="0"/>
                <w:numId w:val="3"/>
              </w:numPr>
              <w:ind w:left="57"/>
            </w:pPr>
            <w:r>
              <w:rPr>
                <w:rFonts w:cs="Calibri"/>
                <w:szCs w:val="22"/>
              </w:rPr>
              <w:t>Vstup</w:t>
            </w:r>
          </w:p>
        </w:tc>
        <w:tc>
          <w:tcPr>
            <w:tcW w:w="7704" w:type="dxa"/>
            <w:tcBorders>
              <w:top w:val="single" w:sz="2" w:space="0" w:color="000001"/>
              <w:left w:val="single" w:sz="2" w:space="0" w:color="000001"/>
              <w:bottom w:val="single" w:sz="2" w:space="0" w:color="000001"/>
            </w:tcBorders>
            <w:shd w:val="clear" w:color="auto" w:fill="E6E6E6"/>
            <w:vAlign w:val="center"/>
          </w:tcPr>
          <w:p w:rsidR="00D27F66" w:rsidRDefault="0093037D">
            <w:pPr>
              <w:pStyle w:val="Obsahtabulky"/>
              <w:numPr>
                <w:ilvl w:val="0"/>
                <w:numId w:val="3"/>
              </w:numPr>
            </w:pPr>
            <w:r>
              <w:rPr>
                <w:rFonts w:cs="Calibri"/>
                <w:szCs w:val="22"/>
              </w:rPr>
              <w:t>Popis</w:t>
            </w:r>
            <w:r>
              <w:rPr>
                <w:rFonts w:cs="Calibri"/>
                <w:color w:val="333333"/>
                <w:szCs w:val="22"/>
              </w:rPr>
              <w:t xml:space="preserve"> činnosti</w:t>
            </w:r>
          </w:p>
        </w:tc>
        <w:tc>
          <w:tcPr>
            <w:tcW w:w="1699" w:type="dxa"/>
            <w:tcBorders>
              <w:top w:val="single" w:sz="2" w:space="0" w:color="000001"/>
              <w:left w:val="single" w:sz="2" w:space="0" w:color="000001"/>
              <w:bottom w:val="single" w:sz="2" w:space="0" w:color="000001"/>
            </w:tcBorders>
            <w:shd w:val="clear" w:color="auto" w:fill="E6E6E6"/>
            <w:vAlign w:val="center"/>
          </w:tcPr>
          <w:p w:rsidR="00D27F66" w:rsidRDefault="0093037D">
            <w:pPr>
              <w:pStyle w:val="Obsahtabulky"/>
              <w:numPr>
                <w:ilvl w:val="0"/>
                <w:numId w:val="3"/>
              </w:numPr>
              <w:ind w:left="57"/>
            </w:pPr>
            <w:r>
              <w:rPr>
                <w:rFonts w:cs="Calibri"/>
                <w:szCs w:val="22"/>
              </w:rPr>
              <w:t>Výstup (mezivýstup)</w:t>
            </w:r>
          </w:p>
        </w:tc>
        <w:tc>
          <w:tcPr>
            <w:tcW w:w="1433" w:type="dxa"/>
            <w:tcBorders>
              <w:top w:val="single" w:sz="2" w:space="0" w:color="000001"/>
              <w:left w:val="single" w:sz="2" w:space="0" w:color="000001"/>
              <w:bottom w:val="single" w:sz="2" w:space="0" w:color="000001"/>
              <w:right w:val="single" w:sz="2" w:space="0" w:color="000001"/>
            </w:tcBorders>
            <w:shd w:val="clear" w:color="auto" w:fill="E6E6E6"/>
            <w:vAlign w:val="center"/>
          </w:tcPr>
          <w:p w:rsidR="00D27F66" w:rsidRDefault="0093037D">
            <w:pPr>
              <w:pStyle w:val="Obsahtabulky"/>
              <w:numPr>
                <w:ilvl w:val="0"/>
                <w:numId w:val="3"/>
              </w:numPr>
              <w:ind w:left="57"/>
            </w:pPr>
            <w:r>
              <w:rPr>
                <w:rFonts w:cs="Calibri"/>
                <w:szCs w:val="22"/>
              </w:rPr>
              <w:t>Provádí</w:t>
            </w:r>
          </w:p>
        </w:tc>
      </w:tr>
      <w:tr w:rsidR="00D27F66">
        <w:trPr>
          <w:cantSplit/>
        </w:trPr>
        <w:tc>
          <w:tcPr>
            <w:tcW w:w="2262"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1. Vyplnění cestovního příkazu</w:t>
            </w:r>
          </w:p>
        </w:tc>
        <w:tc>
          <w:tcPr>
            <w:tcW w:w="1699"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záměr vycestovat</w:t>
            </w:r>
          </w:p>
        </w:tc>
        <w:tc>
          <w:tcPr>
            <w:tcW w:w="7704" w:type="dxa"/>
            <w:tcBorders>
              <w:top w:val="single" w:sz="2" w:space="0" w:color="000001"/>
              <w:left w:val="single" w:sz="2" w:space="0" w:color="000001"/>
              <w:bottom w:val="single" w:sz="2" w:space="0" w:color="000001"/>
            </w:tcBorders>
            <w:shd w:val="clear" w:color="auto" w:fill="auto"/>
          </w:tcPr>
          <w:p w:rsidR="00D27F66" w:rsidRDefault="0093037D">
            <w:pPr>
              <w:pStyle w:val="Normlnweb"/>
              <w:numPr>
                <w:ilvl w:val="0"/>
                <w:numId w:val="3"/>
              </w:numPr>
              <w:spacing w:before="0" w:after="0" w:line="240" w:lineRule="auto"/>
            </w:pPr>
            <w:r>
              <w:rPr>
                <w:rFonts w:ascii="Calibri" w:hAnsi="Calibri"/>
                <w:bCs/>
                <w:color w:val="000000"/>
              </w:rPr>
              <w:t xml:space="preserve">Pracovník, který je vyslán na pracovní cestu (cestovatel), provede zápis údajů potřebných ke schválení cesty před vycestováním. </w:t>
            </w:r>
          </w:p>
          <w:p w:rsidR="00D27F66" w:rsidRDefault="0093037D">
            <w:pPr>
              <w:pStyle w:val="Normlnweb"/>
              <w:numPr>
                <w:ilvl w:val="0"/>
                <w:numId w:val="3"/>
              </w:numPr>
              <w:spacing w:before="0" w:after="0" w:line="240" w:lineRule="auto"/>
            </w:pPr>
            <w:r>
              <w:rPr>
                <w:rFonts w:ascii="Calibri" w:hAnsi="Calibri"/>
                <w:bCs/>
                <w:color w:val="000000"/>
              </w:rPr>
              <w:t>Údaje zahrnují z pohledu workflow zejména:</w:t>
            </w:r>
          </w:p>
          <w:p w:rsidR="00D27F66" w:rsidRDefault="0093037D">
            <w:pPr>
              <w:pStyle w:val="Normlnweb"/>
              <w:numPr>
                <w:ilvl w:val="0"/>
                <w:numId w:val="4"/>
              </w:numPr>
              <w:spacing w:before="0" w:after="0" w:line="240" w:lineRule="auto"/>
            </w:pPr>
            <w:r>
              <w:rPr>
                <w:rFonts w:ascii="Calibri" w:hAnsi="Calibri"/>
                <w:bCs/>
                <w:color w:val="000000"/>
              </w:rPr>
              <w:t>předpokládané náklady na cestu</w:t>
            </w:r>
          </w:p>
          <w:p w:rsidR="00D27F66" w:rsidRDefault="0093037D">
            <w:pPr>
              <w:pStyle w:val="Normlnweb"/>
              <w:numPr>
                <w:ilvl w:val="0"/>
                <w:numId w:val="4"/>
              </w:numPr>
              <w:spacing w:before="0" w:after="0" w:line="240" w:lineRule="auto"/>
            </w:pPr>
            <w:r>
              <w:rPr>
                <w:rFonts w:ascii="Calibri" w:hAnsi="Calibri"/>
                <w:bCs/>
                <w:color w:val="000000"/>
              </w:rPr>
              <w:t>zdroj krytí cesty</w:t>
            </w:r>
          </w:p>
          <w:p w:rsidR="00D27F66" w:rsidRDefault="0093037D">
            <w:pPr>
              <w:pStyle w:val="Normlnweb"/>
              <w:numPr>
                <w:ilvl w:val="0"/>
                <w:numId w:val="4"/>
              </w:numPr>
              <w:spacing w:before="0" w:after="0" w:line="240" w:lineRule="auto"/>
            </w:pPr>
            <w:r>
              <w:rPr>
                <w:rFonts w:ascii="Calibri" w:hAnsi="Calibri"/>
                <w:bCs/>
                <w:color w:val="000000"/>
              </w:rPr>
              <w:t>žádost o poskytnutí zálohy a její výši</w:t>
            </w:r>
          </w:p>
          <w:p w:rsidR="00D27F66" w:rsidRDefault="0093037D">
            <w:pPr>
              <w:pStyle w:val="Normlnweb"/>
              <w:numPr>
                <w:ilvl w:val="0"/>
                <w:numId w:val="4"/>
              </w:numPr>
              <w:spacing w:before="0" w:after="0" w:line="240" w:lineRule="auto"/>
            </w:pPr>
            <w:r>
              <w:rPr>
                <w:rFonts w:ascii="Calibri" w:hAnsi="Calibri"/>
                <w:bCs/>
                <w:color w:val="000000"/>
              </w:rPr>
              <w:t>použití dopravního prostředku (uvede, jaký použije dopravní prostředek výběrem z možností).</w:t>
            </w:r>
          </w:p>
          <w:p w:rsidR="00D27F66" w:rsidRDefault="0093037D">
            <w:pPr>
              <w:pStyle w:val="Normlnweb"/>
              <w:numPr>
                <w:ilvl w:val="0"/>
                <w:numId w:val="3"/>
              </w:numPr>
              <w:spacing w:before="0" w:after="0" w:line="240" w:lineRule="auto"/>
            </w:pPr>
            <w:r>
              <w:rPr>
                <w:rFonts w:ascii="Calibri" w:hAnsi="Calibri"/>
                <w:bCs/>
                <w:color w:val="000000"/>
              </w:rPr>
              <w:t xml:space="preserve">Cestovatel, kterého zaměstnavatel vyslal na služební cestu soukromým vozem, zaklikne tuto skutečnost a zobrazí se mu formulář </w:t>
            </w:r>
            <w:r>
              <w:rPr>
                <w:rFonts w:ascii="Calibri" w:hAnsi="Calibri"/>
                <w:bCs/>
                <w:i/>
                <w:iCs/>
                <w:color w:val="000000"/>
              </w:rPr>
              <w:t>Žádost zaměstnavatele o povolení použití soukromého vozidla k pracovní cestě</w:t>
            </w:r>
            <w:r>
              <w:rPr>
                <w:rFonts w:ascii="Calibri" w:hAnsi="Calibri"/>
                <w:bCs/>
                <w:color w:val="000000"/>
              </w:rPr>
              <w:t>, který vyplní. Tento formulář je elektronicky pak součástí schvalovacího workflow.</w:t>
            </w:r>
          </w:p>
          <w:p w:rsidR="00D27F66" w:rsidRDefault="0093037D">
            <w:pPr>
              <w:pStyle w:val="Normlnweb"/>
              <w:numPr>
                <w:ilvl w:val="0"/>
                <w:numId w:val="3"/>
              </w:numPr>
              <w:spacing w:before="0" w:after="0" w:line="240" w:lineRule="auto"/>
            </w:pPr>
            <w:r>
              <w:rPr>
                <w:rFonts w:ascii="Calibri" w:hAnsi="Calibri"/>
                <w:bCs/>
                <w:color w:val="000000"/>
              </w:rPr>
              <w:t>Pozn.: Zápis údajů  potřebných ke schválení cesty před vycestováním může místo cestovatele provést pro definovaný okruh pracovníků referent CP resp. asistent.</w:t>
            </w:r>
          </w:p>
        </w:tc>
        <w:tc>
          <w:tcPr>
            <w:tcW w:w="1699"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cestovní příkaz (ke kontrole)</w:t>
            </w:r>
          </w:p>
        </w:tc>
        <w:tc>
          <w:tcPr>
            <w:tcW w:w="1433"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cestovatel</w:t>
            </w:r>
          </w:p>
        </w:tc>
      </w:tr>
      <w:tr w:rsidR="00D27F66">
        <w:trPr>
          <w:cantSplit/>
        </w:trPr>
        <w:tc>
          <w:tcPr>
            <w:tcW w:w="2262"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sz w:val="20"/>
                <w:szCs w:val="20"/>
              </w:rPr>
              <w:t>2. Kontrola vyplnění cest. příkazu</w:t>
            </w:r>
          </w:p>
        </w:tc>
        <w:tc>
          <w:tcPr>
            <w:tcW w:w="1699"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cestovní příkaz (ke kontrole)</w:t>
            </w:r>
          </w:p>
        </w:tc>
        <w:tc>
          <w:tcPr>
            <w:tcW w:w="7704" w:type="dxa"/>
            <w:tcBorders>
              <w:left w:val="single" w:sz="2" w:space="0" w:color="000001"/>
              <w:bottom w:val="single" w:sz="2" w:space="0" w:color="000001"/>
            </w:tcBorders>
            <w:shd w:val="clear" w:color="auto" w:fill="auto"/>
          </w:tcPr>
          <w:p w:rsidR="00D27F66" w:rsidRDefault="0093037D">
            <w:pPr>
              <w:pStyle w:val="Normlnweb"/>
              <w:numPr>
                <w:ilvl w:val="0"/>
                <w:numId w:val="3"/>
              </w:numPr>
              <w:spacing w:before="0" w:after="0" w:line="240" w:lineRule="auto"/>
            </w:pPr>
            <w:r>
              <w:rPr>
                <w:rFonts w:ascii="Calibri" w:hAnsi="Calibri"/>
              </w:rPr>
              <w:t>Kontrola správnosti vyplnění cestovního příkazu a příloh. Referent CP konzultuje s ředitelem ústavu použití soukromého vozidla a vyznačí do CP, zda bylo povoleno.</w:t>
            </w:r>
          </w:p>
          <w:p w:rsidR="00D27F66" w:rsidRDefault="0093037D">
            <w:pPr>
              <w:pStyle w:val="Normlnweb"/>
              <w:numPr>
                <w:ilvl w:val="0"/>
                <w:numId w:val="3"/>
              </w:numPr>
              <w:spacing w:before="0" w:after="0" w:line="240" w:lineRule="auto"/>
            </w:pPr>
            <w:r>
              <w:rPr>
                <w:rFonts w:ascii="Calibri" w:hAnsi="Calibri"/>
              </w:rPr>
              <w:t>V případě zjištění nesrovnalostí vrácení cestovateli na krok 1</w:t>
            </w:r>
            <w:r>
              <w:rPr>
                <w:rFonts w:ascii="Calibri" w:hAnsi="Calibri"/>
                <w:i/>
                <w:iCs/>
              </w:rPr>
              <w:t>. Žádost o cestu</w:t>
            </w:r>
            <w:r>
              <w:rPr>
                <w:rFonts w:ascii="Calibri" w:hAnsi="Calibri"/>
              </w:rPr>
              <w:t>.</w:t>
            </w:r>
          </w:p>
          <w:p w:rsidR="00D27F66" w:rsidRDefault="0093037D">
            <w:pPr>
              <w:pStyle w:val="Normlnweb"/>
              <w:numPr>
                <w:ilvl w:val="0"/>
                <w:numId w:val="3"/>
              </w:numPr>
              <w:spacing w:before="0" w:after="0" w:line="240" w:lineRule="auto"/>
            </w:pPr>
            <w:r>
              <w:rPr>
                <w:rFonts w:ascii="Calibri" w:hAnsi="Calibri"/>
              </w:rPr>
              <w:t>Při kontrole je prověřeno, zda cestovatel v případě použití vozidla absolvoval školení řidičů a je zdravotně způsobilý.</w:t>
            </w:r>
          </w:p>
          <w:p w:rsidR="00D27F66" w:rsidRDefault="0093037D">
            <w:pPr>
              <w:pStyle w:val="Normlnweb"/>
              <w:numPr>
                <w:ilvl w:val="0"/>
                <w:numId w:val="3"/>
              </w:numPr>
              <w:spacing w:before="0" w:after="0" w:line="240" w:lineRule="auto"/>
            </w:pPr>
            <w:r>
              <w:rPr>
                <w:rFonts w:ascii="Calibri" w:hAnsi="Calibri"/>
              </w:rPr>
              <w:t>Pozn.: Referentem CP může být i pověřená osoba jako je např. sekretářka.</w:t>
            </w:r>
          </w:p>
        </w:tc>
        <w:tc>
          <w:tcPr>
            <w:tcW w:w="1699"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cestovní příkaz (ke schválení)</w:t>
            </w:r>
          </w:p>
        </w:tc>
        <w:tc>
          <w:tcPr>
            <w:tcW w:w="1433" w:type="dxa"/>
            <w:tcBorders>
              <w:left w:val="single" w:sz="2" w:space="0" w:color="000001"/>
              <w:bottom w:val="single" w:sz="2" w:space="0" w:color="000001"/>
              <w:right w:val="single" w:sz="2" w:space="0" w:color="000001"/>
            </w:tcBorders>
            <w:shd w:val="clear" w:color="auto" w:fill="auto"/>
          </w:tcPr>
          <w:p w:rsidR="00D27F66" w:rsidRDefault="0093037D">
            <w:pPr>
              <w:pStyle w:val="Obsahtabulky"/>
              <w:numPr>
                <w:ilvl w:val="0"/>
                <w:numId w:val="3"/>
              </w:numPr>
            </w:pPr>
            <w:r>
              <w:rPr>
                <w:rFonts w:ascii="Calibri" w:hAnsi="Calibri"/>
                <w:sz w:val="20"/>
                <w:szCs w:val="20"/>
              </w:rPr>
              <w:t>referent CP</w:t>
            </w:r>
          </w:p>
        </w:tc>
      </w:tr>
      <w:tr w:rsidR="00D27F66">
        <w:trPr>
          <w:cantSplit/>
        </w:trPr>
        <w:tc>
          <w:tcPr>
            <w:tcW w:w="2262"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3. Vyslání na služební cestu nadřízeným</w:t>
            </w:r>
          </w:p>
        </w:tc>
        <w:tc>
          <w:tcPr>
            <w:tcW w:w="1699"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cestovní příkaz (ke schválení)</w:t>
            </w:r>
          </w:p>
        </w:tc>
        <w:tc>
          <w:tcPr>
            <w:tcW w:w="7704" w:type="dxa"/>
            <w:tcBorders>
              <w:left w:val="single" w:sz="2" w:space="0" w:color="000001"/>
              <w:bottom w:val="single" w:sz="2" w:space="0" w:color="000001"/>
            </w:tcBorders>
            <w:shd w:val="clear" w:color="auto" w:fill="auto"/>
          </w:tcPr>
          <w:p w:rsidR="00D27F66" w:rsidRDefault="0093037D">
            <w:pPr>
              <w:pStyle w:val="Normlnweb"/>
              <w:numPr>
                <w:ilvl w:val="0"/>
                <w:numId w:val="3"/>
              </w:numPr>
              <w:spacing w:before="0" w:after="0" w:line="240" w:lineRule="auto"/>
            </w:pPr>
            <w:r>
              <w:rPr>
                <w:rFonts w:ascii="Calibri" w:hAnsi="Calibri"/>
                <w:bCs/>
                <w:color w:val="000000"/>
              </w:rPr>
              <w:t>Nadřízený (vedoucí) nařídí pracovní cestu včetně použití dopravního prostředku.</w:t>
            </w:r>
          </w:p>
          <w:p w:rsidR="00D27F66" w:rsidRDefault="0093037D">
            <w:pPr>
              <w:pStyle w:val="Normlnweb"/>
              <w:numPr>
                <w:ilvl w:val="0"/>
                <w:numId w:val="3"/>
              </w:numPr>
              <w:spacing w:before="0" w:after="0" w:line="240" w:lineRule="auto"/>
            </w:pPr>
            <w:r>
              <w:rPr>
                <w:rFonts w:ascii="Calibri" w:hAnsi="Calibri"/>
                <w:bCs/>
                <w:color w:val="000000"/>
              </w:rPr>
              <w:t xml:space="preserve">Pokud cestu nenařídí, vrátí cestovní příkaz (žádost o cestu) zpět cestovateli do kroku 1. </w:t>
            </w:r>
            <w:r>
              <w:rPr>
                <w:rFonts w:ascii="Calibri" w:hAnsi="Calibri"/>
                <w:bCs/>
                <w:i/>
                <w:iCs/>
                <w:color w:val="000000"/>
              </w:rPr>
              <w:t>Žádost o cestu</w:t>
            </w:r>
            <w:r>
              <w:rPr>
                <w:rFonts w:ascii="Calibri" w:hAnsi="Calibri"/>
                <w:bCs/>
                <w:color w:val="000000"/>
              </w:rPr>
              <w:t xml:space="preserve"> nebo zamítne cestu. Při zamítnutí cesty pošle systém cestovateli notifikaci.</w:t>
            </w:r>
          </w:p>
        </w:tc>
        <w:tc>
          <w:tcPr>
            <w:tcW w:w="1699"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cestovní příkaz (schválený nadřízeným)</w:t>
            </w:r>
          </w:p>
        </w:tc>
        <w:tc>
          <w:tcPr>
            <w:tcW w:w="1433" w:type="dxa"/>
            <w:tcBorders>
              <w:left w:val="single" w:sz="2" w:space="0" w:color="000001"/>
              <w:bottom w:val="single" w:sz="2" w:space="0" w:color="000001"/>
              <w:right w:val="single" w:sz="2" w:space="0" w:color="000001"/>
            </w:tcBorders>
            <w:shd w:val="clear" w:color="auto" w:fill="auto"/>
          </w:tcPr>
          <w:p w:rsidR="00D27F66" w:rsidRDefault="0093037D">
            <w:pPr>
              <w:pStyle w:val="Obsahtabulky"/>
              <w:numPr>
                <w:ilvl w:val="0"/>
                <w:numId w:val="3"/>
              </w:numPr>
            </w:pPr>
            <w:r>
              <w:rPr>
                <w:rFonts w:ascii="Calibri" w:hAnsi="Calibri"/>
                <w:sz w:val="20"/>
                <w:szCs w:val="20"/>
              </w:rPr>
              <w:t>nadřízený</w:t>
            </w:r>
          </w:p>
        </w:tc>
      </w:tr>
      <w:tr w:rsidR="00D27F66">
        <w:trPr>
          <w:cantSplit/>
        </w:trPr>
        <w:tc>
          <w:tcPr>
            <w:tcW w:w="2262"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4. Schválení cesty příkazcem</w:t>
            </w:r>
          </w:p>
        </w:tc>
        <w:tc>
          <w:tcPr>
            <w:tcW w:w="1699"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cestovní příkaz (schválený nadřízeným)</w:t>
            </w:r>
          </w:p>
        </w:tc>
        <w:tc>
          <w:tcPr>
            <w:tcW w:w="7704"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bCs/>
                <w:color w:val="000000"/>
                <w:sz w:val="20"/>
                <w:szCs w:val="20"/>
              </w:rPr>
              <w:t>Příkazce schválí použití navrženého zdroje financování. V případě neschválení navrženého zdroje / zdrojů financování vrací cestovní příkaz zpět do kroku 3.</w:t>
            </w:r>
            <w:r>
              <w:rPr>
                <w:rFonts w:ascii="Calibri" w:hAnsi="Calibri" w:cs="Times New Roman"/>
                <w:bCs/>
                <w:i/>
                <w:iCs/>
                <w:color w:val="000000"/>
                <w:sz w:val="20"/>
                <w:szCs w:val="20"/>
              </w:rPr>
              <w:t xml:space="preserve"> </w:t>
            </w:r>
            <w:r>
              <w:rPr>
                <w:rFonts w:ascii="Calibri" w:hAnsi="Calibri" w:cs="Times New Roman"/>
                <w:i/>
                <w:sz w:val="20"/>
                <w:szCs w:val="20"/>
              </w:rPr>
              <w:t>Vyslání na služební cestu nadřízeným</w:t>
            </w:r>
            <w:r>
              <w:rPr>
                <w:rFonts w:ascii="Calibri" w:hAnsi="Calibri" w:cs="Times New Roman"/>
                <w:bCs/>
                <w:i/>
                <w:iCs/>
                <w:color w:val="000000"/>
                <w:sz w:val="20"/>
                <w:szCs w:val="20"/>
              </w:rPr>
              <w:t xml:space="preserve"> </w:t>
            </w:r>
            <w:r>
              <w:rPr>
                <w:rFonts w:ascii="Calibri" w:hAnsi="Calibri" w:cs="Times New Roman"/>
                <w:bCs/>
                <w:color w:val="000000"/>
                <w:sz w:val="20"/>
                <w:szCs w:val="20"/>
              </w:rPr>
              <w:t xml:space="preserve">k zadání jiného zdroje financování nebo zadá jiný zdroj s jiným příkazcem a tím předá schválení cesty novému příkazci (opakované provedení kroku 4. </w:t>
            </w:r>
            <w:r>
              <w:rPr>
                <w:rFonts w:ascii="Calibri" w:hAnsi="Calibri" w:cs="Times New Roman"/>
                <w:bCs/>
                <w:i/>
                <w:iCs/>
                <w:color w:val="000000"/>
                <w:sz w:val="20"/>
                <w:szCs w:val="20"/>
              </w:rPr>
              <w:t xml:space="preserve">Schválení cesty příkazcem </w:t>
            </w:r>
            <w:r>
              <w:rPr>
                <w:rFonts w:ascii="Calibri" w:hAnsi="Calibri" w:cs="Times New Roman"/>
                <w:bCs/>
                <w:color w:val="000000"/>
                <w:sz w:val="20"/>
                <w:szCs w:val="20"/>
              </w:rPr>
              <w:t>s novým příkazcem).</w:t>
            </w:r>
          </w:p>
          <w:p w:rsidR="00D27F66" w:rsidRDefault="0093037D">
            <w:pPr>
              <w:pStyle w:val="Obsahtabulky"/>
              <w:numPr>
                <w:ilvl w:val="0"/>
                <w:numId w:val="3"/>
              </w:numPr>
            </w:pPr>
            <w:r>
              <w:rPr>
                <w:rFonts w:ascii="Calibri" w:hAnsi="Calibri" w:cs="Times New Roman"/>
                <w:bCs/>
                <w:color w:val="000000"/>
                <w:sz w:val="20"/>
                <w:szCs w:val="20"/>
              </w:rPr>
              <w:t>Pozn.: V případě, že nadřízený v kroku 3 je totožná osoba s příkazcem v kroku 4., kroky se sloučí do jednoho.</w:t>
            </w:r>
          </w:p>
        </w:tc>
        <w:tc>
          <w:tcPr>
            <w:tcW w:w="1699"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cestovní příkaz (schválený příkazcem)</w:t>
            </w:r>
          </w:p>
        </w:tc>
        <w:tc>
          <w:tcPr>
            <w:tcW w:w="1433"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Obsahtabulky"/>
              <w:numPr>
                <w:ilvl w:val="0"/>
                <w:numId w:val="3"/>
              </w:numPr>
            </w:pPr>
            <w:r>
              <w:rPr>
                <w:rFonts w:ascii="Calibri" w:hAnsi="Calibri" w:cs="Calibri"/>
                <w:sz w:val="20"/>
                <w:szCs w:val="20"/>
              </w:rPr>
              <w:t>příkazce</w:t>
            </w:r>
          </w:p>
        </w:tc>
      </w:tr>
      <w:tr w:rsidR="00D27F66">
        <w:trPr>
          <w:cantSplit/>
        </w:trPr>
        <w:tc>
          <w:tcPr>
            <w:tcW w:w="2262"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sz w:val="20"/>
                <w:szCs w:val="20"/>
              </w:rPr>
              <w:lastRenderedPageBreak/>
              <w:t>5. Schválení správcem</w:t>
            </w:r>
          </w:p>
        </w:tc>
        <w:tc>
          <w:tcPr>
            <w:tcW w:w="1699"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cestovní příkaz (schválený příkazcem)</w:t>
            </w:r>
          </w:p>
        </w:tc>
        <w:tc>
          <w:tcPr>
            <w:tcW w:w="7704"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sz w:val="20"/>
                <w:szCs w:val="20"/>
              </w:rPr>
              <w:t xml:space="preserve">Správce rozpočtu ověří rozpočtové krytí cesty u daného zdroje financování. Není-li zdroj financování rozpočtově krytý, vrací cestovní příkaz zpět příkazci do kroku 4. </w:t>
            </w:r>
            <w:r>
              <w:rPr>
                <w:rFonts w:ascii="Calibri" w:hAnsi="Calibri" w:cs="Times New Roman"/>
                <w:i/>
                <w:iCs/>
                <w:sz w:val="20"/>
                <w:szCs w:val="20"/>
              </w:rPr>
              <w:t>Schválení cesty příkazcem</w:t>
            </w:r>
            <w:r>
              <w:rPr>
                <w:rFonts w:ascii="Calibri" w:hAnsi="Calibri"/>
                <w:sz w:val="20"/>
                <w:szCs w:val="20"/>
              </w:rPr>
              <w:t>.</w:t>
            </w:r>
          </w:p>
          <w:p w:rsidR="00D27F66" w:rsidRDefault="0093037D">
            <w:pPr>
              <w:pStyle w:val="Obsahtabulky"/>
              <w:numPr>
                <w:ilvl w:val="0"/>
                <w:numId w:val="3"/>
              </w:numPr>
            </w:pPr>
            <w:r>
              <w:rPr>
                <w:rFonts w:ascii="Calibri" w:hAnsi="Calibri"/>
                <w:sz w:val="20"/>
                <w:szCs w:val="20"/>
              </w:rPr>
              <w:t>Notifikace cestovateli, že mu byla schválena cesta, může čerpat zálohu, pokud o ni požádal, a mohou být čerpány výdaje na cestu.</w:t>
            </w:r>
          </w:p>
        </w:tc>
        <w:tc>
          <w:tcPr>
            <w:tcW w:w="1699"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cestovní příkaz (schválený správcem)</w:t>
            </w:r>
          </w:p>
        </w:tc>
        <w:tc>
          <w:tcPr>
            <w:tcW w:w="1433"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Obsahtabulky"/>
              <w:numPr>
                <w:ilvl w:val="0"/>
                <w:numId w:val="3"/>
              </w:numPr>
            </w:pPr>
            <w:r>
              <w:rPr>
                <w:rFonts w:ascii="Calibri" w:hAnsi="Calibri"/>
                <w:sz w:val="20"/>
                <w:szCs w:val="20"/>
              </w:rPr>
              <w:t>správce</w:t>
            </w:r>
          </w:p>
        </w:tc>
      </w:tr>
      <w:tr w:rsidR="00D27F66">
        <w:trPr>
          <w:cantSplit/>
        </w:trPr>
        <w:tc>
          <w:tcPr>
            <w:tcW w:w="2262"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sz w:val="20"/>
                <w:szCs w:val="20"/>
              </w:rPr>
              <w:t>6. Vyplacení zálohy</w:t>
            </w:r>
          </w:p>
        </w:tc>
        <w:tc>
          <w:tcPr>
            <w:tcW w:w="1699"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cestovní příkaz (schválený správcem)</w:t>
            </w:r>
          </w:p>
        </w:tc>
        <w:tc>
          <w:tcPr>
            <w:tcW w:w="7704" w:type="dxa"/>
            <w:tcBorders>
              <w:top w:val="single" w:sz="2" w:space="0" w:color="000001"/>
              <w:left w:val="single" w:sz="2" w:space="0" w:color="000001"/>
              <w:bottom w:val="single" w:sz="2" w:space="0" w:color="000001"/>
            </w:tcBorders>
            <w:shd w:val="clear" w:color="auto" w:fill="auto"/>
          </w:tcPr>
          <w:p w:rsidR="00D27F66" w:rsidRDefault="0093037D">
            <w:pPr>
              <w:pStyle w:val="Normlnweb"/>
              <w:numPr>
                <w:ilvl w:val="0"/>
                <w:numId w:val="3"/>
              </w:numPr>
              <w:spacing w:before="0" w:after="0" w:line="240" w:lineRule="auto"/>
            </w:pPr>
            <w:r>
              <w:rPr>
                <w:rFonts w:ascii="Calibri" w:hAnsi="Calibri"/>
                <w:bCs/>
                <w:color w:val="000000"/>
              </w:rPr>
              <w:t>V případě, že cestovatel žádá o poskytnutí zálohy na cestu, pokladní mu vyplatí zálohu.</w:t>
            </w:r>
          </w:p>
        </w:tc>
        <w:tc>
          <w:tcPr>
            <w:tcW w:w="1699"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sz w:val="20"/>
                <w:szCs w:val="20"/>
              </w:rPr>
              <w:t>vyplacená záloha</w:t>
            </w:r>
          </w:p>
        </w:tc>
        <w:tc>
          <w:tcPr>
            <w:tcW w:w="1433"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Normlnweb"/>
              <w:numPr>
                <w:ilvl w:val="0"/>
                <w:numId w:val="3"/>
              </w:numPr>
              <w:spacing w:before="0" w:after="0" w:line="240" w:lineRule="auto"/>
            </w:pPr>
            <w:r>
              <w:rPr>
                <w:rFonts w:ascii="Calibri" w:hAnsi="Calibri"/>
              </w:rPr>
              <w:t>pokladní</w:t>
            </w:r>
          </w:p>
        </w:tc>
      </w:tr>
      <w:tr w:rsidR="00D27F66">
        <w:trPr>
          <w:cantSplit/>
        </w:trPr>
        <w:tc>
          <w:tcPr>
            <w:tcW w:w="2262" w:type="dxa"/>
            <w:tcBorders>
              <w:top w:val="single" w:sz="2" w:space="0" w:color="000001"/>
              <w:left w:val="single" w:sz="2" w:space="0" w:color="000001"/>
              <w:bottom w:val="single" w:sz="2" w:space="0" w:color="000001"/>
            </w:tcBorders>
            <w:shd w:val="clear" w:color="auto" w:fill="E6E6FF"/>
          </w:tcPr>
          <w:p w:rsidR="00D27F66" w:rsidRDefault="0093037D">
            <w:pPr>
              <w:pStyle w:val="Obsahtabulky"/>
              <w:numPr>
                <w:ilvl w:val="0"/>
                <w:numId w:val="3"/>
              </w:numPr>
            </w:pPr>
            <w:r>
              <w:rPr>
                <w:rFonts w:ascii="Calibri" w:hAnsi="Calibri" w:cs="Times New Roman"/>
                <w:i/>
                <w:iCs/>
                <w:sz w:val="20"/>
                <w:szCs w:val="20"/>
              </w:rPr>
              <w:t>Vlastní uskutečnění cesty</w:t>
            </w:r>
          </w:p>
        </w:tc>
        <w:tc>
          <w:tcPr>
            <w:tcW w:w="1699" w:type="dxa"/>
            <w:tcBorders>
              <w:top w:val="single" w:sz="2" w:space="0" w:color="000001"/>
              <w:left w:val="single" w:sz="2" w:space="0" w:color="000001"/>
              <w:bottom w:val="single" w:sz="2" w:space="0" w:color="000001"/>
            </w:tcBorders>
            <w:shd w:val="clear" w:color="auto" w:fill="E6E6FF"/>
          </w:tcPr>
          <w:p w:rsidR="00D27F66" w:rsidRDefault="0093037D">
            <w:pPr>
              <w:pStyle w:val="Obsahtabulky"/>
              <w:numPr>
                <w:ilvl w:val="0"/>
                <w:numId w:val="3"/>
              </w:numPr>
            </w:pPr>
            <w:r>
              <w:rPr>
                <w:rFonts w:ascii="Calibri" w:hAnsi="Calibri" w:cs="Times New Roman"/>
                <w:i/>
                <w:iCs/>
                <w:sz w:val="20"/>
                <w:szCs w:val="20"/>
              </w:rPr>
              <w:t>cestovní příkaz (schválený správcem)</w:t>
            </w:r>
          </w:p>
        </w:tc>
        <w:tc>
          <w:tcPr>
            <w:tcW w:w="7704" w:type="dxa"/>
            <w:tcBorders>
              <w:top w:val="single" w:sz="2" w:space="0" w:color="000001"/>
              <w:left w:val="single" w:sz="2" w:space="0" w:color="000001"/>
              <w:bottom w:val="single" w:sz="2" w:space="0" w:color="000001"/>
            </w:tcBorders>
            <w:shd w:val="clear" w:color="auto" w:fill="E6E6FF"/>
          </w:tcPr>
          <w:p w:rsidR="00D27F66" w:rsidRDefault="0093037D">
            <w:pPr>
              <w:pStyle w:val="Normlnweb"/>
              <w:numPr>
                <w:ilvl w:val="0"/>
                <w:numId w:val="3"/>
              </w:numPr>
              <w:spacing w:before="0" w:after="0" w:line="240" w:lineRule="auto"/>
            </w:pPr>
            <w:r>
              <w:rPr>
                <w:rFonts w:ascii="Calibri" w:hAnsi="Calibri"/>
                <w:i/>
                <w:iCs/>
              </w:rPr>
              <w:t>Čerpání výdajů.</w:t>
            </w:r>
          </w:p>
        </w:tc>
        <w:tc>
          <w:tcPr>
            <w:tcW w:w="1699" w:type="dxa"/>
            <w:tcBorders>
              <w:top w:val="single" w:sz="2" w:space="0" w:color="000001"/>
              <w:left w:val="single" w:sz="2" w:space="0" w:color="000001"/>
              <w:bottom w:val="single" w:sz="2" w:space="0" w:color="000001"/>
            </w:tcBorders>
            <w:shd w:val="clear" w:color="auto" w:fill="E6E6FF"/>
          </w:tcPr>
          <w:p w:rsidR="00D27F66" w:rsidRDefault="0093037D">
            <w:pPr>
              <w:pStyle w:val="Obsahtabulky"/>
              <w:numPr>
                <w:ilvl w:val="0"/>
                <w:numId w:val="3"/>
              </w:numPr>
            </w:pPr>
            <w:r>
              <w:rPr>
                <w:rFonts w:ascii="Calibri" w:hAnsi="Calibri" w:cs="Times New Roman"/>
                <w:i/>
                <w:iCs/>
                <w:sz w:val="20"/>
                <w:szCs w:val="20"/>
              </w:rPr>
              <w:t>doklady o platbě</w:t>
            </w:r>
          </w:p>
          <w:p w:rsidR="00D27F66" w:rsidRDefault="0093037D">
            <w:pPr>
              <w:pStyle w:val="Obsahtabulky"/>
              <w:numPr>
                <w:ilvl w:val="0"/>
                <w:numId w:val="3"/>
              </w:numPr>
            </w:pPr>
            <w:r>
              <w:rPr>
                <w:rFonts w:ascii="Calibri" w:hAnsi="Calibri" w:cs="Times New Roman"/>
                <w:i/>
                <w:iCs/>
                <w:sz w:val="20"/>
                <w:szCs w:val="20"/>
              </w:rPr>
              <w:t>(fyzické)</w:t>
            </w:r>
          </w:p>
        </w:tc>
        <w:tc>
          <w:tcPr>
            <w:tcW w:w="1433" w:type="dxa"/>
            <w:tcBorders>
              <w:top w:val="single" w:sz="2" w:space="0" w:color="000001"/>
              <w:left w:val="single" w:sz="2" w:space="0" w:color="000001"/>
              <w:bottom w:val="single" w:sz="2" w:space="0" w:color="000001"/>
              <w:right w:val="single" w:sz="2" w:space="0" w:color="000001"/>
            </w:tcBorders>
            <w:shd w:val="clear" w:color="auto" w:fill="E6E6FF"/>
          </w:tcPr>
          <w:p w:rsidR="00D27F66" w:rsidRDefault="0093037D">
            <w:pPr>
              <w:pStyle w:val="Obsahtabulky"/>
              <w:numPr>
                <w:ilvl w:val="0"/>
                <w:numId w:val="3"/>
              </w:numPr>
            </w:pPr>
            <w:r>
              <w:rPr>
                <w:rFonts w:ascii="Calibri" w:hAnsi="Calibri" w:cs="Calibri"/>
                <w:i/>
                <w:iCs/>
                <w:sz w:val="20"/>
                <w:szCs w:val="20"/>
              </w:rPr>
              <w:t>cestovatel</w:t>
            </w:r>
          </w:p>
        </w:tc>
      </w:tr>
      <w:tr w:rsidR="00D27F66">
        <w:trPr>
          <w:cantSplit/>
        </w:trPr>
        <w:tc>
          <w:tcPr>
            <w:tcW w:w="2262"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7.  Zadání vyúčtování</w:t>
            </w:r>
          </w:p>
        </w:tc>
        <w:tc>
          <w:tcPr>
            <w:tcW w:w="1699"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doklady o platbě</w:t>
            </w:r>
          </w:p>
          <w:p w:rsidR="00D27F66" w:rsidRDefault="0093037D">
            <w:pPr>
              <w:pStyle w:val="Obsahtabulky"/>
              <w:numPr>
                <w:ilvl w:val="0"/>
                <w:numId w:val="3"/>
              </w:numPr>
            </w:pPr>
            <w:r>
              <w:rPr>
                <w:rFonts w:ascii="Calibri" w:hAnsi="Calibri" w:cs="Times New Roman"/>
                <w:sz w:val="20"/>
                <w:szCs w:val="20"/>
              </w:rPr>
              <w:t>(fyzické)</w:t>
            </w:r>
          </w:p>
        </w:tc>
        <w:tc>
          <w:tcPr>
            <w:tcW w:w="7704" w:type="dxa"/>
            <w:tcBorders>
              <w:top w:val="single" w:sz="2" w:space="0" w:color="000001"/>
              <w:left w:val="single" w:sz="2" w:space="0" w:color="000001"/>
              <w:bottom w:val="single" w:sz="2" w:space="0" w:color="000001"/>
            </w:tcBorders>
            <w:shd w:val="clear" w:color="auto" w:fill="auto"/>
          </w:tcPr>
          <w:p w:rsidR="00D27F66" w:rsidRDefault="0093037D">
            <w:pPr>
              <w:pStyle w:val="Normlnweb"/>
              <w:numPr>
                <w:ilvl w:val="0"/>
                <w:numId w:val="3"/>
              </w:numPr>
              <w:spacing w:before="0" w:after="0" w:line="240" w:lineRule="auto"/>
            </w:pPr>
            <w:r>
              <w:rPr>
                <w:rFonts w:ascii="Calibri" w:hAnsi="Calibri"/>
              </w:rPr>
              <w:t>Cestovatel vyúčtuje po uskutečnění cesty cestovní náhrady. Jako součást vyúčtování musí uvést:</w:t>
            </w:r>
          </w:p>
          <w:p w:rsidR="00D27F66" w:rsidRDefault="0093037D">
            <w:pPr>
              <w:pStyle w:val="Normlnweb"/>
              <w:numPr>
                <w:ilvl w:val="0"/>
                <w:numId w:val="5"/>
              </w:numPr>
              <w:spacing w:before="0" w:after="0" w:line="240" w:lineRule="auto"/>
            </w:pPr>
            <w:r>
              <w:rPr>
                <w:rFonts w:ascii="Calibri" w:hAnsi="Calibri"/>
              </w:rPr>
              <w:t>počátek a konec pracovní cesty</w:t>
            </w:r>
            <w:bookmarkStart w:id="5" w:name="__DdeLink__689_3094453380"/>
            <w:r>
              <w:rPr>
                <w:rFonts w:ascii="Calibri" w:hAnsi="Calibri"/>
              </w:rPr>
              <w:t xml:space="preserve"> (den, čas)</w:t>
            </w:r>
            <w:bookmarkEnd w:id="5"/>
          </w:p>
          <w:p w:rsidR="00D27F66" w:rsidRDefault="0093037D">
            <w:pPr>
              <w:pStyle w:val="Normlnweb"/>
              <w:numPr>
                <w:ilvl w:val="0"/>
                <w:numId w:val="5"/>
              </w:numPr>
              <w:spacing w:before="0" w:after="0" w:line="240" w:lineRule="auto"/>
            </w:pPr>
            <w:r>
              <w:rPr>
                <w:rFonts w:ascii="Calibri" w:hAnsi="Calibri"/>
              </w:rPr>
              <w:t>zda mu byla poskytnuto bezplatné stravování</w:t>
            </w:r>
          </w:p>
          <w:p w:rsidR="00D27F66" w:rsidRDefault="0093037D">
            <w:pPr>
              <w:pStyle w:val="Normlnweb"/>
              <w:numPr>
                <w:ilvl w:val="0"/>
                <w:numId w:val="5"/>
              </w:numPr>
              <w:spacing w:before="0" w:after="0" w:line="240" w:lineRule="auto"/>
            </w:pPr>
            <w:r>
              <w:rPr>
                <w:rFonts w:ascii="Calibri" w:hAnsi="Calibri"/>
              </w:rPr>
              <w:t>skeny dokladů o jízdních výdajích, ubytování a vedlejších výdajích (nepovinné).</w:t>
            </w:r>
          </w:p>
          <w:p w:rsidR="00D27F66" w:rsidRDefault="0093037D">
            <w:pPr>
              <w:pStyle w:val="Normlnweb"/>
              <w:numPr>
                <w:ilvl w:val="0"/>
                <w:numId w:val="3"/>
              </w:numPr>
              <w:spacing w:before="0" w:after="0" w:line="240" w:lineRule="auto"/>
            </w:pPr>
            <w:r>
              <w:rPr>
                <w:rFonts w:ascii="Calibri" w:hAnsi="Calibri"/>
              </w:rPr>
              <w:t>Systém provede na základě zadaných údajů výpočet cestovních náhrad.</w:t>
            </w:r>
          </w:p>
          <w:p w:rsidR="00D27F66" w:rsidRDefault="0093037D">
            <w:pPr>
              <w:pStyle w:val="Normlnweb"/>
              <w:numPr>
                <w:ilvl w:val="0"/>
                <w:numId w:val="3"/>
              </w:numPr>
              <w:spacing w:before="0" w:after="0" w:line="240" w:lineRule="auto"/>
            </w:pPr>
            <w:r>
              <w:rPr>
                <w:rFonts w:ascii="Calibri" w:hAnsi="Calibri"/>
              </w:rPr>
              <w:t xml:space="preserve">Pozn.: </w:t>
            </w:r>
            <w:r>
              <w:rPr>
                <w:rFonts w:ascii="Calibri" w:hAnsi="Calibri"/>
                <w:bCs/>
                <w:color w:val="000000"/>
              </w:rPr>
              <w:t>Zadání vyúčtování může místo cestovatele provést pro definovaný okruh pracovníků referent CP resp. asistent.</w:t>
            </w:r>
          </w:p>
        </w:tc>
        <w:tc>
          <w:tcPr>
            <w:tcW w:w="1699"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doklady o platbě</w:t>
            </w:r>
          </w:p>
          <w:p w:rsidR="00D27F66" w:rsidRDefault="0093037D">
            <w:pPr>
              <w:pStyle w:val="Obsahtabulky"/>
              <w:numPr>
                <w:ilvl w:val="0"/>
                <w:numId w:val="3"/>
              </w:numPr>
            </w:pPr>
            <w:r>
              <w:rPr>
                <w:rFonts w:ascii="Calibri" w:hAnsi="Calibri" w:cs="Times New Roman"/>
                <w:sz w:val="20"/>
                <w:szCs w:val="20"/>
              </w:rPr>
              <w:t>(fyzické)</w:t>
            </w:r>
          </w:p>
          <w:p w:rsidR="00D27F66" w:rsidRDefault="0093037D">
            <w:pPr>
              <w:pStyle w:val="Obsahtabulky"/>
              <w:numPr>
                <w:ilvl w:val="0"/>
                <w:numId w:val="3"/>
              </w:numPr>
            </w:pPr>
            <w:r>
              <w:rPr>
                <w:rFonts w:ascii="Calibri" w:hAnsi="Calibri" w:cs="Times New Roman"/>
                <w:sz w:val="20"/>
                <w:szCs w:val="20"/>
              </w:rPr>
              <w:t>doklady o platbě (sken)</w:t>
            </w:r>
          </w:p>
          <w:p w:rsidR="00D27F66" w:rsidRDefault="0093037D">
            <w:pPr>
              <w:pStyle w:val="Obsahtabulky"/>
              <w:numPr>
                <w:ilvl w:val="0"/>
                <w:numId w:val="3"/>
              </w:numPr>
            </w:pPr>
            <w:r>
              <w:rPr>
                <w:rFonts w:ascii="Calibri" w:hAnsi="Calibri" w:cs="Times New Roman"/>
                <w:sz w:val="20"/>
                <w:szCs w:val="20"/>
              </w:rPr>
              <w:t>vyúčtování cesty (zadané)</w:t>
            </w:r>
          </w:p>
          <w:p w:rsidR="00D27F66" w:rsidRDefault="00D27F66">
            <w:pPr>
              <w:pStyle w:val="Obsahtabulky"/>
              <w:numPr>
                <w:ilvl w:val="0"/>
                <w:numId w:val="3"/>
              </w:numPr>
            </w:pPr>
          </w:p>
        </w:tc>
        <w:tc>
          <w:tcPr>
            <w:tcW w:w="1433"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Obsahtabulky"/>
              <w:numPr>
                <w:ilvl w:val="0"/>
                <w:numId w:val="3"/>
              </w:numPr>
            </w:pPr>
            <w:r>
              <w:rPr>
                <w:rFonts w:ascii="Calibri" w:hAnsi="Calibri" w:cs="Calibri"/>
                <w:sz w:val="20"/>
                <w:szCs w:val="20"/>
              </w:rPr>
              <w:t>cestovatel</w:t>
            </w:r>
          </w:p>
        </w:tc>
      </w:tr>
      <w:tr w:rsidR="00D27F66">
        <w:trPr>
          <w:cantSplit/>
        </w:trPr>
        <w:tc>
          <w:tcPr>
            <w:tcW w:w="2262"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8. Kontrola vyúčtování</w:t>
            </w:r>
          </w:p>
        </w:tc>
        <w:tc>
          <w:tcPr>
            <w:tcW w:w="1699"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doklady o platbě (fyzické)</w:t>
            </w:r>
          </w:p>
          <w:p w:rsidR="00D27F66" w:rsidRDefault="0093037D">
            <w:pPr>
              <w:pStyle w:val="Obsahtabulky"/>
              <w:numPr>
                <w:ilvl w:val="0"/>
                <w:numId w:val="3"/>
              </w:numPr>
            </w:pPr>
            <w:r>
              <w:rPr>
                <w:rFonts w:ascii="Calibri" w:hAnsi="Calibri" w:cs="Times New Roman"/>
                <w:sz w:val="20"/>
                <w:szCs w:val="20"/>
              </w:rPr>
              <w:t>doklady o platbě (sken)</w:t>
            </w:r>
          </w:p>
          <w:p w:rsidR="00D27F66" w:rsidRDefault="0093037D">
            <w:pPr>
              <w:pStyle w:val="Obsahtabulky"/>
              <w:numPr>
                <w:ilvl w:val="0"/>
                <w:numId w:val="3"/>
              </w:numPr>
            </w:pPr>
            <w:r>
              <w:rPr>
                <w:rFonts w:ascii="Calibri" w:hAnsi="Calibri" w:cs="Times New Roman"/>
                <w:sz w:val="20"/>
                <w:szCs w:val="20"/>
              </w:rPr>
              <w:t>vyúčtování cesty (zadané)</w:t>
            </w:r>
          </w:p>
        </w:tc>
        <w:tc>
          <w:tcPr>
            <w:tcW w:w="7704" w:type="dxa"/>
            <w:tcBorders>
              <w:left w:val="single" w:sz="2" w:space="0" w:color="000001"/>
              <w:bottom w:val="single" w:sz="2" w:space="0" w:color="000001"/>
            </w:tcBorders>
            <w:shd w:val="clear" w:color="auto" w:fill="auto"/>
          </w:tcPr>
          <w:p w:rsidR="00D27F66" w:rsidRDefault="0093037D">
            <w:pPr>
              <w:pStyle w:val="Normlnweb"/>
              <w:numPr>
                <w:ilvl w:val="0"/>
                <w:numId w:val="3"/>
              </w:numPr>
              <w:spacing w:before="0" w:after="0" w:line="240" w:lineRule="auto"/>
            </w:pPr>
            <w:r>
              <w:rPr>
                <w:rFonts w:ascii="Calibri" w:hAnsi="Calibri"/>
              </w:rPr>
              <w:t xml:space="preserve">Na základě cestovatelem předložených fyzických dokladů k vyúčtování cesty provede referent CP kontrolu vyúčtování cesty, soulad naskenovaných a fyzických dokladů a provede opravu zjištěných nedostatků (doskenuje doklady, vyřadí doklady nesouvisející s cestou). V případě, že zjistí závažné nedostatky, vrátí vyúčtování cestovateli k přepracování do kroku 7. </w:t>
            </w:r>
            <w:r>
              <w:rPr>
                <w:rFonts w:ascii="Calibri" w:hAnsi="Calibri"/>
                <w:i/>
                <w:iCs/>
              </w:rPr>
              <w:t>Zadání vyúčtování</w:t>
            </w:r>
            <w:r>
              <w:rPr>
                <w:rFonts w:ascii="Calibri" w:hAnsi="Calibri"/>
              </w:rPr>
              <w:t xml:space="preserve">. </w:t>
            </w:r>
          </w:p>
          <w:p w:rsidR="00D27F66" w:rsidRDefault="0093037D">
            <w:pPr>
              <w:pStyle w:val="Obsahtabulky"/>
              <w:numPr>
                <w:ilvl w:val="0"/>
                <w:numId w:val="3"/>
              </w:numPr>
            </w:pPr>
            <w:r>
              <w:rPr>
                <w:rFonts w:ascii="Calibri" w:hAnsi="Calibri" w:cs="Times New Roman"/>
                <w:bCs/>
                <w:color w:val="000000"/>
                <w:sz w:val="20"/>
                <w:szCs w:val="20"/>
              </w:rPr>
              <w:t>Pozn.: V případě, že zadání vyúčtování v kroku 7. provedla totožná osoba s referentem CP v kroku 8., kroky se sloučí do jednoho.</w:t>
            </w:r>
          </w:p>
        </w:tc>
        <w:tc>
          <w:tcPr>
            <w:tcW w:w="1699"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vyúčtování cesty (zkontrolované)</w:t>
            </w:r>
          </w:p>
        </w:tc>
        <w:tc>
          <w:tcPr>
            <w:tcW w:w="1433" w:type="dxa"/>
            <w:tcBorders>
              <w:left w:val="single" w:sz="2" w:space="0" w:color="000001"/>
              <w:bottom w:val="single" w:sz="2" w:space="0" w:color="000001"/>
              <w:right w:val="single" w:sz="2" w:space="0" w:color="000001"/>
            </w:tcBorders>
            <w:shd w:val="clear" w:color="auto" w:fill="auto"/>
          </w:tcPr>
          <w:p w:rsidR="00D27F66" w:rsidRDefault="0093037D">
            <w:pPr>
              <w:pStyle w:val="Obsahtabulky"/>
              <w:numPr>
                <w:ilvl w:val="0"/>
                <w:numId w:val="3"/>
              </w:numPr>
            </w:pPr>
            <w:r>
              <w:rPr>
                <w:rFonts w:ascii="Calibri" w:hAnsi="Calibri" w:cs="Calibri"/>
                <w:sz w:val="20"/>
                <w:szCs w:val="20"/>
              </w:rPr>
              <w:t>referent CP</w:t>
            </w:r>
          </w:p>
        </w:tc>
      </w:tr>
      <w:tr w:rsidR="00D27F66">
        <w:trPr>
          <w:cantSplit/>
        </w:trPr>
        <w:tc>
          <w:tcPr>
            <w:tcW w:w="2262"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9. Schválení vyúčtování příkazcem</w:t>
            </w:r>
          </w:p>
        </w:tc>
        <w:tc>
          <w:tcPr>
            <w:tcW w:w="1699"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doklady o platbě (sken)</w:t>
            </w:r>
          </w:p>
          <w:p w:rsidR="00D27F66" w:rsidRDefault="0093037D">
            <w:pPr>
              <w:pStyle w:val="Obsahtabulky"/>
              <w:numPr>
                <w:ilvl w:val="0"/>
                <w:numId w:val="3"/>
              </w:numPr>
            </w:pPr>
            <w:r>
              <w:rPr>
                <w:rFonts w:ascii="Calibri" w:hAnsi="Calibri" w:cs="Times New Roman"/>
                <w:sz w:val="20"/>
                <w:szCs w:val="20"/>
              </w:rPr>
              <w:t>vyúčtování cesty (zkontrolované)</w:t>
            </w:r>
          </w:p>
        </w:tc>
        <w:tc>
          <w:tcPr>
            <w:tcW w:w="7704" w:type="dxa"/>
            <w:tcBorders>
              <w:top w:val="single" w:sz="2" w:space="0" w:color="000001"/>
              <w:left w:val="single" w:sz="2" w:space="0" w:color="000001"/>
              <w:bottom w:val="single" w:sz="2" w:space="0" w:color="000001"/>
            </w:tcBorders>
            <w:shd w:val="clear" w:color="auto" w:fill="auto"/>
          </w:tcPr>
          <w:p w:rsidR="00D27F66" w:rsidRDefault="0093037D">
            <w:pPr>
              <w:pStyle w:val="Normlnweb"/>
              <w:numPr>
                <w:ilvl w:val="0"/>
                <w:numId w:val="3"/>
              </w:numPr>
              <w:spacing w:before="0" w:after="0" w:line="240" w:lineRule="auto"/>
            </w:pPr>
            <w:r>
              <w:rPr>
                <w:rFonts w:ascii="Calibri" w:hAnsi="Calibri"/>
              </w:rPr>
              <w:t xml:space="preserve">Příkazce ověří věcnou správnost vyúčtování cestovního příkazu zadaného cestovatelem. V případě zjištění nesrovnalostí vrátí vyúčtování cestovateli k úpravě/doplnění do kroku 7. </w:t>
            </w:r>
            <w:r>
              <w:rPr>
                <w:rFonts w:ascii="Calibri" w:hAnsi="Calibri"/>
                <w:i/>
                <w:iCs/>
              </w:rPr>
              <w:t>Zadání vyúčtování</w:t>
            </w:r>
            <w:r>
              <w:rPr>
                <w:rFonts w:ascii="Calibri" w:hAnsi="Calibri"/>
              </w:rPr>
              <w:t>.</w:t>
            </w:r>
          </w:p>
        </w:tc>
        <w:tc>
          <w:tcPr>
            <w:tcW w:w="1699"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vyúčtování cesty (schválené příkazcem)</w:t>
            </w:r>
          </w:p>
        </w:tc>
        <w:tc>
          <w:tcPr>
            <w:tcW w:w="1433"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Obsahtabulky"/>
              <w:numPr>
                <w:ilvl w:val="0"/>
                <w:numId w:val="3"/>
              </w:numPr>
            </w:pPr>
            <w:r>
              <w:rPr>
                <w:rFonts w:ascii="Calibri" w:hAnsi="Calibri" w:cs="Calibri"/>
                <w:sz w:val="20"/>
                <w:szCs w:val="20"/>
              </w:rPr>
              <w:t>příkazce</w:t>
            </w:r>
          </w:p>
        </w:tc>
      </w:tr>
      <w:tr w:rsidR="00D27F66">
        <w:trPr>
          <w:cantSplit/>
        </w:trPr>
        <w:tc>
          <w:tcPr>
            <w:tcW w:w="2262"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lastRenderedPageBreak/>
              <w:t>10. Schválení vyúčtování správcem</w:t>
            </w:r>
          </w:p>
        </w:tc>
        <w:tc>
          <w:tcPr>
            <w:tcW w:w="1699"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doklady o platbě</w:t>
            </w:r>
          </w:p>
          <w:p w:rsidR="00D27F66" w:rsidRDefault="0093037D">
            <w:pPr>
              <w:pStyle w:val="Obsahtabulky"/>
              <w:numPr>
                <w:ilvl w:val="0"/>
                <w:numId w:val="3"/>
              </w:numPr>
            </w:pPr>
            <w:r>
              <w:rPr>
                <w:rFonts w:ascii="Calibri" w:hAnsi="Calibri" w:cs="Times New Roman"/>
                <w:sz w:val="20"/>
                <w:szCs w:val="20"/>
              </w:rPr>
              <w:t>vyúčtování cesty (schválené příkazcem)</w:t>
            </w:r>
          </w:p>
        </w:tc>
        <w:tc>
          <w:tcPr>
            <w:tcW w:w="7704" w:type="dxa"/>
            <w:tcBorders>
              <w:top w:val="single" w:sz="2" w:space="0" w:color="000001"/>
              <w:left w:val="single" w:sz="2" w:space="0" w:color="000001"/>
              <w:bottom w:val="single" w:sz="2" w:space="0" w:color="000001"/>
            </w:tcBorders>
            <w:shd w:val="clear" w:color="auto" w:fill="auto"/>
          </w:tcPr>
          <w:p w:rsidR="00D27F66" w:rsidRDefault="0093037D">
            <w:pPr>
              <w:pStyle w:val="Normlnweb"/>
              <w:numPr>
                <w:ilvl w:val="0"/>
                <w:numId w:val="3"/>
              </w:numPr>
              <w:spacing w:before="0" w:after="0" w:line="240" w:lineRule="auto"/>
            </w:pPr>
            <w:r>
              <w:rPr>
                <w:rFonts w:ascii="Calibri" w:hAnsi="Calibri"/>
              </w:rPr>
              <w:t xml:space="preserve">Správce schválí disponibilní prostředky pro vyúčtování pracovní cesty. V případě, že zdroj není v souladu se zdrojem schváleným před cestou, vrátí vyúčtování příkazci do kroku 9. </w:t>
            </w:r>
            <w:r>
              <w:rPr>
                <w:rFonts w:ascii="Calibri" w:hAnsi="Calibri"/>
                <w:i/>
                <w:iCs/>
              </w:rPr>
              <w:t xml:space="preserve">Schválení vyúčtování příkazcem </w:t>
            </w:r>
            <w:r>
              <w:rPr>
                <w:rFonts w:ascii="Calibri" w:hAnsi="Calibri"/>
              </w:rPr>
              <w:t>s požadavkem na přepracování zdroje.</w:t>
            </w:r>
          </w:p>
        </w:tc>
        <w:tc>
          <w:tcPr>
            <w:tcW w:w="1699"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vyúčtování cesty (schválené správcem)</w:t>
            </w:r>
          </w:p>
        </w:tc>
        <w:tc>
          <w:tcPr>
            <w:tcW w:w="1433"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Obsahtabulky"/>
              <w:numPr>
                <w:ilvl w:val="0"/>
                <w:numId w:val="3"/>
              </w:numPr>
            </w:pPr>
            <w:r>
              <w:rPr>
                <w:rFonts w:ascii="Calibri" w:hAnsi="Calibri" w:cs="Calibri"/>
                <w:sz w:val="20"/>
                <w:szCs w:val="20"/>
              </w:rPr>
              <w:t>správce</w:t>
            </w:r>
          </w:p>
        </w:tc>
      </w:tr>
      <w:tr w:rsidR="00D27F66">
        <w:trPr>
          <w:cantSplit/>
        </w:trPr>
        <w:tc>
          <w:tcPr>
            <w:tcW w:w="2262"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sz w:val="20"/>
                <w:szCs w:val="20"/>
              </w:rPr>
              <w:t>11. Z</w:t>
            </w:r>
            <w:r>
              <w:rPr>
                <w:rFonts w:ascii="Calibri" w:hAnsi="Calibri" w:cs="Times New Roman"/>
                <w:sz w:val="20"/>
                <w:szCs w:val="20"/>
              </w:rPr>
              <w:t>aúčtování cestovních náhrad</w:t>
            </w:r>
          </w:p>
        </w:tc>
        <w:tc>
          <w:tcPr>
            <w:tcW w:w="1699"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vyúčtování cesty (schválené správcem)</w:t>
            </w:r>
          </w:p>
        </w:tc>
        <w:tc>
          <w:tcPr>
            <w:tcW w:w="7704" w:type="dxa"/>
            <w:tcBorders>
              <w:left w:val="single" w:sz="2" w:space="0" w:color="000001"/>
              <w:bottom w:val="single" w:sz="2" w:space="0" w:color="000001"/>
            </w:tcBorders>
            <w:shd w:val="clear" w:color="auto" w:fill="auto"/>
          </w:tcPr>
          <w:p w:rsidR="00D27F66" w:rsidRDefault="0093037D">
            <w:pPr>
              <w:pStyle w:val="Normlnweb"/>
              <w:numPr>
                <w:ilvl w:val="0"/>
                <w:numId w:val="3"/>
              </w:numPr>
              <w:spacing w:before="0" w:after="0" w:line="240" w:lineRule="auto"/>
            </w:pPr>
            <w:r>
              <w:rPr>
                <w:rFonts w:ascii="Calibri" w:hAnsi="Calibri"/>
              </w:rPr>
              <w:t>Účetní provede likvidaci CP (jeho zaúčtování).</w:t>
            </w:r>
          </w:p>
        </w:tc>
        <w:tc>
          <w:tcPr>
            <w:tcW w:w="1699" w:type="dxa"/>
            <w:tcBorders>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vyúčtování cesty (zaúčtované)</w:t>
            </w:r>
          </w:p>
        </w:tc>
        <w:tc>
          <w:tcPr>
            <w:tcW w:w="1433" w:type="dxa"/>
            <w:tcBorders>
              <w:left w:val="single" w:sz="2" w:space="0" w:color="000001"/>
              <w:bottom w:val="single" w:sz="2" w:space="0" w:color="000001"/>
              <w:right w:val="single" w:sz="2" w:space="0" w:color="000001"/>
            </w:tcBorders>
            <w:shd w:val="clear" w:color="auto" w:fill="auto"/>
          </w:tcPr>
          <w:p w:rsidR="00D27F66" w:rsidRDefault="0093037D">
            <w:pPr>
              <w:pStyle w:val="Obsahtabulky"/>
              <w:numPr>
                <w:ilvl w:val="0"/>
                <w:numId w:val="3"/>
              </w:numPr>
            </w:pPr>
            <w:r>
              <w:rPr>
                <w:rFonts w:ascii="Calibri" w:hAnsi="Calibri"/>
                <w:sz w:val="20"/>
                <w:szCs w:val="20"/>
              </w:rPr>
              <w:t>účetní</w:t>
            </w:r>
          </w:p>
        </w:tc>
      </w:tr>
      <w:tr w:rsidR="00D27F66">
        <w:trPr>
          <w:cantSplit/>
        </w:trPr>
        <w:tc>
          <w:tcPr>
            <w:tcW w:w="2262"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 xml:space="preserve">12. Schválení hlavní účetní </w:t>
            </w:r>
          </w:p>
        </w:tc>
        <w:tc>
          <w:tcPr>
            <w:tcW w:w="1699"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vyúčtování cesty (zaúčtované)</w:t>
            </w:r>
          </w:p>
        </w:tc>
        <w:tc>
          <w:tcPr>
            <w:tcW w:w="7704" w:type="dxa"/>
            <w:tcBorders>
              <w:top w:val="single" w:sz="2" w:space="0" w:color="000001"/>
              <w:left w:val="single" w:sz="2" w:space="0" w:color="000001"/>
              <w:bottom w:val="single" w:sz="2" w:space="0" w:color="000001"/>
            </w:tcBorders>
            <w:shd w:val="clear" w:color="auto" w:fill="auto"/>
          </w:tcPr>
          <w:p w:rsidR="00D27F66" w:rsidRDefault="0093037D">
            <w:pPr>
              <w:pStyle w:val="Normlnweb"/>
              <w:numPr>
                <w:ilvl w:val="0"/>
                <w:numId w:val="3"/>
              </w:numPr>
              <w:spacing w:before="0" w:after="0" w:line="240" w:lineRule="auto"/>
            </w:pPr>
            <w:r>
              <w:rPr>
                <w:rFonts w:ascii="Calibri" w:hAnsi="Calibri"/>
              </w:rPr>
              <w:t>Hlavní účetní provede kontrolu zaúčtování cestovních náhrad, výše doplatku/vratky cestovního příkazu a vyúčtování schválí a stanoví, zda doplatek/vratka bude cestovateli uhrazen na účet nebo pokladnou.</w:t>
            </w:r>
          </w:p>
          <w:p w:rsidR="00D27F66" w:rsidRDefault="0093037D">
            <w:pPr>
              <w:pStyle w:val="Normlnweb"/>
              <w:numPr>
                <w:ilvl w:val="0"/>
                <w:numId w:val="3"/>
              </w:numPr>
              <w:spacing w:before="0" w:after="0" w:line="240" w:lineRule="auto"/>
            </w:pPr>
            <w:r>
              <w:rPr>
                <w:rFonts w:ascii="Calibri" w:hAnsi="Calibri"/>
              </w:rPr>
              <w:t xml:space="preserve">Pokud vyúčtování neschválí, vrátí vyúčtování cestovateli k přepracování do kroku 7. </w:t>
            </w:r>
            <w:r>
              <w:rPr>
                <w:rFonts w:ascii="Calibri" w:hAnsi="Calibri"/>
                <w:i/>
                <w:iCs/>
              </w:rPr>
              <w:t>Zadání vyúčtování</w:t>
            </w:r>
            <w:r>
              <w:rPr>
                <w:rFonts w:ascii="Calibri" w:hAnsi="Calibri"/>
              </w:rPr>
              <w:t>.</w:t>
            </w:r>
          </w:p>
          <w:p w:rsidR="00D27F66" w:rsidRDefault="0093037D">
            <w:pPr>
              <w:pStyle w:val="Normlnweb"/>
              <w:numPr>
                <w:ilvl w:val="0"/>
                <w:numId w:val="3"/>
              </w:numPr>
              <w:spacing w:before="0" w:after="0" w:line="240" w:lineRule="auto"/>
            </w:pPr>
            <w:r>
              <w:rPr>
                <w:rFonts w:ascii="Calibri" w:hAnsi="Calibri"/>
                <w:bCs/>
                <w:color w:val="000000"/>
              </w:rPr>
              <w:t xml:space="preserve">Pozn.: </w:t>
            </w:r>
          </w:p>
          <w:p w:rsidR="00D27F66" w:rsidRDefault="0093037D">
            <w:pPr>
              <w:pStyle w:val="Normlnweb"/>
              <w:numPr>
                <w:ilvl w:val="0"/>
                <w:numId w:val="3"/>
              </w:numPr>
              <w:spacing w:before="0" w:after="0" w:line="240" w:lineRule="auto"/>
            </w:pPr>
            <w:r>
              <w:rPr>
                <w:rFonts w:ascii="Calibri" w:hAnsi="Calibri"/>
                <w:bCs/>
                <w:color w:val="000000"/>
              </w:rPr>
              <w:t>1. Je-li hlavní účetní shodná s účetní, proběhne schválení hlavní účetní a zaúčtování cestovních náhrad v jednom kroku.</w:t>
            </w:r>
          </w:p>
          <w:p w:rsidR="00D27F66" w:rsidRDefault="0093037D">
            <w:pPr>
              <w:pStyle w:val="Normlnweb"/>
              <w:numPr>
                <w:ilvl w:val="0"/>
                <w:numId w:val="3"/>
              </w:numPr>
              <w:spacing w:before="0" w:after="0" w:line="240" w:lineRule="auto"/>
            </w:pPr>
            <w:r>
              <w:rPr>
                <w:rFonts w:ascii="Calibri" w:hAnsi="Calibri"/>
                <w:bCs/>
                <w:color w:val="000000"/>
              </w:rPr>
              <w:t>2. Je-li hlavní účetní shodná se správcem rozpočtu, proběhne schválení správcem a hlavní účetní v jednom kroku.</w:t>
            </w:r>
          </w:p>
        </w:tc>
        <w:tc>
          <w:tcPr>
            <w:tcW w:w="1699"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vyúčtování cesty (schválené hl. účetní)</w:t>
            </w:r>
          </w:p>
        </w:tc>
        <w:tc>
          <w:tcPr>
            <w:tcW w:w="1433"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Obsahtabulky"/>
              <w:numPr>
                <w:ilvl w:val="0"/>
                <w:numId w:val="3"/>
              </w:numPr>
            </w:pPr>
            <w:r>
              <w:rPr>
                <w:rFonts w:ascii="Calibri" w:hAnsi="Calibri" w:cs="Calibri"/>
                <w:sz w:val="20"/>
                <w:szCs w:val="20"/>
              </w:rPr>
              <w:t>hlavní účetní cestovních příkazů</w:t>
            </w:r>
          </w:p>
        </w:tc>
      </w:tr>
      <w:tr w:rsidR="00D27F66">
        <w:trPr>
          <w:cantSplit/>
        </w:trPr>
        <w:tc>
          <w:tcPr>
            <w:tcW w:w="2262"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13. Vyplacení cesty</w:t>
            </w:r>
          </w:p>
        </w:tc>
        <w:tc>
          <w:tcPr>
            <w:tcW w:w="1699"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vyúčtování cesty (schválené účetní)</w:t>
            </w:r>
          </w:p>
        </w:tc>
        <w:tc>
          <w:tcPr>
            <w:tcW w:w="7704" w:type="dxa"/>
            <w:tcBorders>
              <w:top w:val="single" w:sz="2" w:space="0" w:color="000001"/>
              <w:left w:val="single" w:sz="2" w:space="0" w:color="000001"/>
              <w:bottom w:val="single" w:sz="2" w:space="0" w:color="000001"/>
            </w:tcBorders>
            <w:shd w:val="clear" w:color="auto" w:fill="auto"/>
          </w:tcPr>
          <w:p w:rsidR="00D27F66" w:rsidRDefault="0093037D">
            <w:pPr>
              <w:pStyle w:val="Normlnweb"/>
              <w:numPr>
                <w:ilvl w:val="0"/>
                <w:numId w:val="3"/>
              </w:numPr>
              <w:spacing w:before="0" w:after="0" w:line="240" w:lineRule="auto"/>
            </w:pPr>
            <w:r>
              <w:rPr>
                <w:rFonts w:ascii="Calibri" w:hAnsi="Calibri"/>
              </w:rPr>
              <w:t xml:space="preserve">V případě, že v kroku 12. </w:t>
            </w:r>
            <w:r>
              <w:rPr>
                <w:rFonts w:ascii="Calibri" w:hAnsi="Calibri"/>
                <w:i/>
                <w:iCs/>
              </w:rPr>
              <w:t xml:space="preserve">Schválení hlavní účetní </w:t>
            </w:r>
            <w:r>
              <w:rPr>
                <w:rFonts w:ascii="Calibri" w:hAnsi="Calibri"/>
              </w:rPr>
              <w:t xml:space="preserve">bylo stanoveno vyplacení cesty pokladnou, provede pokladní výplatu / příjem hotovosti ve výši schválené v předchozím kroku hlavní účetní.  V případě úhrady na účet provede vyplacení cesty na účet cestovatele či ve mzdě. </w:t>
            </w:r>
          </w:p>
        </w:tc>
        <w:tc>
          <w:tcPr>
            <w:tcW w:w="1699" w:type="dxa"/>
            <w:tcBorders>
              <w:top w:val="single" w:sz="2" w:space="0" w:color="000001"/>
              <w:left w:val="single" w:sz="2" w:space="0" w:color="000001"/>
              <w:bottom w:val="single" w:sz="2" w:space="0" w:color="000001"/>
            </w:tcBorders>
            <w:shd w:val="clear" w:color="auto" w:fill="auto"/>
          </w:tcPr>
          <w:p w:rsidR="00D27F66" w:rsidRDefault="0093037D">
            <w:pPr>
              <w:pStyle w:val="Obsahtabulky"/>
              <w:numPr>
                <w:ilvl w:val="0"/>
                <w:numId w:val="3"/>
              </w:numPr>
            </w:pPr>
            <w:r>
              <w:rPr>
                <w:rFonts w:ascii="Calibri" w:hAnsi="Calibri" w:cs="Times New Roman"/>
                <w:sz w:val="20"/>
                <w:szCs w:val="20"/>
              </w:rPr>
              <w:t>výplata / příjem hotovosti</w:t>
            </w:r>
          </w:p>
          <w:p w:rsidR="00D27F66" w:rsidRDefault="0093037D">
            <w:pPr>
              <w:pStyle w:val="Obsahtabulky"/>
              <w:numPr>
                <w:ilvl w:val="0"/>
                <w:numId w:val="3"/>
              </w:numPr>
            </w:pPr>
            <w:r>
              <w:rPr>
                <w:rFonts w:ascii="Calibri" w:hAnsi="Calibri" w:cs="Times New Roman"/>
                <w:sz w:val="20"/>
                <w:szCs w:val="20"/>
              </w:rPr>
              <w:t>výplata na účet či ve mzdě</w:t>
            </w:r>
          </w:p>
        </w:tc>
        <w:tc>
          <w:tcPr>
            <w:tcW w:w="1433" w:type="dxa"/>
            <w:tcBorders>
              <w:top w:val="single" w:sz="2" w:space="0" w:color="000001"/>
              <w:left w:val="single" w:sz="2" w:space="0" w:color="000001"/>
              <w:bottom w:val="single" w:sz="2" w:space="0" w:color="000001"/>
              <w:right w:val="single" w:sz="2" w:space="0" w:color="000001"/>
            </w:tcBorders>
            <w:shd w:val="clear" w:color="auto" w:fill="auto"/>
          </w:tcPr>
          <w:p w:rsidR="00D27F66" w:rsidRDefault="0093037D">
            <w:pPr>
              <w:pStyle w:val="Obsahtabulky"/>
              <w:numPr>
                <w:ilvl w:val="0"/>
                <w:numId w:val="3"/>
              </w:numPr>
            </w:pPr>
            <w:r>
              <w:rPr>
                <w:rFonts w:ascii="Calibri" w:hAnsi="Calibri" w:cs="Calibri"/>
                <w:sz w:val="20"/>
                <w:szCs w:val="20"/>
              </w:rPr>
              <w:t>pokladní</w:t>
            </w:r>
          </w:p>
        </w:tc>
      </w:tr>
    </w:tbl>
    <w:p w:rsidR="00D27F66" w:rsidRDefault="00D27F66"/>
    <w:p w:rsidR="00D27F66" w:rsidRDefault="0093037D">
      <w:r>
        <w:br w:type="page"/>
      </w:r>
    </w:p>
    <w:p w:rsidR="00D27F66" w:rsidRDefault="0093037D">
      <w:r>
        <w:rPr>
          <w:noProof/>
          <w:lang w:eastAsia="cs-CZ" w:bidi="ar-SA"/>
        </w:rPr>
        <w:lastRenderedPageBreak/>
        <w:drawing>
          <wp:anchor distT="0" distB="0" distL="0" distR="0" simplePos="0" relativeHeight="4" behindDoc="0" locked="0" layoutInCell="1" allowOverlap="1">
            <wp:simplePos x="0" y="0"/>
            <wp:positionH relativeFrom="column">
              <wp:posOffset>12700</wp:posOffset>
            </wp:positionH>
            <wp:positionV relativeFrom="paragraph">
              <wp:posOffset>-135255</wp:posOffset>
            </wp:positionV>
            <wp:extent cx="9338310" cy="6253480"/>
            <wp:effectExtent l="0" t="0" r="0" b="0"/>
            <wp:wrapSquare wrapText="largest"/>
            <wp:docPr id="3"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3"/>
                    <pic:cNvPicPr>
                      <a:picLocks noChangeAspect="1" noChangeArrowheads="1"/>
                    </pic:cNvPicPr>
                  </pic:nvPicPr>
                  <pic:blipFill>
                    <a:blip r:embed="rId10"/>
                    <a:stretch>
                      <a:fillRect/>
                    </a:stretch>
                  </pic:blipFill>
                  <pic:spPr bwMode="auto">
                    <a:xfrm>
                      <a:off x="0" y="0"/>
                      <a:ext cx="9338310" cy="6253480"/>
                    </a:xfrm>
                    <a:prstGeom prst="rect">
                      <a:avLst/>
                    </a:prstGeom>
                  </pic:spPr>
                </pic:pic>
              </a:graphicData>
            </a:graphic>
          </wp:anchor>
        </w:drawing>
      </w:r>
      <w:r>
        <w:br w:type="page"/>
      </w:r>
    </w:p>
    <w:p w:rsidR="00D27F66" w:rsidRDefault="0093037D">
      <w:pPr>
        <w:pStyle w:val="Nadpis3"/>
        <w:numPr>
          <w:ilvl w:val="2"/>
          <w:numId w:val="3"/>
        </w:numPr>
        <w:spacing w:before="0" w:after="119"/>
      </w:pPr>
      <w:r>
        <w:lastRenderedPageBreak/>
        <w:t>Cestovní příkazy zahraniční</w:t>
      </w:r>
    </w:p>
    <w:tbl>
      <w:tblPr>
        <w:tblW w:w="14797" w:type="dxa"/>
        <w:tblInd w:w="45" w:type="dxa"/>
        <w:tblCellMar>
          <w:top w:w="45" w:type="dxa"/>
          <w:left w:w="45" w:type="dxa"/>
          <w:bottom w:w="45" w:type="dxa"/>
          <w:right w:w="57" w:type="dxa"/>
        </w:tblCellMar>
        <w:tblLook w:val="04A0" w:firstRow="1" w:lastRow="0" w:firstColumn="1" w:lastColumn="0" w:noHBand="0" w:noVBand="1"/>
      </w:tblPr>
      <w:tblGrid>
        <w:gridCol w:w="2262"/>
        <w:gridCol w:w="1699"/>
        <w:gridCol w:w="7704"/>
        <w:gridCol w:w="1699"/>
        <w:gridCol w:w="1433"/>
      </w:tblGrid>
      <w:tr w:rsidR="00D27F66">
        <w:trPr>
          <w:cantSplit/>
          <w:tblHeader/>
        </w:trPr>
        <w:tc>
          <w:tcPr>
            <w:tcW w:w="2262" w:type="dxa"/>
            <w:tcBorders>
              <w:top w:val="single" w:sz="2" w:space="0" w:color="000001"/>
              <w:left w:val="single" w:sz="2" w:space="0" w:color="000001"/>
              <w:bottom w:val="single" w:sz="2" w:space="0" w:color="000001"/>
            </w:tcBorders>
            <w:shd w:val="clear" w:color="auto" w:fill="E6E6E6"/>
            <w:vAlign w:val="center"/>
          </w:tcPr>
          <w:p w:rsidR="00D27F66" w:rsidRDefault="0093037D">
            <w:pPr>
              <w:pStyle w:val="Obsahtabulky"/>
              <w:numPr>
                <w:ilvl w:val="0"/>
                <w:numId w:val="3"/>
              </w:numPr>
            </w:pPr>
            <w:r>
              <w:rPr>
                <w:rFonts w:cs="Calibri"/>
                <w:szCs w:val="22"/>
              </w:rPr>
              <w:t>Činnost</w:t>
            </w:r>
          </w:p>
        </w:tc>
        <w:tc>
          <w:tcPr>
            <w:tcW w:w="1699" w:type="dxa"/>
            <w:tcBorders>
              <w:top w:val="single" w:sz="2" w:space="0" w:color="000001"/>
              <w:left w:val="single" w:sz="2" w:space="0" w:color="000001"/>
              <w:bottom w:val="single" w:sz="2" w:space="0" w:color="000001"/>
            </w:tcBorders>
            <w:shd w:val="clear" w:color="auto" w:fill="E6E6E6"/>
            <w:vAlign w:val="center"/>
          </w:tcPr>
          <w:p w:rsidR="00D27F66" w:rsidRDefault="0093037D">
            <w:pPr>
              <w:pStyle w:val="Obsahtabulky"/>
              <w:numPr>
                <w:ilvl w:val="0"/>
                <w:numId w:val="3"/>
              </w:numPr>
              <w:ind w:left="57"/>
            </w:pPr>
            <w:r>
              <w:rPr>
                <w:rFonts w:cs="Calibri"/>
                <w:szCs w:val="22"/>
              </w:rPr>
              <w:t>Vstup</w:t>
            </w:r>
          </w:p>
        </w:tc>
        <w:tc>
          <w:tcPr>
            <w:tcW w:w="7704" w:type="dxa"/>
            <w:tcBorders>
              <w:top w:val="single" w:sz="2" w:space="0" w:color="000001"/>
              <w:left w:val="single" w:sz="2" w:space="0" w:color="000001"/>
              <w:bottom w:val="single" w:sz="2" w:space="0" w:color="000001"/>
            </w:tcBorders>
            <w:shd w:val="clear" w:color="auto" w:fill="E6E6E6"/>
            <w:vAlign w:val="center"/>
          </w:tcPr>
          <w:p w:rsidR="00D27F66" w:rsidRDefault="0093037D">
            <w:pPr>
              <w:pStyle w:val="Obsahtabulky"/>
              <w:numPr>
                <w:ilvl w:val="0"/>
                <w:numId w:val="3"/>
              </w:numPr>
            </w:pPr>
            <w:r>
              <w:rPr>
                <w:rFonts w:cs="Calibri"/>
                <w:szCs w:val="22"/>
              </w:rPr>
              <w:t>Popis</w:t>
            </w:r>
            <w:r>
              <w:rPr>
                <w:rFonts w:cs="Calibri"/>
                <w:color w:val="333333"/>
                <w:szCs w:val="22"/>
              </w:rPr>
              <w:t xml:space="preserve"> činnosti</w:t>
            </w:r>
          </w:p>
        </w:tc>
        <w:tc>
          <w:tcPr>
            <w:tcW w:w="1699" w:type="dxa"/>
            <w:tcBorders>
              <w:top w:val="single" w:sz="2" w:space="0" w:color="000001"/>
              <w:left w:val="single" w:sz="2" w:space="0" w:color="000001"/>
              <w:bottom w:val="single" w:sz="2" w:space="0" w:color="000001"/>
            </w:tcBorders>
            <w:shd w:val="clear" w:color="auto" w:fill="E6E6E6"/>
            <w:vAlign w:val="center"/>
          </w:tcPr>
          <w:p w:rsidR="00D27F66" w:rsidRDefault="0093037D">
            <w:pPr>
              <w:pStyle w:val="Obsahtabulky"/>
              <w:numPr>
                <w:ilvl w:val="0"/>
                <w:numId w:val="3"/>
              </w:numPr>
              <w:ind w:left="57"/>
            </w:pPr>
            <w:r>
              <w:rPr>
                <w:rFonts w:cs="Calibri"/>
                <w:szCs w:val="22"/>
              </w:rPr>
              <w:t>Výstup (mezivýstup)</w:t>
            </w:r>
          </w:p>
        </w:tc>
        <w:tc>
          <w:tcPr>
            <w:tcW w:w="1433" w:type="dxa"/>
            <w:tcBorders>
              <w:top w:val="single" w:sz="2" w:space="0" w:color="000001"/>
              <w:left w:val="single" w:sz="2" w:space="0" w:color="000001"/>
              <w:bottom w:val="single" w:sz="2" w:space="0" w:color="000001"/>
              <w:right w:val="single" w:sz="2" w:space="0" w:color="000001"/>
            </w:tcBorders>
            <w:shd w:val="clear" w:color="auto" w:fill="E6E6E6"/>
            <w:vAlign w:val="center"/>
          </w:tcPr>
          <w:p w:rsidR="00D27F66" w:rsidRDefault="0093037D">
            <w:pPr>
              <w:pStyle w:val="Obsahtabulky"/>
              <w:numPr>
                <w:ilvl w:val="0"/>
                <w:numId w:val="3"/>
              </w:numPr>
              <w:ind w:left="57"/>
            </w:pPr>
            <w:r>
              <w:rPr>
                <w:rFonts w:cs="Calibri"/>
                <w:szCs w:val="22"/>
              </w:rPr>
              <w:t>Provádí</w:t>
            </w:r>
          </w:p>
        </w:tc>
      </w:tr>
      <w:tr w:rsidR="00D27F66">
        <w:trPr>
          <w:cantSplit/>
        </w:trPr>
        <w:tc>
          <w:tcPr>
            <w:tcW w:w="2262" w:type="dxa"/>
            <w:tcBorders>
              <w:top w:val="single" w:sz="2" w:space="0" w:color="000001"/>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1. Vyplnění cestovního příkazu</w:t>
            </w:r>
          </w:p>
        </w:tc>
        <w:tc>
          <w:tcPr>
            <w:tcW w:w="1699" w:type="dxa"/>
            <w:tcBorders>
              <w:top w:val="single" w:sz="2" w:space="0" w:color="000001"/>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záměr vycestovat</w:t>
            </w:r>
          </w:p>
        </w:tc>
        <w:tc>
          <w:tcPr>
            <w:tcW w:w="7704" w:type="dxa"/>
            <w:tcBorders>
              <w:top w:val="single" w:sz="2" w:space="0" w:color="000001"/>
              <w:left w:val="single" w:sz="2" w:space="0" w:color="000001"/>
              <w:bottom w:val="single" w:sz="2" w:space="0" w:color="000001"/>
            </w:tcBorders>
            <w:shd w:val="clear" w:color="auto" w:fill="auto"/>
            <w:tcMar>
              <w:top w:w="57" w:type="dxa"/>
              <w:bottom w:w="28" w:type="dxa"/>
            </w:tcMar>
          </w:tcPr>
          <w:p w:rsidR="00D27F66" w:rsidRDefault="0093037D">
            <w:pPr>
              <w:pStyle w:val="Normlnweb"/>
              <w:numPr>
                <w:ilvl w:val="0"/>
                <w:numId w:val="3"/>
              </w:numPr>
              <w:spacing w:before="0" w:after="0" w:line="240" w:lineRule="auto"/>
            </w:pPr>
            <w:r>
              <w:rPr>
                <w:rFonts w:ascii="Calibri" w:hAnsi="Calibri"/>
                <w:bCs/>
                <w:color w:val="000000"/>
              </w:rPr>
              <w:t xml:space="preserve">Pracovník, který je vyslán na pracovní cestu (cestovatel), provede zápis údajů potřebných ke schválení cesty před vycestováním. </w:t>
            </w:r>
          </w:p>
          <w:p w:rsidR="00D27F66" w:rsidRDefault="0093037D">
            <w:pPr>
              <w:pStyle w:val="Normlnweb"/>
              <w:numPr>
                <w:ilvl w:val="0"/>
                <w:numId w:val="3"/>
              </w:numPr>
              <w:spacing w:before="0" w:after="0" w:line="240" w:lineRule="auto"/>
            </w:pPr>
            <w:r>
              <w:rPr>
                <w:rFonts w:ascii="Calibri" w:hAnsi="Calibri"/>
                <w:bCs/>
                <w:color w:val="000000"/>
              </w:rPr>
              <w:t>Údaje zahrnují z pohledu workflow zejména:</w:t>
            </w:r>
          </w:p>
          <w:p w:rsidR="00D27F66" w:rsidRDefault="0093037D">
            <w:pPr>
              <w:pStyle w:val="Normlnweb"/>
              <w:numPr>
                <w:ilvl w:val="0"/>
                <w:numId w:val="6"/>
              </w:numPr>
              <w:spacing w:before="0" w:after="0" w:line="240" w:lineRule="auto"/>
            </w:pPr>
            <w:r>
              <w:rPr>
                <w:rFonts w:ascii="Calibri" w:hAnsi="Calibri"/>
                <w:bCs/>
                <w:color w:val="000000"/>
              </w:rPr>
              <w:t>předpokládané náklady na cestu</w:t>
            </w:r>
          </w:p>
          <w:p w:rsidR="00D27F66" w:rsidRDefault="0093037D">
            <w:pPr>
              <w:pStyle w:val="Normlnweb"/>
              <w:numPr>
                <w:ilvl w:val="0"/>
                <w:numId w:val="6"/>
              </w:numPr>
              <w:spacing w:before="0" w:after="0" w:line="240" w:lineRule="auto"/>
            </w:pPr>
            <w:r>
              <w:rPr>
                <w:rFonts w:ascii="Calibri" w:hAnsi="Calibri"/>
                <w:bCs/>
                <w:color w:val="000000"/>
              </w:rPr>
              <w:t>zdroj krytí cesty</w:t>
            </w:r>
          </w:p>
          <w:p w:rsidR="00D27F66" w:rsidRDefault="0093037D">
            <w:pPr>
              <w:pStyle w:val="Normlnweb"/>
              <w:numPr>
                <w:ilvl w:val="0"/>
                <w:numId w:val="6"/>
              </w:numPr>
              <w:spacing w:before="0" w:after="0" w:line="240" w:lineRule="auto"/>
            </w:pPr>
            <w:r>
              <w:rPr>
                <w:rFonts w:ascii="Calibri" w:hAnsi="Calibri"/>
                <w:bCs/>
                <w:color w:val="000000"/>
              </w:rPr>
              <w:t>žádost o poskytnutí zálohy a její výši</w:t>
            </w:r>
          </w:p>
          <w:p w:rsidR="00D27F66" w:rsidRDefault="0093037D">
            <w:pPr>
              <w:pStyle w:val="Normlnweb"/>
              <w:numPr>
                <w:ilvl w:val="0"/>
                <w:numId w:val="6"/>
              </w:numPr>
              <w:spacing w:before="0" w:after="0" w:line="240" w:lineRule="auto"/>
            </w:pPr>
            <w:r>
              <w:rPr>
                <w:rFonts w:ascii="Calibri" w:hAnsi="Calibri"/>
                <w:bCs/>
                <w:color w:val="000000"/>
              </w:rPr>
              <w:t>použití dopravního prostředku (uvede, jaký použije dopravní prostředek výběrem z možností).</w:t>
            </w:r>
          </w:p>
          <w:p w:rsidR="00D27F66" w:rsidRDefault="0093037D">
            <w:pPr>
              <w:pStyle w:val="Normlnweb"/>
              <w:numPr>
                <w:ilvl w:val="0"/>
                <w:numId w:val="3"/>
              </w:numPr>
              <w:spacing w:before="0" w:after="0" w:line="240" w:lineRule="auto"/>
            </w:pPr>
            <w:r>
              <w:rPr>
                <w:rFonts w:ascii="Calibri" w:hAnsi="Calibri"/>
                <w:bCs/>
                <w:color w:val="000000"/>
              </w:rPr>
              <w:t xml:space="preserve">Cestovatel, kterého zaměstnavatel vyslal na služební cestu soukromým vozem, zaklikne tuto skutečnost a zobrazí se mu formulář </w:t>
            </w:r>
            <w:r>
              <w:rPr>
                <w:rFonts w:ascii="Calibri" w:hAnsi="Calibri"/>
                <w:bCs/>
                <w:i/>
                <w:iCs/>
                <w:color w:val="000000"/>
              </w:rPr>
              <w:t>Žádost zaměstnavatele o povolení použití soukromého vozidla k pracovní cestě</w:t>
            </w:r>
            <w:r>
              <w:rPr>
                <w:rFonts w:ascii="Calibri" w:hAnsi="Calibri"/>
                <w:bCs/>
                <w:color w:val="000000"/>
              </w:rPr>
              <w:t>, který vyplní. Tento formulář je elektronicky pak součástí schvalovacího workflow.</w:t>
            </w:r>
          </w:p>
          <w:p w:rsidR="00D27F66" w:rsidRDefault="0093037D">
            <w:pPr>
              <w:pStyle w:val="Normlnweb"/>
              <w:numPr>
                <w:ilvl w:val="0"/>
                <w:numId w:val="3"/>
              </w:numPr>
              <w:spacing w:before="0" w:after="0" w:line="240" w:lineRule="auto"/>
            </w:pPr>
            <w:r>
              <w:rPr>
                <w:rFonts w:ascii="Calibri" w:hAnsi="Calibri"/>
                <w:bCs/>
                <w:color w:val="000000"/>
              </w:rPr>
              <w:t>Pozn.: Zápis údajů potřebných ke schválení cesty před vycestováním může místo cestovatele provést pro definovaný okruh pracovníků referent CP resp. asistent.</w:t>
            </w:r>
          </w:p>
        </w:tc>
        <w:tc>
          <w:tcPr>
            <w:tcW w:w="1699" w:type="dxa"/>
            <w:tcBorders>
              <w:top w:val="single" w:sz="2" w:space="0" w:color="000001"/>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cestovní příkaz (ke kontrole)</w:t>
            </w:r>
          </w:p>
        </w:tc>
        <w:tc>
          <w:tcPr>
            <w:tcW w:w="1433" w:type="dxa"/>
            <w:tcBorders>
              <w:top w:val="single" w:sz="2" w:space="0" w:color="000001"/>
              <w:left w:val="single" w:sz="2" w:space="0" w:color="000001"/>
              <w:bottom w:val="single" w:sz="2" w:space="0" w:color="000001"/>
              <w:right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cestovatel</w:t>
            </w:r>
          </w:p>
        </w:tc>
      </w:tr>
      <w:tr w:rsidR="00D27F66">
        <w:trPr>
          <w:cantSplit/>
        </w:trPr>
        <w:tc>
          <w:tcPr>
            <w:tcW w:w="2262"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sz w:val="20"/>
                <w:szCs w:val="20"/>
              </w:rPr>
              <w:t>2. Kontrola vyplnění cest. příkazu</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cestovní příkaz (ke kontrole)</w:t>
            </w:r>
          </w:p>
        </w:tc>
        <w:tc>
          <w:tcPr>
            <w:tcW w:w="7704" w:type="dxa"/>
            <w:tcBorders>
              <w:left w:val="single" w:sz="2" w:space="0" w:color="000001"/>
              <w:bottom w:val="single" w:sz="2" w:space="0" w:color="000001"/>
            </w:tcBorders>
            <w:shd w:val="clear" w:color="auto" w:fill="auto"/>
            <w:tcMar>
              <w:top w:w="57" w:type="dxa"/>
              <w:bottom w:w="28" w:type="dxa"/>
            </w:tcMar>
          </w:tcPr>
          <w:p w:rsidR="00D27F66" w:rsidRDefault="0093037D">
            <w:pPr>
              <w:pStyle w:val="Normlnweb"/>
              <w:numPr>
                <w:ilvl w:val="0"/>
                <w:numId w:val="3"/>
              </w:numPr>
              <w:spacing w:before="0" w:after="0" w:line="240" w:lineRule="auto"/>
            </w:pPr>
            <w:r>
              <w:rPr>
                <w:rFonts w:ascii="Calibri" w:hAnsi="Calibri"/>
              </w:rPr>
              <w:t>Kontrola správnosti vyplnění cestovního příkazu a příloh. Referent CP konzultuje s ředitelem ústavu použití soukromého vozidla a vyznačí do CP, zda bylo povoleno.</w:t>
            </w:r>
          </w:p>
          <w:p w:rsidR="00D27F66" w:rsidRDefault="0093037D">
            <w:pPr>
              <w:pStyle w:val="Normlnweb"/>
              <w:numPr>
                <w:ilvl w:val="0"/>
                <w:numId w:val="3"/>
              </w:numPr>
              <w:spacing w:before="0" w:after="0" w:line="240" w:lineRule="auto"/>
            </w:pPr>
            <w:r>
              <w:rPr>
                <w:rFonts w:ascii="Calibri" w:hAnsi="Calibri"/>
              </w:rPr>
              <w:t>V případě zjištění nesrovnalostí vrácení cestovateli na krok 1</w:t>
            </w:r>
            <w:r>
              <w:rPr>
                <w:rFonts w:ascii="Calibri" w:hAnsi="Calibri"/>
                <w:i/>
                <w:iCs/>
              </w:rPr>
              <w:t>. Vyplnění cestovního příkazu</w:t>
            </w:r>
            <w:r>
              <w:rPr>
                <w:rFonts w:ascii="Calibri" w:hAnsi="Calibri"/>
              </w:rPr>
              <w:t>.</w:t>
            </w:r>
          </w:p>
          <w:p w:rsidR="00D27F66" w:rsidRDefault="0093037D">
            <w:pPr>
              <w:pStyle w:val="Normlnweb"/>
              <w:numPr>
                <w:ilvl w:val="0"/>
                <w:numId w:val="3"/>
              </w:numPr>
              <w:spacing w:before="0" w:after="0" w:line="240" w:lineRule="auto"/>
            </w:pPr>
            <w:r>
              <w:rPr>
                <w:rFonts w:ascii="Calibri" w:hAnsi="Calibri"/>
              </w:rPr>
              <w:t>Při kontrole je prověřeno, zda cestovatel v případě použití vozidla absolvoval školení řidičů a je zdravotně způsobilý.</w:t>
            </w:r>
          </w:p>
          <w:p w:rsidR="00D27F66" w:rsidRDefault="0093037D">
            <w:pPr>
              <w:pStyle w:val="Normlnweb"/>
              <w:numPr>
                <w:ilvl w:val="0"/>
                <w:numId w:val="3"/>
              </w:numPr>
              <w:spacing w:before="0" w:after="0" w:line="240" w:lineRule="auto"/>
            </w:pPr>
            <w:r>
              <w:rPr>
                <w:rFonts w:ascii="Calibri" w:hAnsi="Calibri"/>
              </w:rPr>
              <w:t xml:space="preserve">Pozn.: </w:t>
            </w:r>
          </w:p>
          <w:p w:rsidR="00D27F66" w:rsidRDefault="0093037D">
            <w:pPr>
              <w:pStyle w:val="Normlnweb"/>
              <w:numPr>
                <w:ilvl w:val="0"/>
                <w:numId w:val="3"/>
              </w:numPr>
              <w:spacing w:before="0" w:after="0" w:line="240" w:lineRule="auto"/>
            </w:pPr>
            <w:r>
              <w:rPr>
                <w:rFonts w:ascii="Calibri" w:hAnsi="Calibri"/>
              </w:rPr>
              <w:t>1. Referentem CP může být i pověřená osoba jako je např. sekretářka.</w:t>
            </w:r>
          </w:p>
          <w:p w:rsidR="00D27F66" w:rsidRDefault="0093037D">
            <w:pPr>
              <w:pStyle w:val="Normlnweb"/>
              <w:numPr>
                <w:ilvl w:val="0"/>
                <w:numId w:val="3"/>
              </w:numPr>
              <w:spacing w:before="0" w:after="0" w:line="240" w:lineRule="auto"/>
            </w:pPr>
            <w:r>
              <w:rPr>
                <w:rFonts w:ascii="Calibri" w:hAnsi="Calibri"/>
              </w:rPr>
              <w:t xml:space="preserve">2. Pokud byl v kroku 1. vyplněn cestovní příkaz referentem CP, bude tento krok (2. </w:t>
            </w:r>
            <w:r>
              <w:rPr>
                <w:rFonts w:ascii="Calibri" w:hAnsi="Calibri"/>
                <w:i/>
                <w:iCs/>
              </w:rPr>
              <w:t>Kontrola vyplnění cest. příkazu</w:t>
            </w:r>
            <w:r>
              <w:rPr>
                <w:rFonts w:ascii="Calibri" w:hAnsi="Calibri"/>
              </w:rPr>
              <w:t>) vynechán.</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cestovní příkaz (ke schválení)</w:t>
            </w:r>
          </w:p>
        </w:tc>
        <w:tc>
          <w:tcPr>
            <w:tcW w:w="1433" w:type="dxa"/>
            <w:tcBorders>
              <w:left w:val="single" w:sz="2" w:space="0" w:color="000001"/>
              <w:bottom w:val="single" w:sz="2" w:space="0" w:color="000001"/>
              <w:right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sz w:val="20"/>
                <w:szCs w:val="20"/>
              </w:rPr>
              <w:t>referent CP</w:t>
            </w:r>
          </w:p>
        </w:tc>
      </w:tr>
      <w:tr w:rsidR="00D27F66">
        <w:trPr>
          <w:cantSplit/>
        </w:trPr>
        <w:tc>
          <w:tcPr>
            <w:tcW w:w="2262"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3. Vyslání na služební cestu nadřízeným</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cestovní příkaz (ke schválení)</w:t>
            </w:r>
          </w:p>
        </w:tc>
        <w:tc>
          <w:tcPr>
            <w:tcW w:w="7704" w:type="dxa"/>
            <w:tcBorders>
              <w:left w:val="single" w:sz="2" w:space="0" w:color="000001"/>
              <w:bottom w:val="single" w:sz="2" w:space="0" w:color="000001"/>
            </w:tcBorders>
            <w:shd w:val="clear" w:color="auto" w:fill="auto"/>
            <w:tcMar>
              <w:top w:w="57" w:type="dxa"/>
              <w:bottom w:w="28" w:type="dxa"/>
            </w:tcMar>
          </w:tcPr>
          <w:p w:rsidR="00D27F66" w:rsidRDefault="0093037D">
            <w:pPr>
              <w:pStyle w:val="Normlnweb"/>
              <w:numPr>
                <w:ilvl w:val="0"/>
                <w:numId w:val="3"/>
              </w:numPr>
              <w:spacing w:before="0" w:after="0" w:line="240" w:lineRule="auto"/>
            </w:pPr>
            <w:r>
              <w:rPr>
                <w:rFonts w:ascii="Calibri" w:hAnsi="Calibri"/>
                <w:bCs/>
                <w:color w:val="000000"/>
              </w:rPr>
              <w:t>Nadřízený (vedoucí) schválí pracovní cestu včetně použití dopravního prostředku.</w:t>
            </w:r>
          </w:p>
          <w:p w:rsidR="00D27F66" w:rsidRDefault="0093037D">
            <w:pPr>
              <w:pStyle w:val="Normlnweb"/>
              <w:numPr>
                <w:ilvl w:val="0"/>
                <w:numId w:val="3"/>
              </w:numPr>
              <w:spacing w:before="0" w:after="0" w:line="240" w:lineRule="auto"/>
            </w:pPr>
            <w:r>
              <w:rPr>
                <w:rFonts w:ascii="Calibri" w:hAnsi="Calibri"/>
                <w:bCs/>
                <w:color w:val="000000"/>
              </w:rPr>
              <w:t xml:space="preserve">Pokud cestu neschválí, vrátí cestovní příkaz (žádost o cestu) zpět cestovateli do kroku 1. </w:t>
            </w:r>
            <w:r>
              <w:rPr>
                <w:rFonts w:ascii="Calibri" w:hAnsi="Calibri"/>
                <w:bCs/>
                <w:i/>
                <w:iCs/>
                <w:color w:val="000000"/>
              </w:rPr>
              <w:t>Vyplnění cestovního příkazu</w:t>
            </w:r>
            <w:r>
              <w:rPr>
                <w:rFonts w:ascii="Calibri" w:hAnsi="Calibri"/>
                <w:bCs/>
                <w:color w:val="000000"/>
              </w:rPr>
              <w:t xml:space="preserve"> nebo zamítne cestu. Při zamítnutí cesty pošle systém cestovateli notifikaci.</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cestovní příkaz (schválený nadřízeným)</w:t>
            </w:r>
          </w:p>
        </w:tc>
        <w:tc>
          <w:tcPr>
            <w:tcW w:w="1433" w:type="dxa"/>
            <w:tcBorders>
              <w:left w:val="single" w:sz="2" w:space="0" w:color="000001"/>
              <w:bottom w:val="single" w:sz="2" w:space="0" w:color="000001"/>
              <w:right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sz w:val="20"/>
                <w:szCs w:val="20"/>
              </w:rPr>
              <w:t>nadřízený</w:t>
            </w:r>
          </w:p>
        </w:tc>
      </w:tr>
      <w:tr w:rsidR="00D27F66">
        <w:trPr>
          <w:cantSplit/>
        </w:trPr>
        <w:tc>
          <w:tcPr>
            <w:tcW w:w="2262"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lastRenderedPageBreak/>
              <w:t>4. Schválení cesty příkazcem</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cestovní příkaz (schválený nadřízeným)</w:t>
            </w:r>
          </w:p>
        </w:tc>
        <w:tc>
          <w:tcPr>
            <w:tcW w:w="7704"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bCs/>
                <w:color w:val="000000"/>
                <w:sz w:val="20"/>
                <w:szCs w:val="20"/>
              </w:rPr>
              <w:t>Příkazce schválí použití navrženého zdroje financování. V případě neschválení navrženého zdroje / zdrojů financování vrací cestovní příkaz zpět do kroku 3.</w:t>
            </w:r>
            <w:r>
              <w:rPr>
                <w:rFonts w:ascii="Calibri" w:hAnsi="Calibri" w:cs="Times New Roman"/>
                <w:bCs/>
                <w:i/>
                <w:iCs/>
                <w:color w:val="000000"/>
                <w:sz w:val="20"/>
                <w:szCs w:val="20"/>
              </w:rPr>
              <w:t xml:space="preserve"> Vyslání na služební cestu nadřízeným </w:t>
            </w:r>
            <w:r>
              <w:rPr>
                <w:rFonts w:ascii="Calibri" w:hAnsi="Calibri" w:cs="Times New Roman"/>
                <w:bCs/>
                <w:color w:val="000000"/>
                <w:sz w:val="20"/>
                <w:szCs w:val="20"/>
              </w:rPr>
              <w:t xml:space="preserve">k zadání jiného zdroje financování nebo zadá jiný zdroj s jiným příkazcem a tím předá schválení cesty novému příkazci (opakované provedení kroku 4. </w:t>
            </w:r>
            <w:r>
              <w:rPr>
                <w:rFonts w:ascii="Calibri" w:hAnsi="Calibri" w:cs="Times New Roman"/>
                <w:bCs/>
                <w:i/>
                <w:iCs/>
                <w:color w:val="000000"/>
                <w:sz w:val="20"/>
                <w:szCs w:val="20"/>
              </w:rPr>
              <w:t xml:space="preserve">Schválení cesty příkazcem </w:t>
            </w:r>
            <w:r>
              <w:rPr>
                <w:rFonts w:ascii="Calibri" w:hAnsi="Calibri" w:cs="Times New Roman"/>
                <w:bCs/>
                <w:color w:val="000000"/>
                <w:sz w:val="20"/>
                <w:szCs w:val="20"/>
              </w:rPr>
              <w:t>s novým příkazcem).</w:t>
            </w:r>
          </w:p>
          <w:p w:rsidR="00D27F66" w:rsidRDefault="0093037D">
            <w:pPr>
              <w:pStyle w:val="Obsahtabulky"/>
              <w:numPr>
                <w:ilvl w:val="0"/>
                <w:numId w:val="3"/>
              </w:numPr>
            </w:pPr>
            <w:r>
              <w:rPr>
                <w:rFonts w:ascii="Calibri" w:hAnsi="Calibri" w:cs="Times New Roman"/>
                <w:bCs/>
                <w:color w:val="000000"/>
                <w:sz w:val="20"/>
                <w:szCs w:val="20"/>
              </w:rPr>
              <w:t xml:space="preserve">Pozn.: V případě, že nadřízený v kroku 3. </w:t>
            </w:r>
            <w:r>
              <w:rPr>
                <w:rFonts w:ascii="Calibri" w:hAnsi="Calibri" w:cs="Times New Roman"/>
                <w:bCs/>
                <w:i/>
                <w:iCs/>
                <w:color w:val="000000"/>
                <w:sz w:val="20"/>
                <w:szCs w:val="20"/>
              </w:rPr>
              <w:t>Vyslání na služební cestu nadřízeným</w:t>
            </w:r>
            <w:r>
              <w:rPr>
                <w:rFonts w:ascii="Calibri" w:hAnsi="Calibri" w:cs="Times New Roman"/>
                <w:bCs/>
                <w:color w:val="000000"/>
                <w:sz w:val="20"/>
                <w:szCs w:val="20"/>
              </w:rPr>
              <w:t xml:space="preserve"> je totožná osoba s příkazcem v kroku 4. </w:t>
            </w:r>
            <w:r>
              <w:rPr>
                <w:rFonts w:ascii="Calibri" w:hAnsi="Calibri" w:cs="Times New Roman"/>
                <w:bCs/>
                <w:i/>
                <w:iCs/>
                <w:color w:val="000000"/>
                <w:sz w:val="20"/>
                <w:szCs w:val="20"/>
              </w:rPr>
              <w:t>Schválení cesty příkazcem</w:t>
            </w:r>
            <w:r>
              <w:rPr>
                <w:rFonts w:ascii="Calibri" w:hAnsi="Calibri" w:cs="Times New Roman"/>
                <w:bCs/>
                <w:color w:val="000000"/>
                <w:sz w:val="20"/>
                <w:szCs w:val="20"/>
              </w:rPr>
              <w:t>, kroky se sloučí do jednoho (provedou se naráz).</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cestovní příkaz (schválený příkazcem)</w:t>
            </w:r>
          </w:p>
        </w:tc>
        <w:tc>
          <w:tcPr>
            <w:tcW w:w="1433" w:type="dxa"/>
            <w:tcBorders>
              <w:left w:val="single" w:sz="2" w:space="0" w:color="000001"/>
              <w:bottom w:val="single" w:sz="2" w:space="0" w:color="000001"/>
              <w:right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Calibri"/>
                <w:sz w:val="20"/>
                <w:szCs w:val="20"/>
              </w:rPr>
              <w:t>příkazce</w:t>
            </w:r>
          </w:p>
        </w:tc>
      </w:tr>
      <w:tr w:rsidR="00D27F66">
        <w:trPr>
          <w:cantSplit/>
        </w:trPr>
        <w:tc>
          <w:tcPr>
            <w:tcW w:w="2262"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sz w:val="20"/>
                <w:szCs w:val="20"/>
              </w:rPr>
              <w:t>5. Schválení správcem</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cestovní příkaz (schválený příkazcem)</w:t>
            </w:r>
          </w:p>
        </w:tc>
        <w:tc>
          <w:tcPr>
            <w:tcW w:w="7704"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sz w:val="20"/>
                <w:szCs w:val="20"/>
              </w:rPr>
              <w:t xml:space="preserve">Správce rozpočtu ověří rozpočtové krytí cesty u daného zdroje financování. Není-li zdroj financování rozpočtově krytý, vrací cestovní příkaz zpět referentovi CP do kroku 2. </w:t>
            </w:r>
            <w:r>
              <w:rPr>
                <w:rFonts w:ascii="Calibri" w:hAnsi="Calibri" w:cs="Times New Roman"/>
                <w:i/>
                <w:iCs/>
                <w:sz w:val="20"/>
                <w:szCs w:val="20"/>
              </w:rPr>
              <w:t>Kontrola vyplnění cest. příkazu</w:t>
            </w:r>
            <w:r>
              <w:rPr>
                <w:rFonts w:ascii="Calibri" w:hAnsi="Calibri"/>
                <w:sz w:val="20"/>
                <w:szCs w:val="20"/>
              </w:rPr>
              <w:t>.</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cestovní příkaz (schválený správcem)</w:t>
            </w:r>
          </w:p>
        </w:tc>
        <w:tc>
          <w:tcPr>
            <w:tcW w:w="1433" w:type="dxa"/>
            <w:tcBorders>
              <w:left w:val="single" w:sz="2" w:space="0" w:color="000001"/>
              <w:bottom w:val="single" w:sz="2" w:space="0" w:color="000001"/>
              <w:right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sz w:val="20"/>
                <w:szCs w:val="20"/>
              </w:rPr>
              <w:t>správce</w:t>
            </w:r>
          </w:p>
        </w:tc>
      </w:tr>
      <w:tr w:rsidR="00D27F66">
        <w:trPr>
          <w:cantSplit/>
        </w:trPr>
        <w:tc>
          <w:tcPr>
            <w:tcW w:w="2262"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sz w:val="20"/>
                <w:szCs w:val="20"/>
              </w:rPr>
              <w:t>6. Schválení zahraniční cesty ředitelem</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cestovní příkaz (schválený správcem)</w:t>
            </w:r>
          </w:p>
        </w:tc>
        <w:tc>
          <w:tcPr>
            <w:tcW w:w="7704" w:type="dxa"/>
            <w:tcBorders>
              <w:left w:val="single" w:sz="2" w:space="0" w:color="000001"/>
              <w:bottom w:val="single" w:sz="2" w:space="0" w:color="000001"/>
            </w:tcBorders>
            <w:shd w:val="clear" w:color="auto" w:fill="auto"/>
            <w:tcMar>
              <w:top w:w="57" w:type="dxa"/>
              <w:bottom w:w="28" w:type="dxa"/>
            </w:tcMar>
          </w:tcPr>
          <w:p w:rsidR="00D27F66" w:rsidRDefault="0093037D">
            <w:pPr>
              <w:pStyle w:val="Normlnweb"/>
              <w:numPr>
                <w:ilvl w:val="0"/>
                <w:numId w:val="3"/>
              </w:numPr>
              <w:spacing w:before="0" w:after="0" w:line="240" w:lineRule="auto"/>
            </w:pPr>
            <w:r>
              <w:rPr>
                <w:rFonts w:ascii="Calibri" w:hAnsi="Calibri"/>
                <w:bCs/>
                <w:color w:val="000000"/>
              </w:rPr>
              <w:t xml:space="preserve">Ředitel schválí pracovní cestu. Pokud cestu neschválí, vrátí cestovní příkaz zpět nadřízenému do kroku 3. </w:t>
            </w:r>
            <w:r>
              <w:rPr>
                <w:rFonts w:ascii="Calibri" w:hAnsi="Calibri"/>
                <w:bCs/>
                <w:i/>
                <w:iCs/>
                <w:color w:val="000000"/>
              </w:rPr>
              <w:t>Vyslání na služební cestu nadřízeným</w:t>
            </w:r>
            <w:r>
              <w:rPr>
                <w:rFonts w:ascii="Calibri" w:hAnsi="Calibri"/>
                <w:bCs/>
                <w:color w:val="000000"/>
              </w:rPr>
              <w:t>.</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cestovní příkaz (schválený ředitelem)</w:t>
            </w:r>
          </w:p>
        </w:tc>
        <w:tc>
          <w:tcPr>
            <w:tcW w:w="1433" w:type="dxa"/>
            <w:tcBorders>
              <w:left w:val="single" w:sz="2" w:space="0" w:color="000001"/>
              <w:bottom w:val="single" w:sz="2" w:space="0" w:color="000001"/>
              <w:right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sz w:val="20"/>
                <w:szCs w:val="20"/>
              </w:rPr>
              <w:t>ředitel</w:t>
            </w:r>
          </w:p>
        </w:tc>
      </w:tr>
      <w:tr w:rsidR="00D27F66">
        <w:trPr>
          <w:cantSplit/>
        </w:trPr>
        <w:tc>
          <w:tcPr>
            <w:tcW w:w="2262"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sz w:val="20"/>
                <w:szCs w:val="20"/>
              </w:rPr>
              <w:t>7. Vyplacení zálohy</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cestovní příkaz (schválený ředitelem)</w:t>
            </w:r>
          </w:p>
        </w:tc>
        <w:tc>
          <w:tcPr>
            <w:tcW w:w="7704" w:type="dxa"/>
            <w:tcBorders>
              <w:left w:val="single" w:sz="2" w:space="0" w:color="000001"/>
              <w:bottom w:val="single" w:sz="2" w:space="0" w:color="000001"/>
            </w:tcBorders>
            <w:shd w:val="clear" w:color="auto" w:fill="auto"/>
            <w:tcMar>
              <w:top w:w="57" w:type="dxa"/>
              <w:bottom w:w="28" w:type="dxa"/>
            </w:tcMar>
          </w:tcPr>
          <w:p w:rsidR="00D27F66" w:rsidRDefault="0093037D">
            <w:pPr>
              <w:pStyle w:val="Normlnweb"/>
              <w:numPr>
                <w:ilvl w:val="0"/>
                <w:numId w:val="3"/>
              </w:numPr>
              <w:spacing w:before="0" w:after="0" w:line="240" w:lineRule="auto"/>
            </w:pPr>
            <w:r>
              <w:rPr>
                <w:rFonts w:ascii="Calibri" w:hAnsi="Calibri"/>
                <w:bCs/>
                <w:color w:val="000000"/>
              </w:rPr>
              <w:t>V případě, že cestovatel žádá o poskytnutí zálohy na cestu, pokladní mu vyplatí zálohu.</w:t>
            </w:r>
          </w:p>
          <w:p w:rsidR="00D27F66" w:rsidRDefault="0093037D">
            <w:pPr>
              <w:pStyle w:val="Normlnweb"/>
              <w:numPr>
                <w:ilvl w:val="0"/>
                <w:numId w:val="3"/>
              </w:numPr>
              <w:spacing w:before="0" w:after="0" w:line="240" w:lineRule="auto"/>
            </w:pPr>
            <w:r>
              <w:rPr>
                <w:rFonts w:ascii="Calibri" w:hAnsi="Calibri"/>
                <w:bCs/>
                <w:color w:val="000000"/>
              </w:rPr>
              <w:t>Pozn.: Záloha může bý</w:t>
            </w:r>
            <w:bookmarkStart w:id="6" w:name="_GoBack1"/>
            <w:bookmarkEnd w:id="6"/>
            <w:r>
              <w:rPr>
                <w:rFonts w:ascii="Calibri" w:hAnsi="Calibri"/>
                <w:bCs/>
                <w:color w:val="000000"/>
              </w:rPr>
              <w:t>t vyplacena v hotovosti nebo na účet.</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sz w:val="20"/>
                <w:szCs w:val="20"/>
              </w:rPr>
              <w:t>vyplacená záloha</w:t>
            </w:r>
          </w:p>
        </w:tc>
        <w:tc>
          <w:tcPr>
            <w:tcW w:w="1433" w:type="dxa"/>
            <w:tcBorders>
              <w:left w:val="single" w:sz="2" w:space="0" w:color="000001"/>
              <w:bottom w:val="single" w:sz="2" w:space="0" w:color="000001"/>
              <w:right w:val="single" w:sz="2" w:space="0" w:color="000001"/>
            </w:tcBorders>
            <w:shd w:val="clear" w:color="auto" w:fill="auto"/>
            <w:tcMar>
              <w:top w:w="57" w:type="dxa"/>
              <w:bottom w:w="28" w:type="dxa"/>
            </w:tcMar>
          </w:tcPr>
          <w:p w:rsidR="00D27F66" w:rsidRDefault="0093037D">
            <w:pPr>
              <w:pStyle w:val="Normlnweb"/>
              <w:numPr>
                <w:ilvl w:val="0"/>
                <w:numId w:val="3"/>
              </w:numPr>
              <w:spacing w:before="0" w:after="0" w:line="240" w:lineRule="auto"/>
            </w:pPr>
            <w:r>
              <w:rPr>
                <w:rFonts w:ascii="Calibri" w:hAnsi="Calibri"/>
              </w:rPr>
              <w:t>pokladní</w:t>
            </w:r>
          </w:p>
        </w:tc>
      </w:tr>
      <w:tr w:rsidR="00D27F66">
        <w:trPr>
          <w:cantSplit/>
        </w:trPr>
        <w:tc>
          <w:tcPr>
            <w:tcW w:w="2262" w:type="dxa"/>
            <w:tcBorders>
              <w:left w:val="single" w:sz="2" w:space="0" w:color="000001"/>
              <w:bottom w:val="single" w:sz="2" w:space="0" w:color="000001"/>
            </w:tcBorders>
            <w:shd w:val="clear" w:color="auto" w:fill="E6E6FF"/>
            <w:tcMar>
              <w:top w:w="57" w:type="dxa"/>
              <w:bottom w:w="28" w:type="dxa"/>
            </w:tcMar>
          </w:tcPr>
          <w:p w:rsidR="00D27F66" w:rsidRDefault="0093037D">
            <w:pPr>
              <w:pStyle w:val="Obsahtabulky"/>
              <w:numPr>
                <w:ilvl w:val="0"/>
                <w:numId w:val="3"/>
              </w:numPr>
            </w:pPr>
            <w:r>
              <w:rPr>
                <w:rFonts w:ascii="Calibri" w:hAnsi="Calibri" w:cs="Times New Roman"/>
                <w:i/>
                <w:iCs/>
                <w:sz w:val="20"/>
                <w:szCs w:val="20"/>
              </w:rPr>
              <w:t>Vlastní uskutečnění cesty</w:t>
            </w:r>
          </w:p>
        </w:tc>
        <w:tc>
          <w:tcPr>
            <w:tcW w:w="1699" w:type="dxa"/>
            <w:tcBorders>
              <w:left w:val="single" w:sz="2" w:space="0" w:color="000001"/>
              <w:bottom w:val="single" w:sz="2" w:space="0" w:color="000001"/>
            </w:tcBorders>
            <w:shd w:val="clear" w:color="auto" w:fill="E6E6FF"/>
            <w:tcMar>
              <w:top w:w="57" w:type="dxa"/>
              <w:bottom w:w="28" w:type="dxa"/>
            </w:tcMar>
          </w:tcPr>
          <w:p w:rsidR="00D27F66" w:rsidRDefault="0093037D">
            <w:pPr>
              <w:pStyle w:val="Obsahtabulky"/>
              <w:numPr>
                <w:ilvl w:val="0"/>
                <w:numId w:val="3"/>
              </w:numPr>
            </w:pPr>
            <w:r>
              <w:rPr>
                <w:rFonts w:ascii="Calibri" w:hAnsi="Calibri" w:cs="Times New Roman"/>
                <w:i/>
                <w:iCs/>
                <w:sz w:val="20"/>
                <w:szCs w:val="20"/>
              </w:rPr>
              <w:t>cestovní příkaz (schválený ředitelem)</w:t>
            </w:r>
          </w:p>
        </w:tc>
        <w:tc>
          <w:tcPr>
            <w:tcW w:w="7704" w:type="dxa"/>
            <w:tcBorders>
              <w:left w:val="single" w:sz="2" w:space="0" w:color="000001"/>
              <w:bottom w:val="single" w:sz="2" w:space="0" w:color="000001"/>
            </w:tcBorders>
            <w:shd w:val="clear" w:color="auto" w:fill="E6E6FF"/>
            <w:tcMar>
              <w:top w:w="57" w:type="dxa"/>
              <w:bottom w:w="28" w:type="dxa"/>
            </w:tcMar>
          </w:tcPr>
          <w:p w:rsidR="00D27F66" w:rsidRDefault="0093037D">
            <w:pPr>
              <w:pStyle w:val="Normlnweb"/>
              <w:numPr>
                <w:ilvl w:val="0"/>
                <w:numId w:val="3"/>
              </w:numPr>
              <w:spacing w:before="0" w:after="0" w:line="240" w:lineRule="auto"/>
            </w:pPr>
            <w:r>
              <w:rPr>
                <w:rFonts w:ascii="Calibri" w:hAnsi="Calibri"/>
                <w:i/>
                <w:iCs/>
              </w:rPr>
              <w:t>Čerpání výdajů.</w:t>
            </w:r>
          </w:p>
        </w:tc>
        <w:tc>
          <w:tcPr>
            <w:tcW w:w="1699" w:type="dxa"/>
            <w:tcBorders>
              <w:left w:val="single" w:sz="2" w:space="0" w:color="000001"/>
              <w:bottom w:val="single" w:sz="2" w:space="0" w:color="000001"/>
            </w:tcBorders>
            <w:shd w:val="clear" w:color="auto" w:fill="E6E6FF"/>
            <w:tcMar>
              <w:top w:w="57" w:type="dxa"/>
              <w:bottom w:w="28" w:type="dxa"/>
            </w:tcMar>
          </w:tcPr>
          <w:p w:rsidR="00D27F66" w:rsidRDefault="0093037D">
            <w:pPr>
              <w:pStyle w:val="Obsahtabulky"/>
              <w:numPr>
                <w:ilvl w:val="0"/>
                <w:numId w:val="3"/>
              </w:numPr>
            </w:pPr>
            <w:r>
              <w:rPr>
                <w:rFonts w:ascii="Calibri" w:hAnsi="Calibri" w:cs="Times New Roman"/>
                <w:i/>
                <w:iCs/>
                <w:sz w:val="20"/>
                <w:szCs w:val="20"/>
              </w:rPr>
              <w:t>doklady o platbě</w:t>
            </w:r>
          </w:p>
          <w:p w:rsidR="00D27F66" w:rsidRDefault="0093037D">
            <w:pPr>
              <w:pStyle w:val="Obsahtabulky"/>
              <w:numPr>
                <w:ilvl w:val="0"/>
                <w:numId w:val="3"/>
              </w:numPr>
            </w:pPr>
            <w:r>
              <w:rPr>
                <w:rFonts w:ascii="Calibri" w:hAnsi="Calibri" w:cs="Times New Roman"/>
                <w:i/>
                <w:iCs/>
                <w:sz w:val="20"/>
                <w:szCs w:val="20"/>
              </w:rPr>
              <w:t>(fyzické)</w:t>
            </w:r>
          </w:p>
        </w:tc>
        <w:tc>
          <w:tcPr>
            <w:tcW w:w="1433" w:type="dxa"/>
            <w:tcBorders>
              <w:left w:val="single" w:sz="2" w:space="0" w:color="000001"/>
              <w:bottom w:val="single" w:sz="2" w:space="0" w:color="000001"/>
              <w:right w:val="single" w:sz="2" w:space="0" w:color="000001"/>
            </w:tcBorders>
            <w:shd w:val="clear" w:color="auto" w:fill="E6E6FF"/>
            <w:tcMar>
              <w:top w:w="57" w:type="dxa"/>
              <w:bottom w:w="28" w:type="dxa"/>
            </w:tcMar>
          </w:tcPr>
          <w:p w:rsidR="00D27F66" w:rsidRDefault="0093037D">
            <w:pPr>
              <w:pStyle w:val="Obsahtabulky"/>
              <w:numPr>
                <w:ilvl w:val="0"/>
                <w:numId w:val="3"/>
              </w:numPr>
            </w:pPr>
            <w:r>
              <w:rPr>
                <w:rFonts w:ascii="Calibri" w:hAnsi="Calibri" w:cs="Calibri"/>
                <w:i/>
                <w:iCs/>
                <w:sz w:val="20"/>
                <w:szCs w:val="20"/>
              </w:rPr>
              <w:t>cestovatel</w:t>
            </w:r>
          </w:p>
        </w:tc>
      </w:tr>
      <w:tr w:rsidR="00D27F66">
        <w:trPr>
          <w:cantSplit/>
        </w:trPr>
        <w:tc>
          <w:tcPr>
            <w:tcW w:w="2262"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8.  Zadání vyúčtování</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doklady o platbě</w:t>
            </w:r>
          </w:p>
          <w:p w:rsidR="00D27F66" w:rsidRDefault="0093037D">
            <w:pPr>
              <w:pStyle w:val="Obsahtabulky"/>
              <w:numPr>
                <w:ilvl w:val="0"/>
                <w:numId w:val="3"/>
              </w:numPr>
            </w:pPr>
            <w:r>
              <w:rPr>
                <w:rFonts w:ascii="Calibri" w:hAnsi="Calibri" w:cs="Times New Roman"/>
                <w:sz w:val="20"/>
                <w:szCs w:val="20"/>
              </w:rPr>
              <w:t>(fyzické)</w:t>
            </w:r>
          </w:p>
        </w:tc>
        <w:tc>
          <w:tcPr>
            <w:tcW w:w="7704" w:type="dxa"/>
            <w:tcBorders>
              <w:left w:val="single" w:sz="2" w:space="0" w:color="000001"/>
              <w:bottom w:val="single" w:sz="2" w:space="0" w:color="000001"/>
            </w:tcBorders>
            <w:shd w:val="clear" w:color="auto" w:fill="auto"/>
            <w:tcMar>
              <w:top w:w="57" w:type="dxa"/>
              <w:bottom w:w="28" w:type="dxa"/>
            </w:tcMar>
          </w:tcPr>
          <w:p w:rsidR="00D27F66" w:rsidRDefault="0093037D">
            <w:pPr>
              <w:pStyle w:val="Normlnweb"/>
              <w:numPr>
                <w:ilvl w:val="0"/>
                <w:numId w:val="3"/>
              </w:numPr>
              <w:spacing w:before="0" w:after="0" w:line="240" w:lineRule="auto"/>
            </w:pPr>
            <w:r>
              <w:rPr>
                <w:rFonts w:ascii="Calibri" w:hAnsi="Calibri"/>
              </w:rPr>
              <w:t>Cestovatel vyúčtuje po uskutečnění cesty cestovní náhrady. Jako součást vyúčtování musí uvést:</w:t>
            </w:r>
          </w:p>
          <w:p w:rsidR="00D27F66" w:rsidRDefault="0093037D">
            <w:pPr>
              <w:pStyle w:val="Normlnweb"/>
              <w:numPr>
                <w:ilvl w:val="0"/>
                <w:numId w:val="7"/>
              </w:numPr>
              <w:spacing w:before="0" w:after="0" w:line="240" w:lineRule="auto"/>
            </w:pPr>
            <w:r>
              <w:rPr>
                <w:rFonts w:ascii="Calibri" w:hAnsi="Calibri"/>
              </w:rPr>
              <w:t>počátek a konec pracovní cesty</w:t>
            </w:r>
            <w:bookmarkStart w:id="7" w:name="__DdeLink__689_30944533801"/>
            <w:r>
              <w:rPr>
                <w:rFonts w:ascii="Calibri" w:hAnsi="Calibri"/>
              </w:rPr>
              <w:t xml:space="preserve"> (den, čas)</w:t>
            </w:r>
            <w:bookmarkEnd w:id="7"/>
          </w:p>
          <w:p w:rsidR="00D27F66" w:rsidRDefault="0093037D">
            <w:pPr>
              <w:pStyle w:val="Normlnweb"/>
              <w:numPr>
                <w:ilvl w:val="0"/>
                <w:numId w:val="7"/>
              </w:numPr>
              <w:spacing w:before="0" w:after="0" w:line="240" w:lineRule="auto"/>
            </w:pPr>
            <w:r>
              <w:rPr>
                <w:rFonts w:ascii="Calibri" w:hAnsi="Calibri"/>
              </w:rPr>
              <w:t>zda mu bylo poskytnuto bezplatné stravování</w:t>
            </w:r>
          </w:p>
          <w:p w:rsidR="00D27F66" w:rsidRDefault="0093037D">
            <w:pPr>
              <w:pStyle w:val="Normlnweb"/>
              <w:numPr>
                <w:ilvl w:val="0"/>
                <w:numId w:val="7"/>
              </w:numPr>
              <w:spacing w:before="0" w:after="0" w:line="240" w:lineRule="auto"/>
            </w:pPr>
            <w:r>
              <w:rPr>
                <w:rFonts w:ascii="Calibri" w:hAnsi="Calibri"/>
              </w:rPr>
              <w:t>skeny dokladů o jízdních výdajích, ubytování a vedlejších výdajích (nepovinné)</w:t>
            </w:r>
          </w:p>
          <w:p w:rsidR="00D27F66" w:rsidRDefault="0093037D">
            <w:pPr>
              <w:pStyle w:val="Normlnweb"/>
              <w:numPr>
                <w:ilvl w:val="0"/>
                <w:numId w:val="7"/>
              </w:numPr>
              <w:spacing w:before="0" w:after="0" w:line="240" w:lineRule="auto"/>
            </w:pPr>
            <w:r>
              <w:rPr>
                <w:rFonts w:ascii="Calibri" w:hAnsi="Calibri"/>
              </w:rPr>
              <w:t>u zahraničních cest musí cestovatel doložit cestovní zprávu.</w:t>
            </w:r>
          </w:p>
          <w:p w:rsidR="00D27F66" w:rsidRDefault="0093037D">
            <w:pPr>
              <w:pStyle w:val="Normlnweb"/>
              <w:numPr>
                <w:ilvl w:val="0"/>
                <w:numId w:val="3"/>
              </w:numPr>
              <w:spacing w:before="0" w:after="0" w:line="240" w:lineRule="auto"/>
            </w:pPr>
            <w:r>
              <w:rPr>
                <w:rFonts w:ascii="Calibri" w:hAnsi="Calibri"/>
              </w:rPr>
              <w:t>Systém provede na základě zadaných údajů výpočet cestovních náhrad.</w:t>
            </w:r>
          </w:p>
          <w:p w:rsidR="00D27F66" w:rsidRDefault="0093037D">
            <w:pPr>
              <w:pStyle w:val="Normlnweb"/>
              <w:numPr>
                <w:ilvl w:val="0"/>
                <w:numId w:val="3"/>
              </w:numPr>
              <w:spacing w:before="0" w:after="0" w:line="240" w:lineRule="auto"/>
            </w:pPr>
            <w:r>
              <w:rPr>
                <w:rFonts w:ascii="Calibri" w:hAnsi="Calibri"/>
              </w:rPr>
              <w:t xml:space="preserve">Pozn.: </w:t>
            </w:r>
            <w:r>
              <w:rPr>
                <w:rFonts w:ascii="Calibri" w:hAnsi="Calibri"/>
                <w:bCs/>
                <w:color w:val="000000"/>
              </w:rPr>
              <w:t>Zadání vyúčtování může místo cestovatele provést pro definovaný okruh pracovníků referent CP resp. asistent.</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doklady o platbě (fyzické)</w:t>
            </w:r>
          </w:p>
          <w:p w:rsidR="00D27F66" w:rsidRDefault="0093037D">
            <w:pPr>
              <w:pStyle w:val="Obsahtabulky"/>
              <w:numPr>
                <w:ilvl w:val="0"/>
                <w:numId w:val="3"/>
              </w:numPr>
              <w:spacing w:before="113"/>
            </w:pPr>
            <w:r>
              <w:rPr>
                <w:rFonts w:ascii="Calibri" w:hAnsi="Calibri" w:cs="Times New Roman"/>
                <w:sz w:val="20"/>
                <w:szCs w:val="20"/>
              </w:rPr>
              <w:t>doklady o platbě (sken)</w:t>
            </w:r>
          </w:p>
          <w:p w:rsidR="00D27F66" w:rsidRDefault="0093037D">
            <w:pPr>
              <w:pStyle w:val="Obsahtabulky"/>
              <w:numPr>
                <w:ilvl w:val="0"/>
                <w:numId w:val="3"/>
              </w:numPr>
              <w:spacing w:before="113"/>
            </w:pPr>
            <w:r>
              <w:rPr>
                <w:rFonts w:ascii="Calibri" w:hAnsi="Calibri" w:cs="Times New Roman"/>
                <w:sz w:val="20"/>
                <w:szCs w:val="20"/>
              </w:rPr>
              <w:t>vyúčtování cesty (zadané)</w:t>
            </w:r>
          </w:p>
        </w:tc>
        <w:tc>
          <w:tcPr>
            <w:tcW w:w="1433" w:type="dxa"/>
            <w:tcBorders>
              <w:left w:val="single" w:sz="2" w:space="0" w:color="000001"/>
              <w:bottom w:val="single" w:sz="2" w:space="0" w:color="000001"/>
              <w:right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Calibri"/>
                <w:sz w:val="20"/>
                <w:szCs w:val="20"/>
              </w:rPr>
              <w:t>cestovatel</w:t>
            </w:r>
          </w:p>
        </w:tc>
      </w:tr>
      <w:tr w:rsidR="00D27F66">
        <w:trPr>
          <w:cantSplit/>
        </w:trPr>
        <w:tc>
          <w:tcPr>
            <w:tcW w:w="2262"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lastRenderedPageBreak/>
              <w:t>9. Kontrola vyúčtování</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doklady o platbě (fyzické)</w:t>
            </w:r>
          </w:p>
          <w:p w:rsidR="00D27F66" w:rsidRDefault="0093037D">
            <w:pPr>
              <w:pStyle w:val="Obsahtabulky"/>
              <w:numPr>
                <w:ilvl w:val="0"/>
                <w:numId w:val="3"/>
              </w:numPr>
              <w:spacing w:before="113"/>
            </w:pPr>
            <w:r>
              <w:rPr>
                <w:rFonts w:ascii="Calibri" w:hAnsi="Calibri" w:cs="Times New Roman"/>
                <w:sz w:val="20"/>
                <w:szCs w:val="20"/>
              </w:rPr>
              <w:t>doklady o platbě (sken)</w:t>
            </w:r>
          </w:p>
          <w:p w:rsidR="00D27F66" w:rsidRDefault="0093037D">
            <w:pPr>
              <w:pStyle w:val="Obsahtabulky"/>
              <w:numPr>
                <w:ilvl w:val="0"/>
                <w:numId w:val="3"/>
              </w:numPr>
              <w:spacing w:before="113"/>
            </w:pPr>
            <w:bookmarkStart w:id="8" w:name="__DdeLink__59672_3723135989"/>
            <w:r>
              <w:rPr>
                <w:rFonts w:ascii="Calibri" w:hAnsi="Calibri" w:cs="Times New Roman"/>
                <w:sz w:val="20"/>
                <w:szCs w:val="20"/>
              </w:rPr>
              <w:t>vyúčtování cesty (zadané)</w:t>
            </w:r>
            <w:bookmarkEnd w:id="8"/>
          </w:p>
        </w:tc>
        <w:tc>
          <w:tcPr>
            <w:tcW w:w="7704" w:type="dxa"/>
            <w:tcBorders>
              <w:left w:val="single" w:sz="2" w:space="0" w:color="000001"/>
              <w:bottom w:val="single" w:sz="2" w:space="0" w:color="000001"/>
            </w:tcBorders>
            <w:shd w:val="clear" w:color="auto" w:fill="auto"/>
            <w:tcMar>
              <w:top w:w="57" w:type="dxa"/>
              <w:bottom w:w="28" w:type="dxa"/>
            </w:tcMar>
          </w:tcPr>
          <w:p w:rsidR="00D27F66" w:rsidRDefault="0093037D">
            <w:pPr>
              <w:pStyle w:val="Normlnweb"/>
              <w:numPr>
                <w:ilvl w:val="0"/>
                <w:numId w:val="3"/>
              </w:numPr>
              <w:spacing w:before="0" w:after="0" w:line="240" w:lineRule="auto"/>
            </w:pPr>
            <w:r>
              <w:rPr>
                <w:rFonts w:ascii="Calibri" w:hAnsi="Calibri"/>
              </w:rPr>
              <w:t xml:space="preserve">Na základě cestovatelem předložených fyzických dokladů k vyúčtování cesty provede referent CP kontrolu vyúčtování cesty, soulad naskenovaných a fyzických dokladů a provede opravu zjištěných nedostatků (doskenuje doklady, vyřadí doklady nesouvisející s cestou). V případě, že zjistí závažné nedostatky, vrátí vyúčtování cestovateli k přepracování do kroku 8. </w:t>
            </w:r>
            <w:r>
              <w:rPr>
                <w:rFonts w:ascii="Calibri" w:hAnsi="Calibri"/>
                <w:i/>
                <w:iCs/>
              </w:rPr>
              <w:t>Zadání vyúčtování</w:t>
            </w:r>
            <w:r>
              <w:rPr>
                <w:rFonts w:ascii="Calibri" w:hAnsi="Calibri"/>
              </w:rPr>
              <w:t xml:space="preserve">. </w:t>
            </w:r>
          </w:p>
          <w:p w:rsidR="00D27F66" w:rsidRDefault="0093037D">
            <w:pPr>
              <w:pStyle w:val="Obsahtabulky"/>
              <w:numPr>
                <w:ilvl w:val="0"/>
                <w:numId w:val="3"/>
              </w:numPr>
            </w:pPr>
            <w:r>
              <w:rPr>
                <w:rFonts w:ascii="Calibri" w:hAnsi="Calibri" w:cs="Times New Roman"/>
                <w:bCs/>
                <w:color w:val="000000"/>
                <w:sz w:val="20"/>
                <w:szCs w:val="20"/>
              </w:rPr>
              <w:t xml:space="preserve">Pozn.: V případě, že zadání vyúčtování v kroku 8. </w:t>
            </w:r>
            <w:r>
              <w:rPr>
                <w:rFonts w:ascii="Calibri" w:hAnsi="Calibri" w:cs="Times New Roman"/>
                <w:bCs/>
                <w:i/>
                <w:iCs/>
                <w:color w:val="000000"/>
                <w:sz w:val="20"/>
                <w:szCs w:val="20"/>
              </w:rPr>
              <w:t>Zadání vyúčtování</w:t>
            </w:r>
            <w:r>
              <w:rPr>
                <w:rFonts w:ascii="Calibri" w:hAnsi="Calibri" w:cs="Times New Roman"/>
                <w:bCs/>
                <w:color w:val="000000"/>
                <w:sz w:val="20"/>
                <w:szCs w:val="20"/>
              </w:rPr>
              <w:t xml:space="preserve"> provedla totožná osoba s referentem CP v kroku 9. </w:t>
            </w:r>
            <w:r>
              <w:rPr>
                <w:rFonts w:ascii="Calibri" w:hAnsi="Calibri" w:cs="Times New Roman"/>
                <w:bCs/>
                <w:i/>
                <w:iCs/>
                <w:color w:val="000000"/>
                <w:sz w:val="20"/>
                <w:szCs w:val="20"/>
              </w:rPr>
              <w:t>Kontrola vyúčtování</w:t>
            </w:r>
            <w:r>
              <w:rPr>
                <w:rFonts w:ascii="Calibri" w:hAnsi="Calibri" w:cs="Times New Roman"/>
                <w:bCs/>
                <w:color w:val="000000"/>
                <w:sz w:val="20"/>
                <w:szCs w:val="20"/>
              </w:rPr>
              <w:t>, kroky se sloučí do jednoho.</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vyúčtování cesty (zkontrolované)</w:t>
            </w:r>
          </w:p>
        </w:tc>
        <w:tc>
          <w:tcPr>
            <w:tcW w:w="1433" w:type="dxa"/>
            <w:tcBorders>
              <w:left w:val="single" w:sz="2" w:space="0" w:color="000001"/>
              <w:bottom w:val="single" w:sz="2" w:space="0" w:color="000001"/>
              <w:right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Calibri"/>
                <w:sz w:val="20"/>
                <w:szCs w:val="20"/>
              </w:rPr>
              <w:t>referent CP</w:t>
            </w:r>
          </w:p>
        </w:tc>
      </w:tr>
      <w:tr w:rsidR="00D27F66">
        <w:trPr>
          <w:cantSplit/>
        </w:trPr>
        <w:tc>
          <w:tcPr>
            <w:tcW w:w="2262"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10. Schválení vyúčtování příkazcem</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doklady o platbě (sken)</w:t>
            </w:r>
          </w:p>
          <w:p w:rsidR="00D27F66" w:rsidRDefault="0093037D">
            <w:pPr>
              <w:pStyle w:val="Obsahtabulky"/>
              <w:numPr>
                <w:ilvl w:val="0"/>
                <w:numId w:val="3"/>
              </w:numPr>
              <w:spacing w:before="113"/>
            </w:pPr>
            <w:r>
              <w:rPr>
                <w:rFonts w:ascii="Calibri" w:hAnsi="Calibri" w:cs="Times New Roman"/>
                <w:sz w:val="20"/>
                <w:szCs w:val="20"/>
              </w:rPr>
              <w:t>vyúčtování cesty (zkontrolované)</w:t>
            </w:r>
          </w:p>
        </w:tc>
        <w:tc>
          <w:tcPr>
            <w:tcW w:w="7704" w:type="dxa"/>
            <w:tcBorders>
              <w:left w:val="single" w:sz="2" w:space="0" w:color="000001"/>
              <w:bottom w:val="single" w:sz="2" w:space="0" w:color="000001"/>
            </w:tcBorders>
            <w:shd w:val="clear" w:color="auto" w:fill="auto"/>
            <w:tcMar>
              <w:top w:w="57" w:type="dxa"/>
              <w:bottom w:w="28" w:type="dxa"/>
            </w:tcMar>
          </w:tcPr>
          <w:p w:rsidR="00D27F66" w:rsidRDefault="0093037D">
            <w:pPr>
              <w:pStyle w:val="Normlnweb"/>
              <w:numPr>
                <w:ilvl w:val="0"/>
                <w:numId w:val="3"/>
              </w:numPr>
              <w:spacing w:before="0" w:after="0" w:line="240" w:lineRule="auto"/>
            </w:pPr>
            <w:r>
              <w:rPr>
                <w:rFonts w:ascii="Calibri" w:hAnsi="Calibri"/>
              </w:rPr>
              <w:t xml:space="preserve">Příkazce ověří věcnou správnost vyúčtování cestovního příkazu zadaného cestovatelem. V případě zjištění nesrovnalostí vrátí vyúčtování cestovateli k úpravě/doplnění do kroku 8. </w:t>
            </w:r>
            <w:r>
              <w:rPr>
                <w:rFonts w:ascii="Calibri" w:hAnsi="Calibri"/>
                <w:i/>
                <w:iCs/>
              </w:rPr>
              <w:t>Zadání vyúčtování</w:t>
            </w:r>
            <w:r>
              <w:rPr>
                <w:rFonts w:ascii="Calibri" w:hAnsi="Calibri"/>
              </w:rPr>
              <w:t>.</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vyúčtování cesty (schválené příkazcem)</w:t>
            </w:r>
          </w:p>
        </w:tc>
        <w:tc>
          <w:tcPr>
            <w:tcW w:w="1433" w:type="dxa"/>
            <w:tcBorders>
              <w:left w:val="single" w:sz="2" w:space="0" w:color="000001"/>
              <w:bottom w:val="single" w:sz="2" w:space="0" w:color="000001"/>
              <w:right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Calibri"/>
                <w:sz w:val="20"/>
                <w:szCs w:val="20"/>
              </w:rPr>
              <w:t>příkazce</w:t>
            </w:r>
          </w:p>
        </w:tc>
      </w:tr>
      <w:tr w:rsidR="00D27F66">
        <w:trPr>
          <w:cantSplit/>
        </w:trPr>
        <w:tc>
          <w:tcPr>
            <w:tcW w:w="2262"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11. Schválení vyúčtování správcem</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doklady o platbě</w:t>
            </w:r>
          </w:p>
          <w:p w:rsidR="00D27F66" w:rsidRDefault="0093037D">
            <w:pPr>
              <w:pStyle w:val="Obsahtabulky"/>
              <w:numPr>
                <w:ilvl w:val="0"/>
                <w:numId w:val="3"/>
              </w:numPr>
              <w:spacing w:before="113"/>
            </w:pPr>
            <w:r>
              <w:rPr>
                <w:rFonts w:ascii="Calibri" w:hAnsi="Calibri" w:cs="Times New Roman"/>
                <w:sz w:val="20"/>
                <w:szCs w:val="20"/>
              </w:rPr>
              <w:t>vyúčtování cesty (schválené příkazcem)</w:t>
            </w:r>
          </w:p>
        </w:tc>
        <w:tc>
          <w:tcPr>
            <w:tcW w:w="7704" w:type="dxa"/>
            <w:tcBorders>
              <w:left w:val="single" w:sz="2" w:space="0" w:color="000001"/>
              <w:bottom w:val="single" w:sz="2" w:space="0" w:color="000001"/>
            </w:tcBorders>
            <w:shd w:val="clear" w:color="auto" w:fill="auto"/>
            <w:tcMar>
              <w:top w:w="57" w:type="dxa"/>
              <w:bottom w:w="28" w:type="dxa"/>
            </w:tcMar>
          </w:tcPr>
          <w:p w:rsidR="00D27F66" w:rsidRDefault="0093037D">
            <w:pPr>
              <w:pStyle w:val="Normlnweb"/>
              <w:numPr>
                <w:ilvl w:val="0"/>
                <w:numId w:val="3"/>
              </w:numPr>
              <w:spacing w:before="0" w:after="0" w:line="240" w:lineRule="auto"/>
            </w:pPr>
            <w:r>
              <w:rPr>
                <w:rFonts w:ascii="Calibri" w:hAnsi="Calibri"/>
              </w:rPr>
              <w:t xml:space="preserve">Správce schválí disponibilní prostředky pro vyúčtování pracovní cesty. V případě, že zdroj není v souladu se zdrojem schváleným před cestou, vrátí vyúčtování příkazci do kroku 10. </w:t>
            </w:r>
            <w:r>
              <w:rPr>
                <w:rFonts w:ascii="Calibri" w:hAnsi="Calibri"/>
                <w:i/>
                <w:iCs/>
              </w:rPr>
              <w:t xml:space="preserve">Schválení vyúčtování příkazcem </w:t>
            </w:r>
            <w:r>
              <w:rPr>
                <w:rFonts w:ascii="Calibri" w:hAnsi="Calibri"/>
              </w:rPr>
              <w:t>s požadavkem na přepracování zdroje.</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vyúčtování cesty (schválené správcem)</w:t>
            </w:r>
          </w:p>
        </w:tc>
        <w:tc>
          <w:tcPr>
            <w:tcW w:w="1433" w:type="dxa"/>
            <w:tcBorders>
              <w:left w:val="single" w:sz="2" w:space="0" w:color="000001"/>
              <w:bottom w:val="single" w:sz="2" w:space="0" w:color="000001"/>
              <w:right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Calibri"/>
                <w:sz w:val="20"/>
                <w:szCs w:val="20"/>
              </w:rPr>
              <w:t>správce</w:t>
            </w:r>
          </w:p>
        </w:tc>
      </w:tr>
      <w:tr w:rsidR="00D27F66">
        <w:trPr>
          <w:cantSplit/>
        </w:trPr>
        <w:tc>
          <w:tcPr>
            <w:tcW w:w="2262"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12. Kontrola správnosti vyúčtování ředitelem</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vyúčtování cesty (schválené správcem)</w:t>
            </w:r>
          </w:p>
        </w:tc>
        <w:tc>
          <w:tcPr>
            <w:tcW w:w="7704" w:type="dxa"/>
            <w:tcBorders>
              <w:left w:val="single" w:sz="2" w:space="0" w:color="000001"/>
              <w:bottom w:val="single" w:sz="2" w:space="0" w:color="000001"/>
            </w:tcBorders>
            <w:shd w:val="clear" w:color="auto" w:fill="auto"/>
            <w:tcMar>
              <w:top w:w="57" w:type="dxa"/>
              <w:bottom w:w="28" w:type="dxa"/>
            </w:tcMar>
          </w:tcPr>
          <w:p w:rsidR="00D27F66" w:rsidRDefault="0093037D">
            <w:pPr>
              <w:pStyle w:val="Normlnweb"/>
              <w:numPr>
                <w:ilvl w:val="0"/>
                <w:numId w:val="3"/>
              </w:numPr>
              <w:spacing w:before="0" w:after="0" w:line="240" w:lineRule="auto"/>
            </w:pPr>
            <w:r>
              <w:rPr>
                <w:rFonts w:ascii="Calibri" w:hAnsi="Calibri"/>
              </w:rPr>
              <w:t xml:space="preserve">Kontrola dodržení interních pravidel pro zahraniční cesty. Při zjištění nedostatků vrácení cestovateli na krok 8. </w:t>
            </w:r>
            <w:r>
              <w:rPr>
                <w:rFonts w:ascii="Calibri" w:hAnsi="Calibri"/>
                <w:i/>
                <w:iCs/>
              </w:rPr>
              <w:t>Zadání vyúčtování</w:t>
            </w:r>
            <w:r>
              <w:rPr>
                <w:rFonts w:ascii="Calibri" w:hAnsi="Calibri"/>
              </w:rPr>
              <w:t>.</w:t>
            </w:r>
          </w:p>
          <w:p w:rsidR="00D27F66" w:rsidRDefault="0093037D">
            <w:pPr>
              <w:pStyle w:val="Normlnweb"/>
              <w:spacing w:before="0" w:after="0" w:line="240" w:lineRule="auto"/>
            </w:pPr>
            <w:r>
              <w:rPr>
                <w:rFonts w:ascii="Calibri" w:hAnsi="Calibri"/>
              </w:rPr>
              <w:t>Pozn.: V případě, že je správcem rozpočtu v předchozím kroku ředitel, kroky se spojí.</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vyúčtování cesty (zkontrolované ředitelem)</w:t>
            </w:r>
          </w:p>
        </w:tc>
        <w:tc>
          <w:tcPr>
            <w:tcW w:w="1433" w:type="dxa"/>
            <w:tcBorders>
              <w:left w:val="single" w:sz="2" w:space="0" w:color="000001"/>
              <w:bottom w:val="single" w:sz="2" w:space="0" w:color="000001"/>
              <w:right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Calibri"/>
                <w:sz w:val="20"/>
                <w:szCs w:val="20"/>
              </w:rPr>
              <w:t>ředitel</w:t>
            </w:r>
          </w:p>
        </w:tc>
      </w:tr>
      <w:tr w:rsidR="00D27F66">
        <w:trPr>
          <w:cantSplit/>
        </w:trPr>
        <w:tc>
          <w:tcPr>
            <w:tcW w:w="2262"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 xml:space="preserve">13. </w:t>
            </w:r>
            <w:bookmarkStart w:id="9" w:name="__DdeLink__1108_3460305441"/>
            <w:r>
              <w:rPr>
                <w:rFonts w:ascii="Calibri" w:hAnsi="Calibri" w:cs="Times New Roman"/>
                <w:sz w:val="20"/>
                <w:szCs w:val="20"/>
              </w:rPr>
              <w:t>Zaúčtování cestovních náhrad</w:t>
            </w:r>
            <w:bookmarkEnd w:id="9"/>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vyúčtování cesty (zkontrolované ředitelem)</w:t>
            </w:r>
          </w:p>
        </w:tc>
        <w:tc>
          <w:tcPr>
            <w:tcW w:w="7704" w:type="dxa"/>
            <w:tcBorders>
              <w:left w:val="single" w:sz="2" w:space="0" w:color="000001"/>
              <w:bottom w:val="single" w:sz="2" w:space="0" w:color="000001"/>
            </w:tcBorders>
            <w:shd w:val="clear" w:color="auto" w:fill="auto"/>
            <w:tcMar>
              <w:top w:w="57" w:type="dxa"/>
              <w:bottom w:w="28" w:type="dxa"/>
            </w:tcMar>
          </w:tcPr>
          <w:p w:rsidR="00D27F66" w:rsidRDefault="0093037D">
            <w:pPr>
              <w:pStyle w:val="Normlnweb"/>
              <w:numPr>
                <w:ilvl w:val="0"/>
                <w:numId w:val="3"/>
              </w:numPr>
              <w:spacing w:before="0" w:after="0" w:line="240" w:lineRule="auto"/>
            </w:pPr>
            <w:r>
              <w:rPr>
                <w:rFonts w:ascii="Calibri" w:hAnsi="Calibri"/>
              </w:rPr>
              <w:t>Účetní provede likvidaci CP (jeho zaúčtování).</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vyúčtování cesty (zaúčtované)</w:t>
            </w:r>
          </w:p>
        </w:tc>
        <w:tc>
          <w:tcPr>
            <w:tcW w:w="1433" w:type="dxa"/>
            <w:tcBorders>
              <w:left w:val="single" w:sz="2" w:space="0" w:color="000001"/>
              <w:bottom w:val="single" w:sz="2" w:space="0" w:color="000001"/>
              <w:right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Calibri"/>
                <w:sz w:val="20"/>
                <w:szCs w:val="20"/>
              </w:rPr>
              <w:t>účetní</w:t>
            </w:r>
          </w:p>
        </w:tc>
      </w:tr>
      <w:tr w:rsidR="00D27F66">
        <w:trPr>
          <w:cantSplit/>
        </w:trPr>
        <w:tc>
          <w:tcPr>
            <w:tcW w:w="2262"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 xml:space="preserve">14. Schválení hlavní účetní </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vyúčtování cesty (zaúčtované)</w:t>
            </w:r>
          </w:p>
        </w:tc>
        <w:tc>
          <w:tcPr>
            <w:tcW w:w="7704" w:type="dxa"/>
            <w:tcBorders>
              <w:left w:val="single" w:sz="2" w:space="0" w:color="000001"/>
              <w:bottom w:val="single" w:sz="2" w:space="0" w:color="000001"/>
            </w:tcBorders>
            <w:shd w:val="clear" w:color="auto" w:fill="auto"/>
            <w:tcMar>
              <w:top w:w="57" w:type="dxa"/>
              <w:bottom w:w="28" w:type="dxa"/>
            </w:tcMar>
          </w:tcPr>
          <w:p w:rsidR="00D27F66" w:rsidRDefault="0093037D">
            <w:pPr>
              <w:pStyle w:val="Normlnweb"/>
              <w:numPr>
                <w:ilvl w:val="0"/>
                <w:numId w:val="3"/>
              </w:numPr>
              <w:spacing w:before="0" w:after="0" w:line="240" w:lineRule="auto"/>
            </w:pPr>
            <w:r>
              <w:rPr>
                <w:rFonts w:ascii="Calibri" w:hAnsi="Calibri"/>
              </w:rPr>
              <w:t xml:space="preserve">Hlavní účetní provede kontrolu vyúčtování cestovních náhrad, výše doplatku/vratky cestovního příkazu a vyúčtování schválí a stanoví, zda doplatek/vratka bude cestovateli uhrazen na účet nebo pokladnou. Pokud vyúčtování neschválí, vrátí vyúčtování cestovateli k přepracování do kroku 8. </w:t>
            </w:r>
            <w:r>
              <w:rPr>
                <w:rFonts w:ascii="Calibri" w:hAnsi="Calibri"/>
                <w:i/>
                <w:iCs/>
              </w:rPr>
              <w:t>Zadání vyúčtování</w:t>
            </w:r>
            <w:r>
              <w:rPr>
                <w:rFonts w:ascii="Calibri" w:hAnsi="Calibri"/>
              </w:rPr>
              <w:t>.</w:t>
            </w:r>
          </w:p>
          <w:p w:rsidR="00D27F66" w:rsidRDefault="0093037D">
            <w:pPr>
              <w:pStyle w:val="Normlnweb"/>
              <w:numPr>
                <w:ilvl w:val="0"/>
                <w:numId w:val="3"/>
              </w:numPr>
              <w:spacing w:before="0" w:after="0" w:line="240" w:lineRule="auto"/>
            </w:pPr>
            <w:r>
              <w:rPr>
                <w:rFonts w:ascii="Calibri" w:hAnsi="Calibri"/>
                <w:bCs/>
                <w:color w:val="000000"/>
              </w:rPr>
              <w:t xml:space="preserve">Pozn.: </w:t>
            </w:r>
          </w:p>
          <w:p w:rsidR="00D27F66" w:rsidRDefault="0093037D">
            <w:pPr>
              <w:pStyle w:val="Normlnweb"/>
              <w:numPr>
                <w:ilvl w:val="0"/>
                <w:numId w:val="3"/>
              </w:numPr>
              <w:spacing w:before="0" w:after="0" w:line="240" w:lineRule="auto"/>
            </w:pPr>
            <w:r>
              <w:rPr>
                <w:rFonts w:ascii="Calibri" w:hAnsi="Calibri"/>
                <w:bCs/>
                <w:color w:val="000000"/>
              </w:rPr>
              <w:t xml:space="preserve">Je-li hlavní účetní shodná s účetní, proběhne krok 14. </w:t>
            </w:r>
            <w:r>
              <w:rPr>
                <w:rFonts w:ascii="Calibri" w:hAnsi="Calibri"/>
                <w:bCs/>
                <w:i/>
                <w:iCs/>
                <w:color w:val="000000"/>
              </w:rPr>
              <w:t xml:space="preserve">Schválení hlavní účetní </w:t>
            </w:r>
            <w:r>
              <w:rPr>
                <w:rFonts w:ascii="Calibri" w:hAnsi="Calibri"/>
                <w:bCs/>
                <w:color w:val="000000"/>
              </w:rPr>
              <w:t xml:space="preserve">a zaúčtování cestovních náhrad (krok 13. </w:t>
            </w:r>
            <w:r>
              <w:rPr>
                <w:rFonts w:ascii="Calibri" w:hAnsi="Calibri"/>
                <w:bCs/>
                <w:i/>
                <w:iCs/>
                <w:color w:val="000000"/>
              </w:rPr>
              <w:t>Zaúčtování cestovních náhrad</w:t>
            </w:r>
            <w:r>
              <w:rPr>
                <w:rFonts w:ascii="Calibri" w:hAnsi="Calibri"/>
                <w:bCs/>
                <w:color w:val="000000"/>
              </w:rPr>
              <w:t>) v jednom kroku.</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vyúčtování cesty (schválené hl. účetní)</w:t>
            </w:r>
          </w:p>
        </w:tc>
        <w:tc>
          <w:tcPr>
            <w:tcW w:w="1433" w:type="dxa"/>
            <w:tcBorders>
              <w:left w:val="single" w:sz="2" w:space="0" w:color="000001"/>
              <w:bottom w:val="single" w:sz="2" w:space="0" w:color="000001"/>
              <w:right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Calibri"/>
                <w:sz w:val="20"/>
                <w:szCs w:val="20"/>
              </w:rPr>
              <w:t>hlavní účetní (cestovních příkazů)</w:t>
            </w:r>
          </w:p>
        </w:tc>
      </w:tr>
      <w:tr w:rsidR="00D27F66">
        <w:trPr>
          <w:cantSplit/>
        </w:trPr>
        <w:tc>
          <w:tcPr>
            <w:tcW w:w="2262"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 xml:space="preserve">15. Vyplacení cesty </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vyúčtování cesty (schválené hl. účetní)</w:t>
            </w:r>
          </w:p>
        </w:tc>
        <w:tc>
          <w:tcPr>
            <w:tcW w:w="7704" w:type="dxa"/>
            <w:tcBorders>
              <w:left w:val="single" w:sz="2" w:space="0" w:color="000001"/>
              <w:bottom w:val="single" w:sz="2" w:space="0" w:color="000001"/>
            </w:tcBorders>
            <w:shd w:val="clear" w:color="auto" w:fill="auto"/>
            <w:tcMar>
              <w:top w:w="57" w:type="dxa"/>
              <w:bottom w:w="28" w:type="dxa"/>
            </w:tcMar>
          </w:tcPr>
          <w:p w:rsidR="00D27F66" w:rsidRDefault="0093037D">
            <w:pPr>
              <w:pStyle w:val="Normlnweb"/>
              <w:numPr>
                <w:ilvl w:val="0"/>
                <w:numId w:val="3"/>
              </w:numPr>
              <w:spacing w:before="0" w:after="0" w:line="240" w:lineRule="auto"/>
            </w:pPr>
            <w:r>
              <w:rPr>
                <w:rFonts w:ascii="Calibri" w:hAnsi="Calibri"/>
              </w:rPr>
              <w:t xml:space="preserve">V případě, že v kroku 14. </w:t>
            </w:r>
            <w:r>
              <w:rPr>
                <w:rFonts w:ascii="Calibri" w:hAnsi="Calibri"/>
                <w:i/>
                <w:iCs/>
              </w:rPr>
              <w:t xml:space="preserve">Schválení hlavní účetní </w:t>
            </w:r>
            <w:r>
              <w:rPr>
                <w:rFonts w:ascii="Calibri" w:hAnsi="Calibri"/>
              </w:rPr>
              <w:t>bylo stanoveno vyplacení cesty pokladnou, provede pokladní výplatu / příjem hotovosti ve výši schválené hlavní účetní.</w:t>
            </w:r>
          </w:p>
          <w:p w:rsidR="00D27F66" w:rsidRDefault="0093037D">
            <w:pPr>
              <w:pStyle w:val="Normlnweb"/>
              <w:numPr>
                <w:ilvl w:val="0"/>
                <w:numId w:val="3"/>
              </w:numPr>
              <w:spacing w:before="0" w:after="0" w:line="240" w:lineRule="auto"/>
            </w:pPr>
            <w:r>
              <w:rPr>
                <w:rFonts w:ascii="Calibri" w:hAnsi="Calibri"/>
              </w:rPr>
              <w:t>V případě úhrady na účet provede vyplacení cesty na účet cestovatele či ve mzdě.</w:t>
            </w:r>
          </w:p>
        </w:tc>
        <w:tc>
          <w:tcPr>
            <w:tcW w:w="1699" w:type="dxa"/>
            <w:tcBorders>
              <w:left w:val="single" w:sz="2" w:space="0" w:color="000001"/>
              <w:bottom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Times New Roman"/>
                <w:sz w:val="20"/>
                <w:szCs w:val="20"/>
              </w:rPr>
              <w:t>výplata / příjem hotovosti</w:t>
            </w:r>
          </w:p>
          <w:p w:rsidR="00D27F66" w:rsidRDefault="0093037D">
            <w:pPr>
              <w:pStyle w:val="Obsahtabulky"/>
              <w:numPr>
                <w:ilvl w:val="0"/>
                <w:numId w:val="3"/>
              </w:numPr>
            </w:pPr>
            <w:r>
              <w:rPr>
                <w:rFonts w:ascii="Calibri" w:hAnsi="Calibri" w:cs="Times New Roman"/>
                <w:sz w:val="20"/>
                <w:szCs w:val="20"/>
              </w:rPr>
              <w:t>výplata na účet či ve mzdě</w:t>
            </w:r>
          </w:p>
        </w:tc>
        <w:tc>
          <w:tcPr>
            <w:tcW w:w="1433" w:type="dxa"/>
            <w:tcBorders>
              <w:left w:val="single" w:sz="2" w:space="0" w:color="000001"/>
              <w:bottom w:val="single" w:sz="2" w:space="0" w:color="000001"/>
              <w:right w:val="single" w:sz="2" w:space="0" w:color="000001"/>
            </w:tcBorders>
            <w:shd w:val="clear" w:color="auto" w:fill="auto"/>
            <w:tcMar>
              <w:top w:w="57" w:type="dxa"/>
              <w:bottom w:w="28" w:type="dxa"/>
            </w:tcMar>
          </w:tcPr>
          <w:p w:rsidR="00D27F66" w:rsidRDefault="0093037D">
            <w:pPr>
              <w:pStyle w:val="Obsahtabulky"/>
              <w:numPr>
                <w:ilvl w:val="0"/>
                <w:numId w:val="3"/>
              </w:numPr>
            </w:pPr>
            <w:r>
              <w:rPr>
                <w:rFonts w:ascii="Calibri" w:hAnsi="Calibri" w:cs="Calibri"/>
                <w:sz w:val="20"/>
                <w:szCs w:val="20"/>
              </w:rPr>
              <w:t>pokladní</w:t>
            </w:r>
          </w:p>
        </w:tc>
      </w:tr>
    </w:tbl>
    <w:p w:rsidR="00D27F66" w:rsidRDefault="0093037D">
      <w:r>
        <w:rPr>
          <w:noProof/>
          <w:lang w:eastAsia="cs-CZ" w:bidi="ar-SA"/>
        </w:rPr>
        <w:lastRenderedPageBreak/>
        <w:drawing>
          <wp:anchor distT="0" distB="0" distL="0" distR="0" simplePos="0" relativeHeight="5" behindDoc="0" locked="0" layoutInCell="1" allowOverlap="1">
            <wp:simplePos x="0" y="0"/>
            <wp:positionH relativeFrom="column">
              <wp:posOffset>-43180</wp:posOffset>
            </wp:positionH>
            <wp:positionV relativeFrom="paragraph">
              <wp:posOffset>-193040</wp:posOffset>
            </wp:positionV>
            <wp:extent cx="9338310" cy="6724650"/>
            <wp:effectExtent l="0" t="0" r="0" b="0"/>
            <wp:wrapSquare wrapText="largest"/>
            <wp:docPr id="4" name="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4"/>
                    <pic:cNvPicPr>
                      <a:picLocks noChangeAspect="1" noChangeArrowheads="1"/>
                    </pic:cNvPicPr>
                  </pic:nvPicPr>
                  <pic:blipFill>
                    <a:blip r:embed="rId11"/>
                    <a:stretch>
                      <a:fillRect/>
                    </a:stretch>
                  </pic:blipFill>
                  <pic:spPr bwMode="auto">
                    <a:xfrm>
                      <a:off x="0" y="0"/>
                      <a:ext cx="9338310" cy="6724650"/>
                    </a:xfrm>
                    <a:prstGeom prst="rect">
                      <a:avLst/>
                    </a:prstGeom>
                  </pic:spPr>
                </pic:pic>
              </a:graphicData>
            </a:graphic>
          </wp:anchor>
        </w:drawing>
      </w:r>
    </w:p>
    <w:sectPr w:rsidR="00D27F66">
      <w:footerReference w:type="default" r:id="rId12"/>
      <w:pgSz w:w="16838" w:h="11906" w:orient="landscape"/>
      <w:pgMar w:top="1134" w:right="1134" w:bottom="1416" w:left="1134" w:header="0" w:footer="850" w:gutter="0"/>
      <w:cols w:space="708"/>
      <w:formProt w:val="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37D" w:rsidRDefault="0093037D">
      <w:r>
        <w:separator/>
      </w:r>
    </w:p>
  </w:endnote>
  <w:endnote w:type="continuationSeparator" w:id="0">
    <w:p w:rsidR="0093037D" w:rsidRDefault="00930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PingFang SC">
    <w:panose1 w:val="00000000000000000000"/>
    <w:charset w:val="00"/>
    <w:family w:val="roman"/>
    <w:notTrueType/>
    <w:pitch w:val="default"/>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37D" w:rsidRDefault="0093037D">
    <w:pPr>
      <w:pStyle w:val="Zpat"/>
      <w:jc w:val="center"/>
    </w:pPr>
    <w:r>
      <w:rPr>
        <w:rFonts w:ascii="Calibri" w:hAnsi="Calibri"/>
        <w:sz w:val="20"/>
        <w:szCs w:val="22"/>
      </w:rPr>
      <w:t xml:space="preserve">- </w:t>
    </w:r>
    <w:r>
      <w:rPr>
        <w:rFonts w:ascii="Calibri" w:hAnsi="Calibri"/>
        <w:sz w:val="20"/>
        <w:szCs w:val="22"/>
      </w:rPr>
      <w:fldChar w:fldCharType="begin"/>
    </w:r>
    <w:r>
      <w:rPr>
        <w:rFonts w:ascii="Calibri" w:hAnsi="Calibri"/>
        <w:sz w:val="20"/>
        <w:szCs w:val="22"/>
      </w:rPr>
      <w:instrText>PAGE</w:instrText>
    </w:r>
    <w:r>
      <w:rPr>
        <w:rFonts w:ascii="Calibri" w:hAnsi="Calibri"/>
        <w:sz w:val="20"/>
        <w:szCs w:val="22"/>
      </w:rPr>
      <w:fldChar w:fldCharType="separate"/>
    </w:r>
    <w:r w:rsidR="00423904">
      <w:rPr>
        <w:rFonts w:ascii="Calibri" w:hAnsi="Calibri"/>
        <w:noProof/>
        <w:sz w:val="20"/>
        <w:szCs w:val="22"/>
      </w:rPr>
      <w:t>28</w:t>
    </w:r>
    <w:r>
      <w:rPr>
        <w:rFonts w:ascii="Calibri" w:hAnsi="Calibri"/>
        <w:sz w:val="20"/>
        <w:szCs w:val="22"/>
      </w:rPr>
      <w:fldChar w:fldCharType="end"/>
    </w:r>
    <w:r>
      <w:rPr>
        <w:rFonts w:ascii="Calibri" w:hAnsi="Calibri"/>
        <w:sz w:val="20"/>
        <w:szCs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37D" w:rsidRDefault="0093037D">
      <w:r>
        <w:separator/>
      </w:r>
    </w:p>
  </w:footnote>
  <w:footnote w:type="continuationSeparator" w:id="0">
    <w:p w:rsidR="0093037D" w:rsidRDefault="009303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40649"/>
    <w:multiLevelType w:val="multilevel"/>
    <w:tmpl w:val="BBC033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E493D1B"/>
    <w:multiLevelType w:val="multilevel"/>
    <w:tmpl w:val="08004C34"/>
    <w:lvl w:ilvl="0">
      <w:start w:val="1"/>
      <w:numFmt w:val="bullet"/>
      <w:lvlText w:val=""/>
      <w:lvlJc w:val="left"/>
      <w:pPr>
        <w:tabs>
          <w:tab w:val="num" w:pos="1086"/>
        </w:tabs>
        <w:ind w:left="1086" w:hanging="360"/>
      </w:pPr>
      <w:rPr>
        <w:rFonts w:ascii="Symbol" w:hAnsi="Symbol" w:cs="OpenSymbol" w:hint="default"/>
      </w:rPr>
    </w:lvl>
    <w:lvl w:ilvl="1">
      <w:start w:val="1"/>
      <w:numFmt w:val="bullet"/>
      <w:lvlText w:val="◦"/>
      <w:lvlJc w:val="left"/>
      <w:pPr>
        <w:tabs>
          <w:tab w:val="num" w:pos="1446"/>
        </w:tabs>
        <w:ind w:left="1446" w:hanging="360"/>
      </w:pPr>
      <w:rPr>
        <w:rFonts w:ascii="OpenSymbol" w:hAnsi="OpenSymbol" w:cs="OpenSymbol" w:hint="default"/>
      </w:rPr>
    </w:lvl>
    <w:lvl w:ilvl="2">
      <w:start w:val="1"/>
      <w:numFmt w:val="bullet"/>
      <w:lvlText w:val="▪"/>
      <w:lvlJc w:val="left"/>
      <w:pPr>
        <w:tabs>
          <w:tab w:val="num" w:pos="1806"/>
        </w:tabs>
        <w:ind w:left="1806" w:hanging="360"/>
      </w:pPr>
      <w:rPr>
        <w:rFonts w:ascii="OpenSymbol" w:hAnsi="OpenSymbol" w:cs="OpenSymbol" w:hint="default"/>
      </w:rPr>
    </w:lvl>
    <w:lvl w:ilvl="3">
      <w:start w:val="1"/>
      <w:numFmt w:val="bullet"/>
      <w:lvlText w:val=""/>
      <w:lvlJc w:val="left"/>
      <w:pPr>
        <w:tabs>
          <w:tab w:val="num" w:pos="2166"/>
        </w:tabs>
        <w:ind w:left="2166" w:hanging="360"/>
      </w:pPr>
      <w:rPr>
        <w:rFonts w:ascii="Symbol" w:hAnsi="Symbol" w:cs="OpenSymbol" w:hint="default"/>
      </w:rPr>
    </w:lvl>
    <w:lvl w:ilvl="4">
      <w:start w:val="1"/>
      <w:numFmt w:val="bullet"/>
      <w:lvlText w:val="◦"/>
      <w:lvlJc w:val="left"/>
      <w:pPr>
        <w:tabs>
          <w:tab w:val="num" w:pos="2526"/>
        </w:tabs>
        <w:ind w:left="2526" w:hanging="360"/>
      </w:pPr>
      <w:rPr>
        <w:rFonts w:ascii="OpenSymbol" w:hAnsi="OpenSymbol" w:cs="OpenSymbol" w:hint="default"/>
      </w:rPr>
    </w:lvl>
    <w:lvl w:ilvl="5">
      <w:start w:val="1"/>
      <w:numFmt w:val="bullet"/>
      <w:lvlText w:val="▪"/>
      <w:lvlJc w:val="left"/>
      <w:pPr>
        <w:tabs>
          <w:tab w:val="num" w:pos="2886"/>
        </w:tabs>
        <w:ind w:left="2886" w:hanging="360"/>
      </w:pPr>
      <w:rPr>
        <w:rFonts w:ascii="OpenSymbol" w:hAnsi="OpenSymbol" w:cs="OpenSymbol" w:hint="default"/>
      </w:rPr>
    </w:lvl>
    <w:lvl w:ilvl="6">
      <w:start w:val="1"/>
      <w:numFmt w:val="bullet"/>
      <w:lvlText w:val=""/>
      <w:lvlJc w:val="left"/>
      <w:pPr>
        <w:tabs>
          <w:tab w:val="num" w:pos="3246"/>
        </w:tabs>
        <w:ind w:left="3246" w:hanging="360"/>
      </w:pPr>
      <w:rPr>
        <w:rFonts w:ascii="Symbol" w:hAnsi="Symbol" w:cs="OpenSymbol" w:hint="default"/>
      </w:rPr>
    </w:lvl>
    <w:lvl w:ilvl="7">
      <w:start w:val="1"/>
      <w:numFmt w:val="bullet"/>
      <w:lvlText w:val="◦"/>
      <w:lvlJc w:val="left"/>
      <w:pPr>
        <w:tabs>
          <w:tab w:val="num" w:pos="3606"/>
        </w:tabs>
        <w:ind w:left="3606" w:hanging="360"/>
      </w:pPr>
      <w:rPr>
        <w:rFonts w:ascii="OpenSymbol" w:hAnsi="OpenSymbol" w:cs="OpenSymbol" w:hint="default"/>
      </w:rPr>
    </w:lvl>
    <w:lvl w:ilvl="8">
      <w:start w:val="1"/>
      <w:numFmt w:val="bullet"/>
      <w:lvlText w:val="▪"/>
      <w:lvlJc w:val="left"/>
      <w:pPr>
        <w:tabs>
          <w:tab w:val="num" w:pos="3966"/>
        </w:tabs>
        <w:ind w:left="3966" w:hanging="360"/>
      </w:pPr>
      <w:rPr>
        <w:rFonts w:ascii="OpenSymbol" w:hAnsi="OpenSymbol" w:cs="OpenSymbol" w:hint="default"/>
      </w:rPr>
    </w:lvl>
  </w:abstractNum>
  <w:abstractNum w:abstractNumId="2" w15:restartNumberingAfterBreak="0">
    <w:nsid w:val="28D532AA"/>
    <w:multiLevelType w:val="multilevel"/>
    <w:tmpl w:val="A100EB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36187D5E"/>
    <w:multiLevelType w:val="multilevel"/>
    <w:tmpl w:val="95A2F1B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467D6E6A"/>
    <w:multiLevelType w:val="multilevel"/>
    <w:tmpl w:val="2CBA49D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71E238F7"/>
    <w:multiLevelType w:val="multilevel"/>
    <w:tmpl w:val="1BA6084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747A3E3F"/>
    <w:multiLevelType w:val="multilevel"/>
    <w:tmpl w:val="73C4C8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5"/>
  </w:num>
  <w:num w:numId="2">
    <w:abstractNumId w:val="1"/>
  </w:num>
  <w:num w:numId="3">
    <w:abstractNumId w:val="6"/>
  </w:num>
  <w:num w:numId="4">
    <w:abstractNumId w:val="4"/>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F66"/>
    <w:rsid w:val="00423904"/>
    <w:rsid w:val="0093037D"/>
    <w:rsid w:val="00D27F6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53DF5D-CFA5-4BB6-92B9-3D9D73FC5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SimSun" w:hAnsi="Arial" w:cs="Lucida Sans"/>
        <w:kern w:val="2"/>
        <w:szCs w:val="24"/>
        <w:lang w:val="cs-CZ"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2"/>
    </w:rPr>
  </w:style>
  <w:style w:type="paragraph" w:styleId="Nadpis1">
    <w:name w:val="heading 1"/>
    <w:basedOn w:val="Normln"/>
    <w:qFormat/>
    <w:pPr>
      <w:widowControl w:val="0"/>
      <w:outlineLvl w:val="0"/>
    </w:pPr>
    <w:rPr>
      <w:b/>
      <w:bCs/>
      <w:sz w:val="36"/>
      <w:szCs w:val="36"/>
    </w:rPr>
  </w:style>
  <w:style w:type="paragraph" w:styleId="Nadpis3">
    <w:name w:val="heading 3"/>
    <w:basedOn w:val="Normln"/>
    <w:qFormat/>
    <w:pPr>
      <w:widowControl w:val="0"/>
      <w:spacing w:before="140"/>
      <w:outlineLvl w:val="2"/>
    </w:pPr>
    <w:rPr>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basedOn w:val="Standardnpsmoodstavce"/>
    <w:qFormat/>
    <w:rPr>
      <w:color w:val="0000FF"/>
      <w:u w:val="single"/>
    </w:rPr>
  </w:style>
  <w:style w:type="character" w:customStyle="1" w:styleId="ListLabel124">
    <w:name w:val="ListLabel 124"/>
    <w:qFormat/>
    <w:rPr>
      <w:rFonts w:ascii="Calibri" w:hAnsi="Calibri"/>
      <w:i/>
      <w:iCs/>
      <w:lang w:val="cs-CZ" w:eastAsia="en-US" w:bidi="ar-SA"/>
    </w:rPr>
  </w:style>
  <w:style w:type="character" w:customStyle="1" w:styleId="ListLabel2168">
    <w:name w:val="ListLabel 2168"/>
    <w:qFormat/>
    <w:rPr>
      <w:rFonts w:cs="OpenSymbol"/>
      <w:sz w:val="24"/>
    </w:rPr>
  </w:style>
  <w:style w:type="character" w:customStyle="1" w:styleId="ListLabel2169">
    <w:name w:val="ListLabel 2169"/>
    <w:qFormat/>
    <w:rPr>
      <w:rFonts w:cs="OpenSymbol"/>
    </w:rPr>
  </w:style>
  <w:style w:type="character" w:customStyle="1" w:styleId="ListLabel2170">
    <w:name w:val="ListLabel 2170"/>
    <w:qFormat/>
    <w:rPr>
      <w:rFonts w:cs="OpenSymbol"/>
    </w:rPr>
  </w:style>
  <w:style w:type="character" w:customStyle="1" w:styleId="ListLabel2171">
    <w:name w:val="ListLabel 2171"/>
    <w:qFormat/>
    <w:rPr>
      <w:rFonts w:cs="OpenSymbol"/>
    </w:rPr>
  </w:style>
  <w:style w:type="character" w:customStyle="1" w:styleId="ListLabel2172">
    <w:name w:val="ListLabel 2172"/>
    <w:qFormat/>
    <w:rPr>
      <w:rFonts w:cs="OpenSymbol"/>
    </w:rPr>
  </w:style>
  <w:style w:type="character" w:customStyle="1" w:styleId="ListLabel2173">
    <w:name w:val="ListLabel 2173"/>
    <w:qFormat/>
    <w:rPr>
      <w:rFonts w:cs="OpenSymbol"/>
    </w:rPr>
  </w:style>
  <w:style w:type="character" w:customStyle="1" w:styleId="ListLabel2174">
    <w:name w:val="ListLabel 2174"/>
    <w:qFormat/>
    <w:rPr>
      <w:rFonts w:cs="OpenSymbol"/>
    </w:rPr>
  </w:style>
  <w:style w:type="character" w:customStyle="1" w:styleId="ListLabel2175">
    <w:name w:val="ListLabel 2175"/>
    <w:qFormat/>
    <w:rPr>
      <w:rFonts w:cs="OpenSymbol"/>
    </w:rPr>
  </w:style>
  <w:style w:type="character" w:customStyle="1" w:styleId="ListLabel2176">
    <w:name w:val="ListLabel 2176"/>
    <w:qFormat/>
    <w:rPr>
      <w:rFonts w:cs="OpenSymbol"/>
    </w:rPr>
  </w:style>
  <w:style w:type="character" w:customStyle="1" w:styleId="ListLabel2186">
    <w:name w:val="ListLabel 2186"/>
    <w:qFormat/>
    <w:rPr>
      <w:rFonts w:cs="OpenSymbol"/>
      <w:sz w:val="24"/>
    </w:rPr>
  </w:style>
  <w:style w:type="character" w:customStyle="1" w:styleId="ListLabel2187">
    <w:name w:val="ListLabel 2187"/>
    <w:qFormat/>
    <w:rPr>
      <w:rFonts w:cs="OpenSymbol"/>
    </w:rPr>
  </w:style>
  <w:style w:type="character" w:customStyle="1" w:styleId="ListLabel2188">
    <w:name w:val="ListLabel 2188"/>
    <w:qFormat/>
    <w:rPr>
      <w:rFonts w:cs="OpenSymbol"/>
    </w:rPr>
  </w:style>
  <w:style w:type="character" w:customStyle="1" w:styleId="ListLabel2189">
    <w:name w:val="ListLabel 2189"/>
    <w:qFormat/>
    <w:rPr>
      <w:rFonts w:cs="OpenSymbol"/>
    </w:rPr>
  </w:style>
  <w:style w:type="character" w:customStyle="1" w:styleId="ListLabel2190">
    <w:name w:val="ListLabel 2190"/>
    <w:qFormat/>
    <w:rPr>
      <w:rFonts w:cs="OpenSymbol"/>
    </w:rPr>
  </w:style>
  <w:style w:type="character" w:customStyle="1" w:styleId="ListLabel2191">
    <w:name w:val="ListLabel 2191"/>
    <w:qFormat/>
    <w:rPr>
      <w:rFonts w:cs="OpenSymbol"/>
    </w:rPr>
  </w:style>
  <w:style w:type="character" w:customStyle="1" w:styleId="ListLabel2192">
    <w:name w:val="ListLabel 2192"/>
    <w:qFormat/>
    <w:rPr>
      <w:rFonts w:cs="OpenSymbol"/>
    </w:rPr>
  </w:style>
  <w:style w:type="character" w:customStyle="1" w:styleId="ListLabel2193">
    <w:name w:val="ListLabel 2193"/>
    <w:qFormat/>
    <w:rPr>
      <w:rFonts w:cs="OpenSymbol"/>
    </w:rPr>
  </w:style>
  <w:style w:type="character" w:customStyle="1" w:styleId="ListLabel2194">
    <w:name w:val="ListLabel 2194"/>
    <w:qFormat/>
    <w:rPr>
      <w:rFonts w:cs="OpenSymbol"/>
    </w:rPr>
  </w:style>
  <w:style w:type="character" w:customStyle="1" w:styleId="ListLabel2177">
    <w:name w:val="ListLabel 2177"/>
    <w:qFormat/>
    <w:rPr>
      <w:rFonts w:cs="OpenSymbol"/>
      <w:sz w:val="24"/>
    </w:rPr>
  </w:style>
  <w:style w:type="character" w:customStyle="1" w:styleId="ListLabel2178">
    <w:name w:val="ListLabel 2178"/>
    <w:qFormat/>
    <w:rPr>
      <w:rFonts w:cs="OpenSymbol"/>
    </w:rPr>
  </w:style>
  <w:style w:type="character" w:customStyle="1" w:styleId="ListLabel2179">
    <w:name w:val="ListLabel 2179"/>
    <w:qFormat/>
    <w:rPr>
      <w:rFonts w:cs="OpenSymbol"/>
    </w:rPr>
  </w:style>
  <w:style w:type="character" w:customStyle="1" w:styleId="ListLabel2180">
    <w:name w:val="ListLabel 2180"/>
    <w:qFormat/>
    <w:rPr>
      <w:rFonts w:cs="OpenSymbol"/>
    </w:rPr>
  </w:style>
  <w:style w:type="character" w:customStyle="1" w:styleId="ListLabel2181">
    <w:name w:val="ListLabel 2181"/>
    <w:qFormat/>
    <w:rPr>
      <w:rFonts w:cs="OpenSymbol"/>
    </w:rPr>
  </w:style>
  <w:style w:type="character" w:customStyle="1" w:styleId="ListLabel2182">
    <w:name w:val="ListLabel 2182"/>
    <w:qFormat/>
    <w:rPr>
      <w:rFonts w:cs="OpenSymbol"/>
    </w:rPr>
  </w:style>
  <w:style w:type="character" w:customStyle="1" w:styleId="ListLabel2183">
    <w:name w:val="ListLabel 2183"/>
    <w:qFormat/>
    <w:rPr>
      <w:rFonts w:cs="OpenSymbol"/>
    </w:rPr>
  </w:style>
  <w:style w:type="character" w:customStyle="1" w:styleId="ListLabel2184">
    <w:name w:val="ListLabel 2184"/>
    <w:qFormat/>
    <w:rPr>
      <w:rFonts w:cs="OpenSymbol"/>
    </w:rPr>
  </w:style>
  <w:style w:type="character" w:customStyle="1" w:styleId="ListLabel2185">
    <w:name w:val="ListLabel 2185"/>
    <w:qFormat/>
    <w:rPr>
      <w:rFonts w:cs="OpenSymbol"/>
    </w:rPr>
  </w:style>
  <w:style w:type="character" w:customStyle="1" w:styleId="ListLabel2195">
    <w:name w:val="ListLabel 2195"/>
    <w:qFormat/>
    <w:rPr>
      <w:rFonts w:cs="OpenSymbol"/>
      <w:sz w:val="24"/>
    </w:rPr>
  </w:style>
  <w:style w:type="character" w:customStyle="1" w:styleId="ListLabel2196">
    <w:name w:val="ListLabel 2196"/>
    <w:qFormat/>
    <w:rPr>
      <w:rFonts w:cs="OpenSymbol"/>
    </w:rPr>
  </w:style>
  <w:style w:type="character" w:customStyle="1" w:styleId="ListLabel2197">
    <w:name w:val="ListLabel 2197"/>
    <w:qFormat/>
    <w:rPr>
      <w:rFonts w:cs="OpenSymbol"/>
    </w:rPr>
  </w:style>
  <w:style w:type="character" w:customStyle="1" w:styleId="ListLabel2198">
    <w:name w:val="ListLabel 2198"/>
    <w:qFormat/>
    <w:rPr>
      <w:rFonts w:cs="OpenSymbol"/>
    </w:rPr>
  </w:style>
  <w:style w:type="character" w:customStyle="1" w:styleId="ListLabel2199">
    <w:name w:val="ListLabel 2199"/>
    <w:qFormat/>
    <w:rPr>
      <w:rFonts w:cs="OpenSymbol"/>
    </w:rPr>
  </w:style>
  <w:style w:type="character" w:customStyle="1" w:styleId="ListLabel2200">
    <w:name w:val="ListLabel 2200"/>
    <w:qFormat/>
    <w:rPr>
      <w:rFonts w:cs="OpenSymbol"/>
    </w:rPr>
  </w:style>
  <w:style w:type="character" w:customStyle="1" w:styleId="ListLabel2201">
    <w:name w:val="ListLabel 2201"/>
    <w:qFormat/>
    <w:rPr>
      <w:rFonts w:cs="OpenSymbol"/>
    </w:rPr>
  </w:style>
  <w:style w:type="character" w:customStyle="1" w:styleId="ListLabel2202">
    <w:name w:val="ListLabel 2202"/>
    <w:qFormat/>
    <w:rPr>
      <w:rFonts w:cs="OpenSymbol"/>
    </w:rPr>
  </w:style>
  <w:style w:type="character" w:customStyle="1" w:styleId="ListLabel2203">
    <w:name w:val="ListLabel 2203"/>
    <w:qFormat/>
    <w:rPr>
      <w:rFonts w:cs="OpenSymbol"/>
    </w:rPr>
  </w:style>
  <w:style w:type="character" w:customStyle="1" w:styleId="ListLabel2204">
    <w:name w:val="ListLabel 2204"/>
    <w:qFormat/>
    <w:rPr>
      <w:rFonts w:ascii="Arial" w:hAnsi="Arial" w:cs="OpenSymbol"/>
      <w:sz w:val="20"/>
    </w:rPr>
  </w:style>
  <w:style w:type="character" w:customStyle="1" w:styleId="ListLabel2205">
    <w:name w:val="ListLabel 2205"/>
    <w:qFormat/>
    <w:rPr>
      <w:rFonts w:cs="OpenSymbol"/>
    </w:rPr>
  </w:style>
  <w:style w:type="character" w:customStyle="1" w:styleId="ListLabel2206">
    <w:name w:val="ListLabel 2206"/>
    <w:qFormat/>
    <w:rPr>
      <w:rFonts w:cs="OpenSymbol"/>
    </w:rPr>
  </w:style>
  <w:style w:type="character" w:customStyle="1" w:styleId="ListLabel2207">
    <w:name w:val="ListLabel 2207"/>
    <w:qFormat/>
    <w:rPr>
      <w:rFonts w:cs="OpenSymbol"/>
    </w:rPr>
  </w:style>
  <w:style w:type="character" w:customStyle="1" w:styleId="ListLabel2208">
    <w:name w:val="ListLabel 2208"/>
    <w:qFormat/>
    <w:rPr>
      <w:rFonts w:cs="OpenSymbol"/>
    </w:rPr>
  </w:style>
  <w:style w:type="character" w:customStyle="1" w:styleId="ListLabel2209">
    <w:name w:val="ListLabel 2209"/>
    <w:qFormat/>
    <w:rPr>
      <w:rFonts w:cs="OpenSymbol"/>
    </w:rPr>
  </w:style>
  <w:style w:type="character" w:customStyle="1" w:styleId="ListLabel2210">
    <w:name w:val="ListLabel 2210"/>
    <w:qFormat/>
    <w:rPr>
      <w:rFonts w:cs="OpenSymbol"/>
    </w:rPr>
  </w:style>
  <w:style w:type="character" w:customStyle="1" w:styleId="ListLabel2211">
    <w:name w:val="ListLabel 2211"/>
    <w:qFormat/>
    <w:rPr>
      <w:rFonts w:cs="OpenSymbol"/>
    </w:rPr>
  </w:style>
  <w:style w:type="character" w:customStyle="1" w:styleId="ListLabel2212">
    <w:name w:val="ListLabel 2212"/>
    <w:qFormat/>
    <w:rPr>
      <w:rFonts w:cs="OpenSymbol"/>
    </w:rPr>
  </w:style>
  <w:style w:type="character" w:customStyle="1" w:styleId="ListLabel2213">
    <w:name w:val="ListLabel 2213"/>
    <w:qFormat/>
    <w:rPr>
      <w:rFonts w:ascii="Arial" w:hAnsi="Arial" w:cs="OpenSymbol"/>
      <w:sz w:val="20"/>
    </w:rPr>
  </w:style>
  <w:style w:type="character" w:customStyle="1" w:styleId="ListLabel2214">
    <w:name w:val="ListLabel 2214"/>
    <w:qFormat/>
    <w:rPr>
      <w:rFonts w:cs="OpenSymbol"/>
    </w:rPr>
  </w:style>
  <w:style w:type="character" w:customStyle="1" w:styleId="ListLabel2215">
    <w:name w:val="ListLabel 2215"/>
    <w:qFormat/>
    <w:rPr>
      <w:rFonts w:cs="OpenSymbol"/>
    </w:rPr>
  </w:style>
  <w:style w:type="character" w:customStyle="1" w:styleId="ListLabel2216">
    <w:name w:val="ListLabel 2216"/>
    <w:qFormat/>
    <w:rPr>
      <w:rFonts w:cs="OpenSymbol"/>
    </w:rPr>
  </w:style>
  <w:style w:type="character" w:customStyle="1" w:styleId="ListLabel2217">
    <w:name w:val="ListLabel 2217"/>
    <w:qFormat/>
    <w:rPr>
      <w:rFonts w:cs="OpenSymbol"/>
    </w:rPr>
  </w:style>
  <w:style w:type="character" w:customStyle="1" w:styleId="ListLabel2218">
    <w:name w:val="ListLabel 2218"/>
    <w:qFormat/>
    <w:rPr>
      <w:rFonts w:cs="OpenSymbol"/>
    </w:rPr>
  </w:style>
  <w:style w:type="character" w:customStyle="1" w:styleId="ListLabel2219">
    <w:name w:val="ListLabel 2219"/>
    <w:qFormat/>
    <w:rPr>
      <w:rFonts w:cs="OpenSymbol"/>
    </w:rPr>
  </w:style>
  <w:style w:type="character" w:customStyle="1" w:styleId="ListLabel2220">
    <w:name w:val="ListLabel 2220"/>
    <w:qFormat/>
    <w:rPr>
      <w:rFonts w:cs="OpenSymbol"/>
    </w:rPr>
  </w:style>
  <w:style w:type="character" w:customStyle="1" w:styleId="ListLabel2221">
    <w:name w:val="ListLabel 2221"/>
    <w:qFormat/>
    <w:rPr>
      <w:rFonts w:cs="OpenSymbol"/>
    </w:rPr>
  </w:style>
  <w:style w:type="character" w:customStyle="1" w:styleId="ListLabel2222">
    <w:name w:val="ListLabel 2222"/>
    <w:qFormat/>
    <w:rPr>
      <w:rFonts w:ascii="Arial" w:hAnsi="Arial" w:cs="OpenSymbol"/>
      <w:sz w:val="20"/>
    </w:rPr>
  </w:style>
  <w:style w:type="character" w:customStyle="1" w:styleId="ListLabel2223">
    <w:name w:val="ListLabel 2223"/>
    <w:qFormat/>
    <w:rPr>
      <w:rFonts w:cs="OpenSymbol"/>
    </w:rPr>
  </w:style>
  <w:style w:type="character" w:customStyle="1" w:styleId="ListLabel2224">
    <w:name w:val="ListLabel 2224"/>
    <w:qFormat/>
    <w:rPr>
      <w:rFonts w:cs="OpenSymbol"/>
    </w:rPr>
  </w:style>
  <w:style w:type="character" w:customStyle="1" w:styleId="ListLabel2225">
    <w:name w:val="ListLabel 2225"/>
    <w:qFormat/>
    <w:rPr>
      <w:rFonts w:cs="OpenSymbol"/>
    </w:rPr>
  </w:style>
  <w:style w:type="character" w:customStyle="1" w:styleId="ListLabel2226">
    <w:name w:val="ListLabel 2226"/>
    <w:qFormat/>
    <w:rPr>
      <w:rFonts w:cs="OpenSymbol"/>
    </w:rPr>
  </w:style>
  <w:style w:type="character" w:customStyle="1" w:styleId="ListLabel2227">
    <w:name w:val="ListLabel 2227"/>
    <w:qFormat/>
    <w:rPr>
      <w:rFonts w:cs="OpenSymbol"/>
    </w:rPr>
  </w:style>
  <w:style w:type="character" w:customStyle="1" w:styleId="ListLabel2228">
    <w:name w:val="ListLabel 2228"/>
    <w:qFormat/>
    <w:rPr>
      <w:rFonts w:cs="OpenSymbol"/>
    </w:rPr>
  </w:style>
  <w:style w:type="character" w:customStyle="1" w:styleId="ListLabel2229">
    <w:name w:val="ListLabel 2229"/>
    <w:qFormat/>
    <w:rPr>
      <w:rFonts w:cs="OpenSymbol"/>
    </w:rPr>
  </w:style>
  <w:style w:type="character" w:customStyle="1" w:styleId="ListLabel2230">
    <w:name w:val="ListLabel 2230"/>
    <w:qFormat/>
    <w:rPr>
      <w:rFonts w:cs="OpenSymbol"/>
    </w:rPr>
  </w:style>
  <w:style w:type="character" w:customStyle="1" w:styleId="ListLabel2231">
    <w:name w:val="ListLabel 2231"/>
    <w:qFormat/>
    <w:rPr>
      <w:rFonts w:ascii="Arial" w:hAnsi="Arial" w:cs="OpenSymbol"/>
      <w:sz w:val="20"/>
    </w:rPr>
  </w:style>
  <w:style w:type="character" w:customStyle="1" w:styleId="ListLabel2232">
    <w:name w:val="ListLabel 2232"/>
    <w:qFormat/>
    <w:rPr>
      <w:rFonts w:cs="OpenSymbol"/>
    </w:rPr>
  </w:style>
  <w:style w:type="character" w:customStyle="1" w:styleId="ListLabel2233">
    <w:name w:val="ListLabel 2233"/>
    <w:qFormat/>
    <w:rPr>
      <w:rFonts w:cs="OpenSymbol"/>
    </w:rPr>
  </w:style>
  <w:style w:type="character" w:customStyle="1" w:styleId="ListLabel2234">
    <w:name w:val="ListLabel 2234"/>
    <w:qFormat/>
    <w:rPr>
      <w:rFonts w:cs="OpenSymbol"/>
    </w:rPr>
  </w:style>
  <w:style w:type="character" w:customStyle="1" w:styleId="ListLabel2235">
    <w:name w:val="ListLabel 2235"/>
    <w:qFormat/>
    <w:rPr>
      <w:rFonts w:cs="OpenSymbol"/>
    </w:rPr>
  </w:style>
  <w:style w:type="character" w:customStyle="1" w:styleId="ListLabel2236">
    <w:name w:val="ListLabel 2236"/>
    <w:qFormat/>
    <w:rPr>
      <w:rFonts w:cs="OpenSymbol"/>
    </w:rPr>
  </w:style>
  <w:style w:type="character" w:customStyle="1" w:styleId="ListLabel2237">
    <w:name w:val="ListLabel 2237"/>
    <w:qFormat/>
    <w:rPr>
      <w:rFonts w:cs="OpenSymbol"/>
    </w:rPr>
  </w:style>
  <w:style w:type="character" w:customStyle="1" w:styleId="ListLabel2238">
    <w:name w:val="ListLabel 2238"/>
    <w:qFormat/>
    <w:rPr>
      <w:rFonts w:cs="OpenSymbol"/>
    </w:rPr>
  </w:style>
  <w:style w:type="character" w:customStyle="1" w:styleId="ListLabel2239">
    <w:name w:val="ListLabel 2239"/>
    <w:qFormat/>
    <w:rPr>
      <w:rFonts w:cs="OpenSymbol"/>
    </w:rPr>
  </w:style>
  <w:style w:type="character" w:customStyle="1" w:styleId="ListLabel2240">
    <w:name w:val="ListLabel 2240"/>
    <w:qFormat/>
    <w:rPr>
      <w:rFonts w:ascii="Arial" w:hAnsi="Arial"/>
      <w:i/>
      <w:iCs/>
      <w:sz w:val="20"/>
      <w:szCs w:val="20"/>
      <w:lang w:val="cs-CZ" w:eastAsia="en-US" w:bidi="ar-SA"/>
    </w:rPr>
  </w:style>
  <w:style w:type="character" w:customStyle="1" w:styleId="ListLabel2689">
    <w:name w:val="ListLabel 2689"/>
    <w:qFormat/>
    <w:rPr>
      <w:rFonts w:cs="OpenSymbol"/>
    </w:rPr>
  </w:style>
  <w:style w:type="character" w:customStyle="1" w:styleId="ListLabel2690">
    <w:name w:val="ListLabel 2690"/>
    <w:qFormat/>
    <w:rPr>
      <w:rFonts w:cs="OpenSymbol"/>
    </w:rPr>
  </w:style>
  <w:style w:type="character" w:customStyle="1" w:styleId="ListLabel2691">
    <w:name w:val="ListLabel 2691"/>
    <w:qFormat/>
    <w:rPr>
      <w:rFonts w:cs="OpenSymbol"/>
    </w:rPr>
  </w:style>
  <w:style w:type="character" w:customStyle="1" w:styleId="ListLabel2692">
    <w:name w:val="ListLabel 2692"/>
    <w:qFormat/>
    <w:rPr>
      <w:rFonts w:cs="OpenSymbol"/>
    </w:rPr>
  </w:style>
  <w:style w:type="character" w:customStyle="1" w:styleId="ListLabel2693">
    <w:name w:val="ListLabel 2693"/>
    <w:qFormat/>
    <w:rPr>
      <w:rFonts w:cs="OpenSymbol"/>
    </w:rPr>
  </w:style>
  <w:style w:type="character" w:customStyle="1" w:styleId="ListLabel2694">
    <w:name w:val="ListLabel 2694"/>
    <w:qFormat/>
    <w:rPr>
      <w:rFonts w:cs="OpenSymbol"/>
    </w:rPr>
  </w:style>
  <w:style w:type="character" w:customStyle="1" w:styleId="ListLabel2695">
    <w:name w:val="ListLabel 2695"/>
    <w:qFormat/>
    <w:rPr>
      <w:rFonts w:cs="OpenSymbol"/>
    </w:rPr>
  </w:style>
  <w:style w:type="character" w:customStyle="1" w:styleId="ListLabel2696">
    <w:name w:val="ListLabel 2696"/>
    <w:qFormat/>
    <w:rPr>
      <w:rFonts w:cs="OpenSymbol"/>
    </w:rPr>
  </w:style>
  <w:style w:type="character" w:customStyle="1" w:styleId="ListLabel2697">
    <w:name w:val="ListLabel 2697"/>
    <w:qFormat/>
    <w:rPr>
      <w:rFonts w:cs="OpenSymbol"/>
    </w:rPr>
  </w:style>
  <w:style w:type="character" w:customStyle="1" w:styleId="ListLabel2653">
    <w:name w:val="ListLabel 2653"/>
    <w:qFormat/>
    <w:rPr>
      <w:rFonts w:cs="OpenSymbol"/>
    </w:rPr>
  </w:style>
  <w:style w:type="character" w:customStyle="1" w:styleId="ListLabel2654">
    <w:name w:val="ListLabel 2654"/>
    <w:qFormat/>
    <w:rPr>
      <w:rFonts w:cs="OpenSymbol"/>
    </w:rPr>
  </w:style>
  <w:style w:type="character" w:customStyle="1" w:styleId="ListLabel2655">
    <w:name w:val="ListLabel 2655"/>
    <w:qFormat/>
    <w:rPr>
      <w:rFonts w:cs="OpenSymbol"/>
    </w:rPr>
  </w:style>
  <w:style w:type="character" w:customStyle="1" w:styleId="ListLabel2656">
    <w:name w:val="ListLabel 2656"/>
    <w:qFormat/>
    <w:rPr>
      <w:rFonts w:cs="OpenSymbol"/>
    </w:rPr>
  </w:style>
  <w:style w:type="character" w:customStyle="1" w:styleId="ListLabel2657">
    <w:name w:val="ListLabel 2657"/>
    <w:qFormat/>
    <w:rPr>
      <w:rFonts w:cs="OpenSymbol"/>
    </w:rPr>
  </w:style>
  <w:style w:type="character" w:customStyle="1" w:styleId="ListLabel2658">
    <w:name w:val="ListLabel 2658"/>
    <w:qFormat/>
    <w:rPr>
      <w:rFonts w:cs="OpenSymbol"/>
    </w:rPr>
  </w:style>
  <w:style w:type="character" w:customStyle="1" w:styleId="ListLabel2659">
    <w:name w:val="ListLabel 2659"/>
    <w:qFormat/>
    <w:rPr>
      <w:rFonts w:cs="OpenSymbol"/>
    </w:rPr>
  </w:style>
  <w:style w:type="character" w:customStyle="1" w:styleId="ListLabel2660">
    <w:name w:val="ListLabel 2660"/>
    <w:qFormat/>
    <w:rPr>
      <w:rFonts w:cs="OpenSymbol"/>
    </w:rPr>
  </w:style>
  <w:style w:type="character" w:customStyle="1" w:styleId="ListLabel2661">
    <w:name w:val="ListLabel 2661"/>
    <w:qFormat/>
    <w:rPr>
      <w:rFonts w:cs="OpenSymbol"/>
    </w:rPr>
  </w:style>
  <w:style w:type="character" w:customStyle="1" w:styleId="ListLabel2671">
    <w:name w:val="ListLabel 2671"/>
    <w:qFormat/>
    <w:rPr>
      <w:rFonts w:cs="OpenSymbol"/>
    </w:rPr>
  </w:style>
  <w:style w:type="character" w:customStyle="1" w:styleId="ListLabel2672">
    <w:name w:val="ListLabel 2672"/>
    <w:qFormat/>
    <w:rPr>
      <w:rFonts w:cs="OpenSymbol"/>
    </w:rPr>
  </w:style>
  <w:style w:type="character" w:customStyle="1" w:styleId="ListLabel2673">
    <w:name w:val="ListLabel 2673"/>
    <w:qFormat/>
    <w:rPr>
      <w:rFonts w:cs="OpenSymbol"/>
    </w:rPr>
  </w:style>
  <w:style w:type="character" w:customStyle="1" w:styleId="ListLabel2674">
    <w:name w:val="ListLabel 2674"/>
    <w:qFormat/>
    <w:rPr>
      <w:rFonts w:cs="OpenSymbol"/>
    </w:rPr>
  </w:style>
  <w:style w:type="character" w:customStyle="1" w:styleId="ListLabel2675">
    <w:name w:val="ListLabel 2675"/>
    <w:qFormat/>
    <w:rPr>
      <w:rFonts w:cs="OpenSymbol"/>
    </w:rPr>
  </w:style>
  <w:style w:type="character" w:customStyle="1" w:styleId="ListLabel2676">
    <w:name w:val="ListLabel 2676"/>
    <w:qFormat/>
    <w:rPr>
      <w:rFonts w:cs="OpenSymbol"/>
    </w:rPr>
  </w:style>
  <w:style w:type="character" w:customStyle="1" w:styleId="ListLabel2677">
    <w:name w:val="ListLabel 2677"/>
    <w:qFormat/>
    <w:rPr>
      <w:rFonts w:cs="OpenSymbol"/>
    </w:rPr>
  </w:style>
  <w:style w:type="character" w:customStyle="1" w:styleId="ListLabel2678">
    <w:name w:val="ListLabel 2678"/>
    <w:qFormat/>
    <w:rPr>
      <w:rFonts w:cs="OpenSymbol"/>
    </w:rPr>
  </w:style>
  <w:style w:type="character" w:customStyle="1" w:styleId="ListLabel2679">
    <w:name w:val="ListLabel 2679"/>
    <w:qFormat/>
    <w:rPr>
      <w:rFonts w:cs="OpenSymbol"/>
    </w:rPr>
  </w:style>
  <w:style w:type="character" w:customStyle="1" w:styleId="ListLabel2680">
    <w:name w:val="ListLabel 2680"/>
    <w:qFormat/>
    <w:rPr>
      <w:rFonts w:cs="OpenSymbol"/>
    </w:rPr>
  </w:style>
  <w:style w:type="character" w:customStyle="1" w:styleId="ListLabel2681">
    <w:name w:val="ListLabel 2681"/>
    <w:qFormat/>
    <w:rPr>
      <w:rFonts w:cs="OpenSymbol"/>
    </w:rPr>
  </w:style>
  <w:style w:type="character" w:customStyle="1" w:styleId="ListLabel2682">
    <w:name w:val="ListLabel 2682"/>
    <w:qFormat/>
    <w:rPr>
      <w:rFonts w:cs="OpenSymbol"/>
    </w:rPr>
  </w:style>
  <w:style w:type="character" w:customStyle="1" w:styleId="ListLabel2683">
    <w:name w:val="ListLabel 2683"/>
    <w:qFormat/>
    <w:rPr>
      <w:rFonts w:cs="OpenSymbol"/>
    </w:rPr>
  </w:style>
  <w:style w:type="character" w:customStyle="1" w:styleId="ListLabel2684">
    <w:name w:val="ListLabel 2684"/>
    <w:qFormat/>
    <w:rPr>
      <w:rFonts w:cs="OpenSymbol"/>
    </w:rPr>
  </w:style>
  <w:style w:type="character" w:customStyle="1" w:styleId="ListLabel2685">
    <w:name w:val="ListLabel 2685"/>
    <w:qFormat/>
    <w:rPr>
      <w:rFonts w:cs="OpenSymbol"/>
    </w:rPr>
  </w:style>
  <w:style w:type="character" w:customStyle="1" w:styleId="ListLabel2686">
    <w:name w:val="ListLabel 2686"/>
    <w:qFormat/>
    <w:rPr>
      <w:rFonts w:cs="OpenSymbol"/>
    </w:rPr>
  </w:style>
  <w:style w:type="character" w:customStyle="1" w:styleId="ListLabel2687">
    <w:name w:val="ListLabel 2687"/>
    <w:qFormat/>
    <w:rPr>
      <w:rFonts w:cs="OpenSymbol"/>
    </w:rPr>
  </w:style>
  <w:style w:type="character" w:customStyle="1" w:styleId="ListLabel2688">
    <w:name w:val="ListLabel 2688"/>
    <w:qFormat/>
    <w:rPr>
      <w:rFonts w:cs="OpenSymbol"/>
    </w:rPr>
  </w:style>
  <w:style w:type="character" w:customStyle="1" w:styleId="ListLabel2662">
    <w:name w:val="ListLabel 2662"/>
    <w:qFormat/>
    <w:rPr>
      <w:rFonts w:cs="OpenSymbol"/>
    </w:rPr>
  </w:style>
  <w:style w:type="character" w:customStyle="1" w:styleId="ListLabel2663">
    <w:name w:val="ListLabel 2663"/>
    <w:qFormat/>
    <w:rPr>
      <w:rFonts w:cs="OpenSymbol"/>
    </w:rPr>
  </w:style>
  <w:style w:type="character" w:customStyle="1" w:styleId="ListLabel2664">
    <w:name w:val="ListLabel 2664"/>
    <w:qFormat/>
    <w:rPr>
      <w:rFonts w:cs="OpenSymbol"/>
    </w:rPr>
  </w:style>
  <w:style w:type="character" w:customStyle="1" w:styleId="ListLabel2665">
    <w:name w:val="ListLabel 2665"/>
    <w:qFormat/>
    <w:rPr>
      <w:rFonts w:cs="OpenSymbol"/>
    </w:rPr>
  </w:style>
  <w:style w:type="character" w:customStyle="1" w:styleId="ListLabel2666">
    <w:name w:val="ListLabel 2666"/>
    <w:qFormat/>
    <w:rPr>
      <w:rFonts w:cs="OpenSymbol"/>
    </w:rPr>
  </w:style>
  <w:style w:type="character" w:customStyle="1" w:styleId="ListLabel2667">
    <w:name w:val="ListLabel 2667"/>
    <w:qFormat/>
    <w:rPr>
      <w:rFonts w:cs="OpenSymbol"/>
    </w:rPr>
  </w:style>
  <w:style w:type="character" w:customStyle="1" w:styleId="ListLabel2668">
    <w:name w:val="ListLabel 2668"/>
    <w:qFormat/>
    <w:rPr>
      <w:rFonts w:cs="OpenSymbol"/>
    </w:rPr>
  </w:style>
  <w:style w:type="character" w:customStyle="1" w:styleId="ListLabel2669">
    <w:name w:val="ListLabel 2669"/>
    <w:qFormat/>
    <w:rPr>
      <w:rFonts w:cs="OpenSymbol"/>
    </w:rPr>
  </w:style>
  <w:style w:type="character" w:customStyle="1" w:styleId="ListLabel2670">
    <w:name w:val="ListLabel 2670"/>
    <w:qFormat/>
    <w:rPr>
      <w:rFonts w:cs="OpenSymbol"/>
    </w:rPr>
  </w:style>
  <w:style w:type="paragraph" w:customStyle="1" w:styleId="Nadpis">
    <w:name w:val="Nadpis"/>
    <w:basedOn w:val="Normln"/>
    <w:next w:val="Zkladntext"/>
    <w:qFormat/>
    <w:pPr>
      <w:keepNext/>
      <w:spacing w:before="240" w:after="120"/>
    </w:pPr>
    <w:rPr>
      <w:rFonts w:eastAsia="PingFang SC"/>
      <w:sz w:val="28"/>
      <w:szCs w:val="28"/>
    </w:rPr>
  </w:style>
  <w:style w:type="paragraph" w:styleId="Zkladntext">
    <w:name w:val="Body Text"/>
    <w:basedOn w:val="Normln"/>
    <w:pPr>
      <w:spacing w:after="140" w:line="276" w:lineRule="auto"/>
    </w:pPr>
  </w:style>
  <w:style w:type="paragraph" w:styleId="Seznam">
    <w:name w:val="List"/>
    <w:basedOn w:val="Zkladntext"/>
  </w:style>
  <w:style w:type="paragraph" w:styleId="Titulek">
    <w:name w:val="caption"/>
    <w:basedOn w:val="Normln"/>
    <w:qFormat/>
    <w:pPr>
      <w:suppressLineNumbers/>
      <w:spacing w:before="120" w:after="120"/>
    </w:pPr>
    <w:rPr>
      <w:i/>
      <w:iCs/>
      <w:sz w:val="20"/>
    </w:rPr>
  </w:style>
  <w:style w:type="paragraph" w:customStyle="1" w:styleId="Rejstk">
    <w:name w:val="Rejstřík"/>
    <w:basedOn w:val="Normln"/>
    <w:qFormat/>
    <w:pPr>
      <w:suppressLineNumbers/>
    </w:pPr>
    <w:rPr>
      <w:sz w:val="20"/>
    </w:rPr>
  </w:style>
  <w:style w:type="paragraph" w:customStyle="1" w:styleId="Obsahtabulky">
    <w:name w:val="Obsah tabulky"/>
    <w:basedOn w:val="Normln"/>
    <w:qFormat/>
    <w:pPr>
      <w:suppressLineNumbers/>
    </w:pPr>
  </w:style>
  <w:style w:type="paragraph" w:customStyle="1" w:styleId="Nadpistabulky">
    <w:name w:val="Nadpis tabulky"/>
    <w:basedOn w:val="Obsahtabulky"/>
    <w:qFormat/>
    <w:pPr>
      <w:jc w:val="center"/>
    </w:pPr>
    <w:rPr>
      <w:b/>
      <w:bCs/>
    </w:rPr>
  </w:style>
  <w:style w:type="paragraph" w:styleId="Zpat">
    <w:name w:val="footer"/>
    <w:basedOn w:val="Normln"/>
    <w:pPr>
      <w:suppressLineNumbers/>
      <w:tabs>
        <w:tab w:val="center" w:pos="7285"/>
        <w:tab w:val="right" w:pos="14570"/>
      </w:tabs>
    </w:pPr>
  </w:style>
  <w:style w:type="paragraph" w:customStyle="1" w:styleId="Heading31">
    <w:name w:val="Heading 31"/>
    <w:basedOn w:val="Nadpis"/>
    <w:qFormat/>
    <w:pPr>
      <w:spacing w:before="140"/>
      <w:outlineLvl w:val="2"/>
    </w:pPr>
    <w:rPr>
      <w:b/>
      <w:sz w:val="24"/>
    </w:rPr>
  </w:style>
  <w:style w:type="paragraph" w:styleId="Normlnweb">
    <w:name w:val="Normal (Web)"/>
    <w:basedOn w:val="Normln"/>
    <w:qFormat/>
    <w:pPr>
      <w:spacing w:before="280" w:after="142" w:line="276" w:lineRule="auto"/>
    </w:pPr>
    <w:rPr>
      <w:rFonts w:ascii="Times New Roman" w:eastAsia="Times New Roman" w:hAnsi="Times New Roman" w:cs="Times New Roman"/>
      <w:sz w:val="20"/>
      <w:szCs w:val="20"/>
      <w:lang w:eastAsia="en-US" w:bidi="ar-SA"/>
    </w:rPr>
  </w:style>
  <w:style w:type="paragraph" w:styleId="Odstavecseseznamem">
    <w:name w:val="List Paragraph"/>
    <w:basedOn w:val="Normln"/>
    <w:uiPriority w:val="34"/>
    <w:qFormat/>
    <w:rsid w:val="00B010A5"/>
    <w:pPr>
      <w:ind w:left="720"/>
      <w:contextualSpacing/>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7654F-A54A-4DE2-A014-1C859C1B8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13222</Words>
  <Characters>78010</Characters>
  <Application>Microsoft Office Word</Application>
  <DocSecurity>0</DocSecurity>
  <Lines>650</Lines>
  <Paragraphs>182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systému Windows</dc:creator>
  <dc:description/>
  <cp:lastModifiedBy>User</cp:lastModifiedBy>
  <cp:revision>2</cp:revision>
  <dcterms:created xsi:type="dcterms:W3CDTF">2020-02-06T10:37:00Z</dcterms:created>
  <dcterms:modified xsi:type="dcterms:W3CDTF">2020-02-06T10:37:00Z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