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4536"/>
        <w:gridCol w:w="2127"/>
        <w:gridCol w:w="2126"/>
        <w:gridCol w:w="1677"/>
      </w:tblGrid>
      <w:tr w:rsidR="00CB5075" w:rsidRPr="001161B0" w14:paraId="730886DB" w14:textId="77777777" w:rsidTr="5433E93C">
        <w:tc>
          <w:tcPr>
            <w:tcW w:w="4536" w:type="dxa"/>
            <w:vMerge w:val="restart"/>
            <w:shd w:val="clear" w:color="auto" w:fill="auto"/>
          </w:tcPr>
          <w:p w14:paraId="22CD8E03" w14:textId="27A65242" w:rsidR="00CB5075" w:rsidRPr="00BF0272" w:rsidRDefault="00CB5075" w:rsidP="00DD0422">
            <w:pPr>
              <w:pStyle w:val="Zhlav"/>
              <w:rPr>
                <w:rFonts w:cs="Tahoma"/>
                <w:sz w:val="20"/>
              </w:rPr>
            </w:pPr>
            <w:r w:rsidRPr="00BF0272">
              <w:rPr>
                <w:rFonts w:cs="Tahoma"/>
                <w:noProof/>
                <w:sz w:val="20"/>
              </w:rPr>
              <w:drawing>
                <wp:inline distT="0" distB="0" distL="0" distR="0" wp14:anchorId="33BFAD28" wp14:editId="5B62B737">
                  <wp:extent cx="2505075" cy="666750"/>
                  <wp:effectExtent l="0" t="0" r="9525" b="0"/>
                  <wp:docPr id="5" name="Obrázek 45" descr="C:\Users\cabal.ORTCRM\AppData\Local\Microsoft\Windows\INetCache\Content.Word\LogoOrtexCMYK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5" descr="C:\Users\cabal.ORTCRM\AppData\Local\Microsoft\Windows\INetCache\Content.Word\LogoOrtexCMYK300px.jpg"/>
                          <pic:cNvPicPr>
                            <a:picLocks noChangeAspect="1" noChangeArrowheads="1"/>
                          </pic:cNvPicPr>
                        </pic:nvPicPr>
                        <pic:blipFill>
                          <a:blip r:embed="rId11">
                            <a:extLst>
                              <a:ext uri="{28A0092B-C50C-407E-A947-70E740481C1C}">
                                <a14:useLocalDpi xmlns:a14="http://schemas.microsoft.com/office/drawing/2010/main" val="0"/>
                              </a:ext>
                            </a:extLst>
                          </a:blip>
                          <a:srcRect l="7243" t="19641" r="5183" b="18826"/>
                          <a:stretch>
                            <a:fillRect/>
                          </a:stretch>
                        </pic:blipFill>
                        <pic:spPr bwMode="auto">
                          <a:xfrm>
                            <a:off x="0" y="0"/>
                            <a:ext cx="2505075" cy="666750"/>
                          </a:xfrm>
                          <a:prstGeom prst="rect">
                            <a:avLst/>
                          </a:prstGeom>
                          <a:noFill/>
                          <a:ln>
                            <a:noFill/>
                          </a:ln>
                        </pic:spPr>
                      </pic:pic>
                    </a:graphicData>
                  </a:graphic>
                </wp:inline>
              </w:drawing>
            </w:r>
          </w:p>
        </w:tc>
        <w:tc>
          <w:tcPr>
            <w:tcW w:w="2127" w:type="dxa"/>
            <w:shd w:val="clear" w:color="auto" w:fill="auto"/>
          </w:tcPr>
          <w:p w14:paraId="42CDDBBC" w14:textId="77777777" w:rsidR="00CB5075" w:rsidRPr="00BF0272" w:rsidRDefault="00CB5075" w:rsidP="00DD0422">
            <w:pPr>
              <w:pStyle w:val="Zhlav"/>
              <w:spacing w:before="160"/>
              <w:rPr>
                <w:rFonts w:cs="Tahoma"/>
                <w:color w:val="808080"/>
                <w:sz w:val="20"/>
              </w:rPr>
            </w:pPr>
            <w:r w:rsidRPr="00BF0272">
              <w:rPr>
                <w:rFonts w:cs="Tahoma"/>
                <w:color w:val="808080"/>
                <w:sz w:val="20"/>
              </w:rPr>
              <w:t>ORTEX spol. s r.o.</w:t>
            </w:r>
          </w:p>
        </w:tc>
        <w:tc>
          <w:tcPr>
            <w:tcW w:w="2126" w:type="dxa"/>
            <w:shd w:val="clear" w:color="auto" w:fill="auto"/>
          </w:tcPr>
          <w:p w14:paraId="6E73A28C" w14:textId="77777777" w:rsidR="00CB5075" w:rsidRPr="00BF0272" w:rsidRDefault="00CB5075" w:rsidP="00DD0422">
            <w:pPr>
              <w:pStyle w:val="Zhlav"/>
              <w:spacing w:before="160"/>
              <w:rPr>
                <w:rFonts w:cs="Tahoma"/>
                <w:color w:val="808080"/>
                <w:sz w:val="20"/>
              </w:rPr>
            </w:pPr>
            <w:r w:rsidRPr="00BF0272">
              <w:rPr>
                <w:rFonts w:cs="Tahoma"/>
                <w:color w:val="808080"/>
                <w:sz w:val="20"/>
              </w:rPr>
              <w:t>IČ: 00529745</w:t>
            </w:r>
          </w:p>
        </w:tc>
        <w:tc>
          <w:tcPr>
            <w:tcW w:w="1677" w:type="dxa"/>
            <w:shd w:val="clear" w:color="auto" w:fill="auto"/>
          </w:tcPr>
          <w:p w14:paraId="652FBA3C" w14:textId="77777777" w:rsidR="00CB5075" w:rsidRPr="00BF0272" w:rsidRDefault="00CB5075" w:rsidP="00DD0422">
            <w:pPr>
              <w:pStyle w:val="Zhlav"/>
              <w:spacing w:before="160"/>
              <w:rPr>
                <w:rFonts w:cs="Tahoma"/>
                <w:color w:val="808080"/>
                <w:sz w:val="20"/>
              </w:rPr>
            </w:pPr>
            <w:r w:rsidRPr="00BF0272">
              <w:rPr>
                <w:rFonts w:cs="Tahoma"/>
                <w:color w:val="808080"/>
                <w:sz w:val="20"/>
              </w:rPr>
              <w:t>+420 499 991 111</w:t>
            </w:r>
          </w:p>
        </w:tc>
      </w:tr>
      <w:tr w:rsidR="00CB5075" w:rsidRPr="001161B0" w14:paraId="054D626C" w14:textId="77777777" w:rsidTr="5433E93C">
        <w:tc>
          <w:tcPr>
            <w:tcW w:w="4536" w:type="dxa"/>
            <w:vMerge/>
          </w:tcPr>
          <w:p w14:paraId="292A7174" w14:textId="77777777" w:rsidR="00CB5075" w:rsidRPr="00BF0272" w:rsidRDefault="00CB5075" w:rsidP="00DD0422">
            <w:pPr>
              <w:pStyle w:val="Zhlav"/>
              <w:rPr>
                <w:rFonts w:cs="Tahoma"/>
                <w:sz w:val="20"/>
              </w:rPr>
            </w:pPr>
          </w:p>
        </w:tc>
        <w:tc>
          <w:tcPr>
            <w:tcW w:w="2127" w:type="dxa"/>
            <w:shd w:val="clear" w:color="auto" w:fill="auto"/>
          </w:tcPr>
          <w:p w14:paraId="5C4F2636" w14:textId="77777777" w:rsidR="00CB5075" w:rsidRPr="00BF0272" w:rsidRDefault="00CB5075" w:rsidP="00DD0422">
            <w:pPr>
              <w:pStyle w:val="Zhlav"/>
              <w:rPr>
                <w:rFonts w:cs="Tahoma"/>
                <w:color w:val="808080"/>
                <w:sz w:val="20"/>
              </w:rPr>
            </w:pPr>
            <w:r w:rsidRPr="00BF0272">
              <w:rPr>
                <w:rFonts w:cs="Tahoma"/>
                <w:color w:val="808080"/>
                <w:sz w:val="20"/>
              </w:rPr>
              <w:t>Resslova 935/3</w:t>
            </w:r>
          </w:p>
        </w:tc>
        <w:tc>
          <w:tcPr>
            <w:tcW w:w="2126" w:type="dxa"/>
            <w:shd w:val="clear" w:color="auto" w:fill="auto"/>
          </w:tcPr>
          <w:p w14:paraId="6379D2DC" w14:textId="77777777" w:rsidR="00CB5075" w:rsidRPr="00BF0272" w:rsidRDefault="00CB5075" w:rsidP="00DD0422">
            <w:pPr>
              <w:pStyle w:val="Zhlav"/>
              <w:rPr>
                <w:rFonts w:cs="Tahoma"/>
                <w:color w:val="808080"/>
                <w:sz w:val="20"/>
              </w:rPr>
            </w:pPr>
            <w:r w:rsidRPr="00BF0272">
              <w:rPr>
                <w:rFonts w:cs="Tahoma"/>
                <w:color w:val="808080"/>
                <w:sz w:val="20"/>
              </w:rPr>
              <w:t>DIČ: CZ00529745</w:t>
            </w:r>
          </w:p>
        </w:tc>
        <w:tc>
          <w:tcPr>
            <w:tcW w:w="1677" w:type="dxa"/>
            <w:shd w:val="clear" w:color="auto" w:fill="auto"/>
          </w:tcPr>
          <w:p w14:paraId="539B3BAE" w14:textId="77777777" w:rsidR="00CB5075" w:rsidRPr="00BF0272" w:rsidRDefault="00C579EA" w:rsidP="00DD0422">
            <w:pPr>
              <w:pStyle w:val="Zhlav"/>
              <w:rPr>
                <w:rFonts w:cs="Tahoma"/>
                <w:color w:val="808080"/>
                <w:sz w:val="20"/>
              </w:rPr>
            </w:pPr>
            <w:hyperlink r:id="rId12" w:history="1">
              <w:r w:rsidR="00CB5075" w:rsidRPr="00BF0272">
                <w:rPr>
                  <w:rStyle w:val="Hypertextovodkaz"/>
                  <w:rFonts w:cs="Tahoma"/>
                  <w:color w:val="808080"/>
                  <w:sz w:val="20"/>
                  <w:u w:val="none"/>
                </w:rPr>
                <w:t>ortex@ortex.cz</w:t>
              </w:r>
            </w:hyperlink>
          </w:p>
        </w:tc>
      </w:tr>
      <w:tr w:rsidR="00CB5075" w:rsidRPr="001161B0" w14:paraId="7D5DF015" w14:textId="77777777" w:rsidTr="5433E93C">
        <w:tc>
          <w:tcPr>
            <w:tcW w:w="4536" w:type="dxa"/>
            <w:vMerge/>
          </w:tcPr>
          <w:p w14:paraId="04C58568" w14:textId="77777777" w:rsidR="00CB5075" w:rsidRPr="00BF0272" w:rsidRDefault="00CB5075" w:rsidP="00DD0422">
            <w:pPr>
              <w:pStyle w:val="Zhlav"/>
              <w:rPr>
                <w:rFonts w:cs="Tahoma"/>
                <w:sz w:val="20"/>
              </w:rPr>
            </w:pPr>
          </w:p>
        </w:tc>
        <w:tc>
          <w:tcPr>
            <w:tcW w:w="2127" w:type="dxa"/>
            <w:shd w:val="clear" w:color="auto" w:fill="auto"/>
          </w:tcPr>
          <w:p w14:paraId="289B94CA" w14:textId="77777777" w:rsidR="00CB5075" w:rsidRPr="00BF0272" w:rsidRDefault="00CB5075" w:rsidP="00DD0422">
            <w:pPr>
              <w:pStyle w:val="Zhlav"/>
              <w:rPr>
                <w:rFonts w:cs="Tahoma"/>
                <w:color w:val="808080"/>
                <w:sz w:val="20"/>
              </w:rPr>
            </w:pPr>
            <w:r w:rsidRPr="00BF0272">
              <w:rPr>
                <w:rFonts w:cs="Tahoma"/>
                <w:color w:val="808080"/>
                <w:sz w:val="20"/>
              </w:rPr>
              <w:t>500 02 Hradec Králové</w:t>
            </w:r>
          </w:p>
        </w:tc>
        <w:tc>
          <w:tcPr>
            <w:tcW w:w="2126" w:type="dxa"/>
            <w:shd w:val="clear" w:color="auto" w:fill="auto"/>
          </w:tcPr>
          <w:p w14:paraId="73A7D116" w14:textId="77777777" w:rsidR="00CB5075" w:rsidRPr="00BF0272" w:rsidRDefault="00CB5075" w:rsidP="00DD0422">
            <w:pPr>
              <w:pStyle w:val="Zhlav"/>
              <w:rPr>
                <w:rFonts w:cs="Tahoma"/>
                <w:color w:val="808080"/>
                <w:sz w:val="20"/>
              </w:rPr>
            </w:pPr>
            <w:r w:rsidRPr="00BF0272">
              <w:rPr>
                <w:rFonts w:cs="Tahoma"/>
                <w:color w:val="808080"/>
                <w:sz w:val="20"/>
              </w:rPr>
              <w:t>Č.ú.: 101600021/2010</w:t>
            </w:r>
          </w:p>
        </w:tc>
        <w:tc>
          <w:tcPr>
            <w:tcW w:w="1677" w:type="dxa"/>
            <w:shd w:val="clear" w:color="auto" w:fill="auto"/>
          </w:tcPr>
          <w:p w14:paraId="080D32AE" w14:textId="77777777" w:rsidR="00CB5075" w:rsidRPr="00BF0272" w:rsidRDefault="00C579EA" w:rsidP="00DD0422">
            <w:pPr>
              <w:pStyle w:val="Zhlav"/>
              <w:rPr>
                <w:rFonts w:cs="Tahoma"/>
                <w:color w:val="808080"/>
                <w:sz w:val="20"/>
              </w:rPr>
            </w:pPr>
            <w:hyperlink r:id="rId13" w:history="1">
              <w:r w:rsidR="00CB5075" w:rsidRPr="00BF0272">
                <w:rPr>
                  <w:rStyle w:val="Hypertextovodkaz"/>
                  <w:rFonts w:cs="Tahoma"/>
                  <w:color w:val="808080"/>
                  <w:sz w:val="20"/>
                  <w:u w:val="none"/>
                </w:rPr>
                <w:t>www.ortex.cz</w:t>
              </w:r>
            </w:hyperlink>
          </w:p>
        </w:tc>
      </w:tr>
    </w:tbl>
    <w:p w14:paraId="17D062A6" w14:textId="77777777" w:rsidR="00CB5075" w:rsidRPr="008A34B8" w:rsidRDefault="00CB5075" w:rsidP="00CB5075">
      <w:pPr>
        <w:pStyle w:val="Zhlav"/>
        <w:pBdr>
          <w:bottom w:val="single" w:sz="6" w:space="1" w:color="auto"/>
        </w:pBdr>
        <w:rPr>
          <w:rFonts w:cs="Tahoma"/>
          <w:sz w:val="14"/>
        </w:rPr>
      </w:pPr>
    </w:p>
    <w:p w14:paraId="30652816" w14:textId="77777777" w:rsidR="00CB5075" w:rsidRPr="00D40390" w:rsidRDefault="00CB5075" w:rsidP="00CB5075">
      <w:pPr>
        <w:pStyle w:val="Zhlav"/>
        <w:rPr>
          <w:rFonts w:cs="Tahoma"/>
          <w:sz w:val="14"/>
        </w:rPr>
      </w:pPr>
    </w:p>
    <w:p w14:paraId="058F1A47" w14:textId="77777777" w:rsidR="00A345E7" w:rsidRPr="00776339" w:rsidRDefault="00A345E7" w:rsidP="00135431">
      <w:pPr>
        <w:pStyle w:val="Nzevsmlouvy"/>
        <w:spacing w:line="240" w:lineRule="auto"/>
        <w:rPr>
          <w:rFonts w:ascii="Cambria" w:hAnsi="Cambria"/>
          <w:sz w:val="28"/>
          <w:szCs w:val="28"/>
        </w:rPr>
      </w:pPr>
    </w:p>
    <w:p w14:paraId="1C1CFB21" w14:textId="6779976F" w:rsidR="00135431" w:rsidRPr="00502812" w:rsidRDefault="00135431" w:rsidP="00135431">
      <w:pPr>
        <w:pStyle w:val="Nzevsmlouvy"/>
        <w:spacing w:line="240" w:lineRule="auto"/>
        <w:rPr>
          <w:rFonts w:ascii="Cambria" w:hAnsi="Cambria"/>
          <w:sz w:val="40"/>
          <w:szCs w:val="40"/>
        </w:rPr>
      </w:pPr>
      <w:r w:rsidRPr="00502812">
        <w:rPr>
          <w:rFonts w:ascii="Cambria" w:hAnsi="Cambria"/>
          <w:sz w:val="40"/>
          <w:szCs w:val="40"/>
        </w:rPr>
        <w:t xml:space="preserve">Licenční smlouva </w:t>
      </w:r>
    </w:p>
    <w:p w14:paraId="1C1CFB22" w14:textId="25D293C8" w:rsidR="00135431" w:rsidRDefault="09C4CBC8" w:rsidP="00135431">
      <w:pPr>
        <w:pStyle w:val="Nzevsmlouvy"/>
        <w:spacing w:line="240" w:lineRule="auto"/>
        <w:rPr>
          <w:rFonts w:ascii="Cambria" w:hAnsi="Cambria"/>
          <w:sz w:val="24"/>
          <w:szCs w:val="24"/>
        </w:rPr>
      </w:pPr>
      <w:r w:rsidRPr="09C4CBC8">
        <w:rPr>
          <w:rFonts w:ascii="Cambria" w:hAnsi="Cambria"/>
          <w:sz w:val="24"/>
          <w:szCs w:val="24"/>
        </w:rPr>
        <w:t>č.  LIC/20/P1466/209</w:t>
      </w:r>
    </w:p>
    <w:p w14:paraId="1C1CFB23" w14:textId="77777777" w:rsidR="00135431" w:rsidRPr="000A2E47" w:rsidRDefault="00135431" w:rsidP="00135431">
      <w:pPr>
        <w:pStyle w:val="Nzevsmlouvy"/>
        <w:spacing w:line="240" w:lineRule="auto"/>
        <w:rPr>
          <w:rFonts w:ascii="Calibri" w:hAnsi="Calibri"/>
          <w:sz w:val="28"/>
        </w:rPr>
      </w:pPr>
    </w:p>
    <w:p w14:paraId="1C1CFB24" w14:textId="77777777" w:rsidR="00135431" w:rsidRPr="00BF0272" w:rsidRDefault="00135431" w:rsidP="00135431">
      <w:pPr>
        <w:pStyle w:val="Smluvnstrana"/>
        <w:spacing w:line="240" w:lineRule="auto"/>
        <w:ind w:left="1701" w:hanging="1701"/>
        <w:rPr>
          <w:rFonts w:ascii="Calibri" w:hAnsi="Calibri"/>
          <w:sz w:val="22"/>
          <w:szCs w:val="22"/>
        </w:rPr>
      </w:pPr>
      <w:r w:rsidRPr="00BF0272">
        <w:rPr>
          <w:rFonts w:ascii="Calibri" w:hAnsi="Calibri"/>
          <w:sz w:val="22"/>
          <w:szCs w:val="22"/>
        </w:rPr>
        <w:t>Poskytovatel:</w:t>
      </w:r>
      <w:r w:rsidRPr="00BF0272">
        <w:rPr>
          <w:rFonts w:ascii="Calibri" w:hAnsi="Calibri"/>
          <w:b w:val="0"/>
          <w:sz w:val="22"/>
          <w:szCs w:val="22"/>
        </w:rPr>
        <w:tab/>
      </w:r>
      <w:r w:rsidRPr="00BF0272">
        <w:rPr>
          <w:rFonts w:ascii="Calibri" w:hAnsi="Calibri"/>
          <w:sz w:val="22"/>
          <w:szCs w:val="22"/>
        </w:rPr>
        <w:t>ORTEX spol. s r.o</w:t>
      </w:r>
      <w:r w:rsidRPr="00BF0272">
        <w:rPr>
          <w:rFonts w:ascii="Calibri" w:hAnsi="Calibri"/>
          <w:b w:val="0"/>
          <w:sz w:val="22"/>
          <w:szCs w:val="22"/>
        </w:rPr>
        <w:t>. se sídlem v Hradci Králové, Resslova 935/3 (PSČ: 500 02)</w:t>
      </w:r>
    </w:p>
    <w:p w14:paraId="1C1CFB25" w14:textId="77777777" w:rsidR="00135431" w:rsidRPr="00131823" w:rsidRDefault="00135431" w:rsidP="00135431">
      <w:pPr>
        <w:pStyle w:val="Smluvnstrana"/>
        <w:spacing w:line="240" w:lineRule="auto"/>
        <w:ind w:left="1701" w:hanging="1701"/>
        <w:rPr>
          <w:rFonts w:ascii="Calibri" w:hAnsi="Calibri"/>
          <w:b w:val="0"/>
          <w:sz w:val="22"/>
          <w:szCs w:val="22"/>
        </w:rPr>
      </w:pPr>
      <w:r w:rsidRPr="00131823">
        <w:rPr>
          <w:rFonts w:ascii="Calibri" w:hAnsi="Calibri"/>
          <w:b w:val="0"/>
          <w:sz w:val="22"/>
          <w:szCs w:val="22"/>
        </w:rPr>
        <w:t>Zástupce:</w:t>
      </w:r>
      <w:r w:rsidRPr="00131823">
        <w:rPr>
          <w:rFonts w:ascii="Calibri" w:hAnsi="Calibri"/>
          <w:b w:val="0"/>
          <w:sz w:val="22"/>
          <w:szCs w:val="22"/>
        </w:rPr>
        <w:tab/>
        <w:t>Ing. Jan Vaněk, jednatel</w:t>
      </w:r>
    </w:p>
    <w:p w14:paraId="1C1CFB26" w14:textId="77777777" w:rsidR="00135431" w:rsidRPr="00BF0272" w:rsidRDefault="00135431" w:rsidP="00135431">
      <w:pPr>
        <w:pStyle w:val="Smluvnstrana"/>
        <w:spacing w:line="240" w:lineRule="auto"/>
        <w:ind w:left="1701" w:hanging="1701"/>
        <w:rPr>
          <w:rFonts w:ascii="Calibri" w:hAnsi="Calibri"/>
          <w:b w:val="0"/>
          <w:sz w:val="22"/>
          <w:szCs w:val="22"/>
        </w:rPr>
      </w:pPr>
      <w:r w:rsidRPr="00BF0272">
        <w:rPr>
          <w:rFonts w:ascii="Calibri" w:hAnsi="Calibri"/>
          <w:b w:val="0"/>
          <w:sz w:val="22"/>
          <w:szCs w:val="22"/>
        </w:rPr>
        <w:t>IČ (DIČ):</w:t>
      </w:r>
      <w:r w:rsidRPr="00BF0272">
        <w:rPr>
          <w:rFonts w:ascii="Calibri" w:hAnsi="Calibri"/>
          <w:b w:val="0"/>
          <w:sz w:val="22"/>
          <w:szCs w:val="22"/>
        </w:rPr>
        <w:tab/>
        <w:t>00529745 (CZ00529745)</w:t>
      </w:r>
    </w:p>
    <w:p w14:paraId="1C1CFB27" w14:textId="77777777" w:rsidR="00135431" w:rsidRPr="00BF0272" w:rsidRDefault="00135431" w:rsidP="00135431">
      <w:pPr>
        <w:ind w:left="1701" w:hanging="1701"/>
        <w:jc w:val="both"/>
        <w:rPr>
          <w:sz w:val="18"/>
          <w:szCs w:val="18"/>
        </w:rPr>
      </w:pPr>
      <w:r w:rsidRPr="00BF0272">
        <w:rPr>
          <w:sz w:val="18"/>
          <w:szCs w:val="18"/>
        </w:rPr>
        <w:tab/>
        <w:t>Společnost je zapsána v obchodním rejstříku vedeném Krajským soudem v Hradci Králové, oddíl C, vložka 38.</w:t>
      </w:r>
    </w:p>
    <w:p w14:paraId="1C1CFB28" w14:textId="77777777" w:rsidR="00135431" w:rsidRDefault="00135431" w:rsidP="00135431">
      <w:pPr>
        <w:ind w:left="1701" w:hanging="1701"/>
        <w:jc w:val="both"/>
        <w:rPr>
          <w:rFonts w:ascii="Times New Roman" w:hAnsi="Times New Roman"/>
          <w:sz w:val="20"/>
        </w:rPr>
      </w:pPr>
    </w:p>
    <w:p w14:paraId="1C1CFB29" w14:textId="77777777" w:rsidR="00135431" w:rsidRPr="00A345E7" w:rsidRDefault="00135431" w:rsidP="00135431">
      <w:pPr>
        <w:pStyle w:val="Smluvnstrana"/>
        <w:spacing w:line="240" w:lineRule="auto"/>
        <w:ind w:left="1701" w:hanging="1701"/>
        <w:jc w:val="center"/>
        <w:rPr>
          <w:rFonts w:asciiTheme="minorHAnsi" w:hAnsiTheme="minorHAnsi"/>
          <w:b w:val="0"/>
          <w:sz w:val="22"/>
          <w:szCs w:val="22"/>
        </w:rPr>
      </w:pPr>
      <w:r w:rsidRPr="00A345E7">
        <w:rPr>
          <w:rFonts w:asciiTheme="minorHAnsi" w:hAnsiTheme="minorHAnsi"/>
          <w:b w:val="0"/>
          <w:sz w:val="22"/>
          <w:szCs w:val="22"/>
        </w:rPr>
        <w:t>a</w:t>
      </w:r>
    </w:p>
    <w:p w14:paraId="1C1CFB2A" w14:textId="77777777" w:rsidR="00135431" w:rsidRDefault="00135431" w:rsidP="00135431">
      <w:pPr>
        <w:pStyle w:val="Smluvnstrana"/>
        <w:spacing w:line="240" w:lineRule="auto"/>
        <w:ind w:left="1418" w:hanging="1418"/>
        <w:rPr>
          <w:sz w:val="20"/>
        </w:rPr>
      </w:pPr>
    </w:p>
    <w:p w14:paraId="1C1CFB2B" w14:textId="3BCC9877" w:rsidR="00135431" w:rsidRPr="00131823" w:rsidRDefault="00135431" w:rsidP="00135431">
      <w:pPr>
        <w:pStyle w:val="Smluvnstrana"/>
        <w:spacing w:line="240" w:lineRule="auto"/>
        <w:ind w:left="1701" w:hanging="1701"/>
        <w:rPr>
          <w:rFonts w:ascii="Calibri" w:hAnsi="Calibri"/>
          <w:b w:val="0"/>
          <w:sz w:val="22"/>
          <w:szCs w:val="22"/>
        </w:rPr>
      </w:pPr>
      <w:r w:rsidRPr="00BF0272">
        <w:rPr>
          <w:rFonts w:ascii="Calibri" w:hAnsi="Calibri"/>
          <w:sz w:val="22"/>
          <w:szCs w:val="22"/>
        </w:rPr>
        <w:t>Nabyvatel:</w:t>
      </w:r>
      <w:r w:rsidRPr="00BF0272">
        <w:rPr>
          <w:rFonts w:ascii="Calibri" w:hAnsi="Calibri"/>
          <w:sz w:val="22"/>
          <w:szCs w:val="22"/>
        </w:rPr>
        <w:tab/>
      </w:r>
      <w:r w:rsidR="00131823">
        <w:rPr>
          <w:rFonts w:ascii="Calibri" w:hAnsi="Calibri"/>
          <w:sz w:val="22"/>
          <w:szCs w:val="22"/>
        </w:rPr>
        <w:t>Jihlavské vodovody a kanalizace a.s.</w:t>
      </w:r>
      <w:r w:rsidR="00131823">
        <w:rPr>
          <w:rFonts w:ascii="Calibri" w:hAnsi="Calibri"/>
          <w:b w:val="0"/>
          <w:sz w:val="22"/>
          <w:szCs w:val="22"/>
        </w:rPr>
        <w:t xml:space="preserve"> se sídlem v Jihlavě, Masarykovo náměstí 97/1 </w:t>
      </w:r>
      <w:r w:rsidR="00131823" w:rsidRPr="00BF0272">
        <w:rPr>
          <w:rFonts w:ascii="Calibri" w:hAnsi="Calibri"/>
          <w:b w:val="0"/>
          <w:sz w:val="22"/>
          <w:szCs w:val="22"/>
        </w:rPr>
        <w:t xml:space="preserve">(PSČ: </w:t>
      </w:r>
      <w:r w:rsidR="00131823">
        <w:rPr>
          <w:rFonts w:ascii="Calibri" w:hAnsi="Calibri"/>
          <w:b w:val="0"/>
          <w:sz w:val="22"/>
          <w:szCs w:val="22"/>
        </w:rPr>
        <w:t>586 01</w:t>
      </w:r>
      <w:r w:rsidR="00131823" w:rsidRPr="00BF0272">
        <w:rPr>
          <w:rFonts w:ascii="Calibri" w:hAnsi="Calibri"/>
          <w:b w:val="0"/>
          <w:sz w:val="22"/>
          <w:szCs w:val="22"/>
        </w:rPr>
        <w:t>)</w:t>
      </w:r>
    </w:p>
    <w:p w14:paraId="1C1CFB2C" w14:textId="72B1C687" w:rsidR="00135431" w:rsidRPr="00131823" w:rsidRDefault="00135431" w:rsidP="00135431">
      <w:pPr>
        <w:pStyle w:val="Smluvnstrana"/>
        <w:spacing w:line="240" w:lineRule="auto"/>
        <w:ind w:left="1701" w:hanging="1701"/>
        <w:rPr>
          <w:rFonts w:ascii="Calibri" w:hAnsi="Calibri"/>
          <w:b w:val="0"/>
          <w:sz w:val="22"/>
          <w:szCs w:val="22"/>
        </w:rPr>
      </w:pPr>
      <w:r w:rsidRPr="00131823">
        <w:rPr>
          <w:rFonts w:ascii="Calibri" w:hAnsi="Calibri"/>
          <w:b w:val="0"/>
          <w:sz w:val="22"/>
          <w:szCs w:val="22"/>
        </w:rPr>
        <w:t>Zástupce:</w:t>
      </w:r>
      <w:r w:rsidRPr="00131823">
        <w:rPr>
          <w:rFonts w:ascii="Calibri" w:hAnsi="Calibri"/>
          <w:b w:val="0"/>
          <w:sz w:val="22"/>
          <w:szCs w:val="22"/>
        </w:rPr>
        <w:tab/>
      </w:r>
      <w:r w:rsidR="00131823" w:rsidRPr="00D6741D">
        <w:rPr>
          <w:rFonts w:ascii="Calibri" w:hAnsi="Calibri"/>
          <w:b w:val="0"/>
          <w:sz w:val="22"/>
          <w:szCs w:val="22"/>
        </w:rPr>
        <w:t>Ing. Miroslav Tomanec, MBA, předseda představenstva</w:t>
      </w:r>
    </w:p>
    <w:p w14:paraId="1C1CFB2D" w14:textId="5E81DD66" w:rsidR="00135431" w:rsidRPr="00BF0272" w:rsidRDefault="00135431" w:rsidP="00135431">
      <w:pPr>
        <w:pStyle w:val="Smluvnstrana"/>
        <w:spacing w:line="240" w:lineRule="auto"/>
        <w:ind w:left="1701" w:hanging="1701"/>
        <w:rPr>
          <w:rFonts w:ascii="Calibri" w:hAnsi="Calibri"/>
          <w:b w:val="0"/>
          <w:sz w:val="22"/>
          <w:szCs w:val="22"/>
        </w:rPr>
      </w:pPr>
      <w:r w:rsidRPr="00BF0272">
        <w:rPr>
          <w:rFonts w:ascii="Calibri" w:hAnsi="Calibri"/>
          <w:b w:val="0"/>
          <w:sz w:val="22"/>
          <w:szCs w:val="22"/>
        </w:rPr>
        <w:t>IČ (DIČ):</w:t>
      </w:r>
      <w:r w:rsidRPr="00BF0272">
        <w:rPr>
          <w:rFonts w:ascii="Calibri" w:hAnsi="Calibri"/>
          <w:b w:val="0"/>
          <w:sz w:val="22"/>
          <w:szCs w:val="22"/>
        </w:rPr>
        <w:tab/>
      </w:r>
      <w:r w:rsidR="00C60D11">
        <w:rPr>
          <w:rFonts w:ascii="Calibri" w:hAnsi="Calibri"/>
          <w:b w:val="0"/>
          <w:sz w:val="22"/>
          <w:szCs w:val="22"/>
        </w:rPr>
        <w:t>29248281 (CZ29248281)</w:t>
      </w:r>
    </w:p>
    <w:p w14:paraId="1C1CFB2E" w14:textId="0798B61E" w:rsidR="00135431" w:rsidRPr="00C60D11" w:rsidRDefault="00135431" w:rsidP="00135431">
      <w:pPr>
        <w:pStyle w:val="Smluvnstrana"/>
        <w:spacing w:line="240" w:lineRule="auto"/>
        <w:ind w:left="1701" w:hanging="1701"/>
        <w:rPr>
          <w:b w:val="0"/>
          <w:sz w:val="18"/>
          <w:szCs w:val="18"/>
        </w:rPr>
      </w:pPr>
      <w:r w:rsidRPr="00C60D11">
        <w:rPr>
          <w:sz w:val="18"/>
          <w:szCs w:val="18"/>
        </w:rPr>
        <w:tab/>
      </w:r>
      <w:r w:rsidRPr="00C60D11">
        <w:rPr>
          <w:b w:val="0"/>
          <w:sz w:val="18"/>
          <w:szCs w:val="18"/>
        </w:rPr>
        <w:t>Společnost je zapsána v obchodním rej</w:t>
      </w:r>
      <w:r w:rsidR="00515E4A" w:rsidRPr="00C60D11">
        <w:rPr>
          <w:b w:val="0"/>
          <w:sz w:val="18"/>
          <w:szCs w:val="18"/>
        </w:rPr>
        <w:t>střík</w:t>
      </w:r>
      <w:r w:rsidR="00B317D5" w:rsidRPr="00C60D11">
        <w:rPr>
          <w:b w:val="0"/>
          <w:sz w:val="18"/>
          <w:szCs w:val="18"/>
        </w:rPr>
        <w:t>u vedeném Krajským soudem v</w:t>
      </w:r>
      <w:r w:rsidR="00C60D11" w:rsidRPr="00C60D11">
        <w:rPr>
          <w:b w:val="0"/>
          <w:sz w:val="18"/>
          <w:szCs w:val="18"/>
        </w:rPr>
        <w:t xml:space="preserve"> Brně</w:t>
      </w:r>
      <w:r w:rsidRPr="00C60D11">
        <w:rPr>
          <w:b w:val="0"/>
          <w:sz w:val="18"/>
          <w:szCs w:val="18"/>
        </w:rPr>
        <w:t xml:space="preserve">, oddíl </w:t>
      </w:r>
      <w:r w:rsidR="00C60D11" w:rsidRPr="00C60D11">
        <w:rPr>
          <w:b w:val="0"/>
          <w:sz w:val="18"/>
          <w:szCs w:val="18"/>
        </w:rPr>
        <w:t>B</w:t>
      </w:r>
      <w:r w:rsidRPr="00C60D11">
        <w:rPr>
          <w:b w:val="0"/>
          <w:sz w:val="18"/>
          <w:szCs w:val="18"/>
        </w:rPr>
        <w:t xml:space="preserve">, vložka </w:t>
      </w:r>
      <w:r w:rsidR="00C60D11" w:rsidRPr="00C60D11">
        <w:rPr>
          <w:b w:val="0"/>
          <w:sz w:val="18"/>
          <w:szCs w:val="18"/>
        </w:rPr>
        <w:t>6233</w:t>
      </w:r>
      <w:r w:rsidRPr="00C60D11">
        <w:rPr>
          <w:b w:val="0"/>
          <w:sz w:val="18"/>
          <w:szCs w:val="18"/>
        </w:rPr>
        <w:t>.</w:t>
      </w:r>
    </w:p>
    <w:p w14:paraId="1C1CFB2F" w14:textId="77777777" w:rsidR="00135431" w:rsidRPr="00472EE7" w:rsidRDefault="00135431" w:rsidP="00135431">
      <w:pPr>
        <w:pStyle w:val="Identifikacestran"/>
        <w:spacing w:line="240" w:lineRule="auto"/>
        <w:jc w:val="center"/>
        <w:rPr>
          <w:rFonts w:ascii="Calibri" w:hAnsi="Calibri"/>
          <w:b/>
          <w:bCs/>
          <w:sz w:val="22"/>
          <w:szCs w:val="22"/>
        </w:rPr>
      </w:pPr>
    </w:p>
    <w:p w14:paraId="1C1CFB30" w14:textId="1658FCFF" w:rsidR="00135431" w:rsidRDefault="00923539" w:rsidP="00135431">
      <w:pPr>
        <w:rPr>
          <w:sz w:val="22"/>
          <w:szCs w:val="22"/>
        </w:rPr>
      </w:pPr>
      <w:r>
        <w:rPr>
          <w:sz w:val="22"/>
          <w:szCs w:val="22"/>
        </w:rPr>
        <w:t>(dále jen „smluvní strany“)</w:t>
      </w:r>
    </w:p>
    <w:p w14:paraId="46ED3D64" w14:textId="77777777" w:rsidR="00923539" w:rsidRPr="00472EE7" w:rsidRDefault="00923539" w:rsidP="00135431">
      <w:pPr>
        <w:rPr>
          <w:sz w:val="22"/>
          <w:szCs w:val="22"/>
        </w:rPr>
      </w:pPr>
    </w:p>
    <w:p w14:paraId="1C1CFB32" w14:textId="32AD60E0" w:rsidR="00135431" w:rsidRPr="00DD3182" w:rsidRDefault="00135431" w:rsidP="00135431">
      <w:pPr>
        <w:jc w:val="both"/>
        <w:rPr>
          <w:sz w:val="22"/>
          <w:szCs w:val="22"/>
        </w:rPr>
      </w:pPr>
      <w:r w:rsidRPr="00BF0272">
        <w:rPr>
          <w:sz w:val="22"/>
          <w:szCs w:val="22"/>
        </w:rPr>
        <w:t xml:space="preserve">uzavřeli tuto </w:t>
      </w:r>
      <w:r w:rsidRPr="00BF0272">
        <w:rPr>
          <w:b/>
          <w:sz w:val="22"/>
          <w:szCs w:val="22"/>
        </w:rPr>
        <w:t xml:space="preserve">licenční smlouvu o poskytnutí oprávnění k výkonu práva užít počítačový program </w:t>
      </w:r>
      <w:r w:rsidRPr="00BF0272">
        <w:rPr>
          <w:sz w:val="22"/>
          <w:szCs w:val="22"/>
        </w:rPr>
        <w:t xml:space="preserve">v souladu s ustanovením § 2358 a násl. zákona č. 89/2012 Sb., občanský zákoník, </w:t>
      </w:r>
      <w:r w:rsidR="006703A1">
        <w:rPr>
          <w:sz w:val="22"/>
          <w:szCs w:val="22"/>
        </w:rPr>
        <w:t xml:space="preserve">v platném znění </w:t>
      </w:r>
      <w:r w:rsidRPr="00BF0272">
        <w:rPr>
          <w:sz w:val="22"/>
          <w:szCs w:val="22"/>
        </w:rPr>
        <w:t>a v souladu se zákonem č.</w:t>
      </w:r>
      <w:r w:rsidR="000323B3">
        <w:rPr>
          <w:sz w:val="22"/>
          <w:szCs w:val="22"/>
        </w:rPr>
        <w:t> </w:t>
      </w:r>
      <w:r w:rsidRPr="00BF0272">
        <w:rPr>
          <w:sz w:val="22"/>
          <w:szCs w:val="22"/>
        </w:rPr>
        <w:t xml:space="preserve">121/2000 Sb., o právu autorském, o právech souvisejících s právem autorským a o změně některých zákonů (autorský zákon), </w:t>
      </w:r>
      <w:r w:rsidRPr="00DD3182">
        <w:rPr>
          <w:sz w:val="22"/>
          <w:szCs w:val="22"/>
        </w:rPr>
        <w:t>v platném znění (dále jen “smlouva”):</w:t>
      </w:r>
    </w:p>
    <w:p w14:paraId="1C1CFB33" w14:textId="77777777" w:rsidR="00135431" w:rsidRDefault="00135431" w:rsidP="00135431">
      <w:pPr>
        <w:jc w:val="both"/>
        <w:rPr>
          <w:sz w:val="22"/>
          <w:szCs w:val="22"/>
        </w:rPr>
      </w:pPr>
    </w:p>
    <w:p w14:paraId="14255D4C" w14:textId="77777777" w:rsidR="008A005E" w:rsidRPr="00DD3182" w:rsidRDefault="008A005E" w:rsidP="00135431">
      <w:pPr>
        <w:jc w:val="both"/>
        <w:rPr>
          <w:sz w:val="22"/>
          <w:szCs w:val="22"/>
        </w:rPr>
      </w:pPr>
    </w:p>
    <w:p w14:paraId="1C1CFB3B" w14:textId="77777777" w:rsidR="00135431" w:rsidRPr="00DD3182" w:rsidRDefault="00135431" w:rsidP="00135431">
      <w:pPr>
        <w:ind w:left="709"/>
        <w:jc w:val="both"/>
        <w:rPr>
          <w:color w:val="FF0000"/>
          <w:sz w:val="22"/>
          <w:szCs w:val="22"/>
        </w:rPr>
      </w:pPr>
    </w:p>
    <w:p w14:paraId="1C1CFB3C" w14:textId="77777777" w:rsidR="00135431" w:rsidRDefault="00135431" w:rsidP="00135431">
      <w:pPr>
        <w:numPr>
          <w:ilvl w:val="0"/>
          <w:numId w:val="1"/>
        </w:numPr>
        <w:jc w:val="both"/>
        <w:rPr>
          <w:rFonts w:ascii="Cambria" w:hAnsi="Cambria"/>
          <w:b/>
          <w:szCs w:val="24"/>
        </w:rPr>
      </w:pPr>
      <w:r>
        <w:rPr>
          <w:rFonts w:ascii="Cambria" w:hAnsi="Cambria"/>
          <w:b/>
          <w:szCs w:val="24"/>
        </w:rPr>
        <w:t>PŘEDMĚT SMLOUVY</w:t>
      </w:r>
    </w:p>
    <w:p w14:paraId="1C1CFB3D" w14:textId="6195886A" w:rsidR="00135431" w:rsidRPr="00BF0272" w:rsidRDefault="00135431" w:rsidP="00135431">
      <w:pPr>
        <w:ind w:left="709"/>
        <w:jc w:val="both"/>
        <w:rPr>
          <w:sz w:val="22"/>
          <w:szCs w:val="22"/>
        </w:rPr>
      </w:pPr>
      <w:r w:rsidRPr="00BF0272">
        <w:rPr>
          <w:sz w:val="22"/>
          <w:szCs w:val="22"/>
        </w:rPr>
        <w:t>Poskytovatel se na základě této smlouvy zavazuje poskytnout nabyvateli oprávnění k výkonu práva užít počítačový program (dále též „licenci“), popř. další s tím související plnění (společně dále jen „předmět plnění“), jejichž podrobná specifikace je uvedena v Příloze č. 1 této smlouvy, a to za cenu a za podmínek dále v této smlouvě sjednaných</w:t>
      </w:r>
      <w:r w:rsidR="006703A1">
        <w:rPr>
          <w:sz w:val="22"/>
          <w:szCs w:val="22"/>
        </w:rPr>
        <w:t xml:space="preserve"> na dobu </w:t>
      </w:r>
      <w:r w:rsidR="006703A1" w:rsidRPr="00821054">
        <w:rPr>
          <w:sz w:val="22"/>
          <w:szCs w:val="22"/>
        </w:rPr>
        <w:t>neurčitou</w:t>
      </w:r>
      <w:r w:rsidRPr="00BF0272">
        <w:rPr>
          <w:sz w:val="22"/>
          <w:szCs w:val="22"/>
        </w:rPr>
        <w:t>. Samotný počítačový program se dále v této smlouvě označuje jen jako „software“.</w:t>
      </w:r>
      <w:r w:rsidR="006703A1">
        <w:rPr>
          <w:sz w:val="22"/>
          <w:szCs w:val="22"/>
        </w:rPr>
        <w:t xml:space="preserve"> Licence je poskytnuta k funkčním verzím a jednotlivým modulům předmětu licence</w:t>
      </w:r>
      <w:r w:rsidR="007E3844">
        <w:rPr>
          <w:sz w:val="22"/>
          <w:szCs w:val="22"/>
        </w:rPr>
        <w:t xml:space="preserve"> uvedený</w:t>
      </w:r>
      <w:r w:rsidR="008A4529">
        <w:rPr>
          <w:sz w:val="22"/>
          <w:szCs w:val="22"/>
        </w:rPr>
        <w:t>m v Příloze č. 1</w:t>
      </w:r>
      <w:r w:rsidR="006703A1">
        <w:rPr>
          <w:sz w:val="22"/>
          <w:szCs w:val="22"/>
        </w:rPr>
        <w:t>. Licence je udělena pro všechny způsoby užití. Nabyvatel má právo zcela nebo částečně postoupit licenci které</w:t>
      </w:r>
      <w:r w:rsidR="00462264">
        <w:rPr>
          <w:sz w:val="22"/>
          <w:szCs w:val="22"/>
        </w:rPr>
        <w:t>mu</w:t>
      </w:r>
      <w:r w:rsidR="006703A1">
        <w:rPr>
          <w:sz w:val="22"/>
          <w:szCs w:val="22"/>
        </w:rPr>
        <w:t xml:space="preserve">koliv </w:t>
      </w:r>
      <w:r w:rsidR="00462264">
        <w:rPr>
          <w:sz w:val="22"/>
          <w:szCs w:val="22"/>
        </w:rPr>
        <w:t>subdodavateli</w:t>
      </w:r>
      <w:r w:rsidR="006703A1">
        <w:rPr>
          <w:sz w:val="22"/>
          <w:szCs w:val="22"/>
        </w:rPr>
        <w:t>, k čemuž tímto poskytovatel uděluje souhlas. Poskytovatel pr</w:t>
      </w:r>
      <w:r w:rsidR="003A1041">
        <w:rPr>
          <w:sz w:val="22"/>
          <w:szCs w:val="22"/>
        </w:rPr>
        <w:t>ohlašuje, že disponuje veškerými</w:t>
      </w:r>
      <w:r w:rsidR="006703A1">
        <w:rPr>
          <w:sz w:val="22"/>
          <w:szCs w:val="22"/>
        </w:rPr>
        <w:t xml:space="preserve"> právy vyplývajícími z duševního vlastnictví k poskytnutí </w:t>
      </w:r>
      <w:r w:rsidR="003A1041">
        <w:rPr>
          <w:sz w:val="22"/>
          <w:szCs w:val="22"/>
        </w:rPr>
        <w:t>výše uvedené licence, včetně všech práv v tomto článku uvedených.</w:t>
      </w:r>
      <w:r w:rsidR="00FD0F01">
        <w:rPr>
          <w:sz w:val="22"/>
          <w:szCs w:val="22"/>
        </w:rPr>
        <w:t xml:space="preserve"> </w:t>
      </w:r>
    </w:p>
    <w:p w14:paraId="1C1CFB3E" w14:textId="77777777" w:rsidR="00135431" w:rsidRPr="00BF0272" w:rsidRDefault="00135431" w:rsidP="00135431">
      <w:pPr>
        <w:ind w:left="709"/>
        <w:jc w:val="both"/>
        <w:rPr>
          <w:sz w:val="22"/>
          <w:szCs w:val="22"/>
        </w:rPr>
      </w:pPr>
    </w:p>
    <w:p w14:paraId="1C1CFB3F" w14:textId="77777777" w:rsidR="00135431" w:rsidRPr="00BF0272" w:rsidRDefault="00135431" w:rsidP="00135431">
      <w:pPr>
        <w:ind w:left="709"/>
        <w:jc w:val="both"/>
        <w:rPr>
          <w:sz w:val="22"/>
          <w:szCs w:val="22"/>
        </w:rPr>
      </w:pPr>
      <w:r w:rsidRPr="00BF0272">
        <w:rPr>
          <w:sz w:val="22"/>
          <w:szCs w:val="22"/>
        </w:rPr>
        <w:t xml:space="preserve">Nabyvatel se touto smlouvou zavazuje vyvinout stanovenou součinnost k převzetí předmětu plnění a dále se zavazuje zaplatit poskytovateli dohodnutou cenu. </w:t>
      </w:r>
    </w:p>
    <w:p w14:paraId="1C1CFB40" w14:textId="77777777" w:rsidR="00135431" w:rsidRDefault="00135431" w:rsidP="00135431">
      <w:pPr>
        <w:rPr>
          <w:b/>
          <w:sz w:val="22"/>
          <w:szCs w:val="22"/>
        </w:rPr>
      </w:pPr>
    </w:p>
    <w:p w14:paraId="7878ECD2" w14:textId="77777777" w:rsidR="008A005E" w:rsidRPr="00DD3182" w:rsidRDefault="008A005E" w:rsidP="00135431">
      <w:pPr>
        <w:rPr>
          <w:b/>
          <w:sz w:val="22"/>
          <w:szCs w:val="22"/>
        </w:rPr>
      </w:pPr>
    </w:p>
    <w:p w14:paraId="1C1CFB41" w14:textId="77777777" w:rsidR="00135431" w:rsidRDefault="00135431" w:rsidP="00135431">
      <w:pPr>
        <w:numPr>
          <w:ilvl w:val="0"/>
          <w:numId w:val="1"/>
        </w:numPr>
        <w:jc w:val="both"/>
        <w:rPr>
          <w:rFonts w:ascii="Cambria" w:hAnsi="Cambria"/>
          <w:b/>
          <w:szCs w:val="24"/>
        </w:rPr>
      </w:pPr>
      <w:r>
        <w:rPr>
          <w:rFonts w:ascii="Cambria" w:hAnsi="Cambria"/>
          <w:b/>
          <w:szCs w:val="24"/>
        </w:rPr>
        <w:t xml:space="preserve">MÍSTO A TERMÍN DODÁNÍ </w:t>
      </w:r>
    </w:p>
    <w:p w14:paraId="1C1CFB42" w14:textId="77777777" w:rsidR="00135431" w:rsidRPr="00BF0272" w:rsidRDefault="00135431" w:rsidP="00135431">
      <w:pPr>
        <w:ind w:left="709"/>
        <w:jc w:val="both"/>
        <w:rPr>
          <w:sz w:val="22"/>
          <w:szCs w:val="22"/>
        </w:rPr>
      </w:pPr>
      <w:r w:rsidRPr="00BF0272">
        <w:rPr>
          <w:sz w:val="22"/>
          <w:szCs w:val="22"/>
        </w:rPr>
        <w:t xml:space="preserve">Místem dodání předmětu plnění je sídlo nabyvatele, není-li v Příloze č. 1 této smlouvy stanoveno jinak. </w:t>
      </w:r>
    </w:p>
    <w:p w14:paraId="1C1CFB43" w14:textId="77777777" w:rsidR="00135431" w:rsidRPr="00BF0272" w:rsidRDefault="00135431" w:rsidP="00135431">
      <w:pPr>
        <w:ind w:left="709"/>
        <w:jc w:val="both"/>
        <w:rPr>
          <w:sz w:val="22"/>
          <w:szCs w:val="22"/>
        </w:rPr>
      </w:pPr>
      <w:bookmarkStart w:id="0" w:name="_Ref70684550"/>
    </w:p>
    <w:p w14:paraId="1C1CFB44" w14:textId="2A44C2C7" w:rsidR="00135431" w:rsidRDefault="00135431" w:rsidP="00135431">
      <w:pPr>
        <w:ind w:left="709"/>
        <w:jc w:val="both"/>
        <w:rPr>
          <w:sz w:val="22"/>
          <w:szCs w:val="22"/>
        </w:rPr>
      </w:pPr>
      <w:r w:rsidRPr="00BF0272">
        <w:rPr>
          <w:sz w:val="22"/>
          <w:szCs w:val="22"/>
        </w:rPr>
        <w:t>Termín dodání předmětu plnění je stanoven v Příloze č. 1 této smlouvy.</w:t>
      </w:r>
      <w:bookmarkEnd w:id="0"/>
      <w:r w:rsidRPr="00BF0272">
        <w:rPr>
          <w:sz w:val="22"/>
          <w:szCs w:val="22"/>
        </w:rPr>
        <w:t xml:space="preserve"> Předmět plnění může být členěn na</w:t>
      </w:r>
      <w:r w:rsidR="000323B3">
        <w:rPr>
          <w:sz w:val="22"/>
          <w:szCs w:val="22"/>
        </w:rPr>
        <w:t> </w:t>
      </w:r>
      <w:r w:rsidRPr="00BF0272">
        <w:rPr>
          <w:sz w:val="22"/>
          <w:szCs w:val="22"/>
        </w:rPr>
        <w:t>dílčí plnění, která budou plněna postupně.</w:t>
      </w:r>
    </w:p>
    <w:p w14:paraId="16444AF1" w14:textId="77777777" w:rsidR="00DC6685" w:rsidRDefault="00DC6685" w:rsidP="00135431">
      <w:pPr>
        <w:ind w:left="709"/>
        <w:jc w:val="both"/>
        <w:rPr>
          <w:sz w:val="22"/>
          <w:szCs w:val="22"/>
        </w:rPr>
      </w:pPr>
    </w:p>
    <w:p w14:paraId="522227AE" w14:textId="77777777" w:rsidR="008A005E" w:rsidRDefault="008A005E" w:rsidP="00135431">
      <w:pPr>
        <w:ind w:left="709"/>
        <w:jc w:val="both"/>
        <w:rPr>
          <w:sz w:val="22"/>
          <w:szCs w:val="22"/>
        </w:rPr>
      </w:pPr>
    </w:p>
    <w:p w14:paraId="03590D90" w14:textId="77777777" w:rsidR="008A005E" w:rsidRPr="00BF0272" w:rsidRDefault="008A005E" w:rsidP="00135431">
      <w:pPr>
        <w:ind w:left="709"/>
        <w:jc w:val="both"/>
        <w:rPr>
          <w:sz w:val="22"/>
          <w:szCs w:val="22"/>
        </w:rPr>
      </w:pPr>
    </w:p>
    <w:p w14:paraId="1C1CFB48" w14:textId="77777777" w:rsidR="00135431" w:rsidRDefault="00135431" w:rsidP="00135431">
      <w:pPr>
        <w:numPr>
          <w:ilvl w:val="0"/>
          <w:numId w:val="1"/>
        </w:numPr>
        <w:jc w:val="both"/>
        <w:rPr>
          <w:rFonts w:ascii="Cambria" w:hAnsi="Cambria"/>
          <w:b/>
          <w:szCs w:val="24"/>
        </w:rPr>
      </w:pPr>
      <w:bookmarkStart w:id="1" w:name="_Ref73180706"/>
      <w:r>
        <w:rPr>
          <w:rFonts w:ascii="Cambria" w:hAnsi="Cambria"/>
          <w:b/>
          <w:szCs w:val="24"/>
        </w:rPr>
        <w:lastRenderedPageBreak/>
        <w:t>CENA A PLATEBNÍ PODMÍNKY</w:t>
      </w:r>
      <w:bookmarkEnd w:id="1"/>
    </w:p>
    <w:p w14:paraId="1C1CFB4A" w14:textId="09DDEC94" w:rsidR="00135431" w:rsidRPr="00BF0272" w:rsidRDefault="00135431" w:rsidP="00135431">
      <w:pPr>
        <w:ind w:firstLine="709"/>
        <w:jc w:val="both"/>
        <w:rPr>
          <w:sz w:val="22"/>
          <w:szCs w:val="22"/>
        </w:rPr>
      </w:pPr>
      <w:bookmarkStart w:id="2" w:name="_Ref72919586"/>
      <w:r w:rsidRPr="00BF0272">
        <w:rPr>
          <w:sz w:val="22"/>
          <w:szCs w:val="22"/>
        </w:rPr>
        <w:t>Celková cena za předmět plnění byla dohodou smluvních stran sjednána v této výši</w:t>
      </w:r>
      <w:r w:rsidR="00617476">
        <w:rPr>
          <w:sz w:val="22"/>
          <w:szCs w:val="22"/>
        </w:rPr>
        <w:t xml:space="preserve"> bez ohledu </w:t>
      </w:r>
      <w:r w:rsidR="00E26E16">
        <w:rPr>
          <w:sz w:val="22"/>
          <w:szCs w:val="22"/>
        </w:rPr>
        <w:t>na dobu trvání licence</w:t>
      </w:r>
      <w:r w:rsidRPr="00BF0272">
        <w:rPr>
          <w:sz w:val="22"/>
          <w:szCs w:val="22"/>
        </w:rPr>
        <w:t>:</w:t>
      </w:r>
    </w:p>
    <w:p w14:paraId="1C1CFB4B" w14:textId="0E6C9ACF" w:rsidR="00135431" w:rsidRPr="00BF0272" w:rsidRDefault="00135431" w:rsidP="00135431">
      <w:pPr>
        <w:ind w:left="709"/>
        <w:jc w:val="both"/>
        <w:rPr>
          <w:sz w:val="22"/>
          <w:szCs w:val="22"/>
        </w:rPr>
      </w:pPr>
      <w:r w:rsidRPr="00BF0272">
        <w:rPr>
          <w:sz w:val="22"/>
          <w:szCs w:val="22"/>
        </w:rPr>
        <w:t>- cena bez DPH</w:t>
      </w:r>
      <w:r w:rsidRPr="00BF0272">
        <w:rPr>
          <w:sz w:val="22"/>
          <w:szCs w:val="22"/>
        </w:rPr>
        <w:tab/>
      </w:r>
      <w:r w:rsidRPr="00BF0272">
        <w:rPr>
          <w:sz w:val="22"/>
          <w:szCs w:val="22"/>
        </w:rPr>
        <w:tab/>
      </w:r>
      <w:r w:rsidR="002E045C">
        <w:rPr>
          <w:sz w:val="22"/>
          <w:szCs w:val="22"/>
        </w:rPr>
        <w:t xml:space="preserve"> </w:t>
      </w:r>
      <w:r w:rsidR="009D5474">
        <w:rPr>
          <w:sz w:val="22"/>
          <w:szCs w:val="22"/>
        </w:rPr>
        <w:t xml:space="preserve"> 80</w:t>
      </w:r>
      <w:r w:rsidR="00E36A3E">
        <w:rPr>
          <w:sz w:val="22"/>
          <w:szCs w:val="22"/>
        </w:rPr>
        <w:t xml:space="preserve"> 568</w:t>
      </w:r>
      <w:r w:rsidRPr="00BF0272">
        <w:rPr>
          <w:sz w:val="22"/>
          <w:szCs w:val="22"/>
        </w:rPr>
        <w:t>,00 Kč (slovy: osmdesát</w:t>
      </w:r>
      <w:r w:rsidR="00F73C48">
        <w:rPr>
          <w:sz w:val="22"/>
          <w:szCs w:val="22"/>
        </w:rPr>
        <w:t xml:space="preserve"> </w:t>
      </w:r>
      <w:r w:rsidRPr="00BF0272">
        <w:rPr>
          <w:sz w:val="22"/>
          <w:szCs w:val="22"/>
        </w:rPr>
        <w:t>tisíc</w:t>
      </w:r>
      <w:r w:rsidR="00F73C48">
        <w:rPr>
          <w:sz w:val="22"/>
          <w:szCs w:val="22"/>
        </w:rPr>
        <w:t xml:space="preserve"> </w:t>
      </w:r>
      <w:r w:rsidRPr="00BF0272">
        <w:rPr>
          <w:sz w:val="22"/>
          <w:szCs w:val="22"/>
        </w:rPr>
        <w:t>pět</w:t>
      </w:r>
      <w:r w:rsidR="00F73C48">
        <w:rPr>
          <w:sz w:val="22"/>
          <w:szCs w:val="22"/>
        </w:rPr>
        <w:t xml:space="preserve"> </w:t>
      </w:r>
      <w:r w:rsidRPr="00BF0272">
        <w:rPr>
          <w:sz w:val="22"/>
          <w:szCs w:val="22"/>
        </w:rPr>
        <w:t>set</w:t>
      </w:r>
      <w:r w:rsidR="00F73C48">
        <w:rPr>
          <w:sz w:val="22"/>
          <w:szCs w:val="22"/>
        </w:rPr>
        <w:t xml:space="preserve"> </w:t>
      </w:r>
      <w:r w:rsidRPr="00BF0272">
        <w:rPr>
          <w:sz w:val="22"/>
          <w:szCs w:val="22"/>
        </w:rPr>
        <w:t>šedesát</w:t>
      </w:r>
      <w:r w:rsidR="00F73C48">
        <w:rPr>
          <w:sz w:val="22"/>
          <w:szCs w:val="22"/>
        </w:rPr>
        <w:t xml:space="preserve"> </w:t>
      </w:r>
      <w:r w:rsidRPr="00BF0272">
        <w:rPr>
          <w:sz w:val="22"/>
          <w:szCs w:val="22"/>
        </w:rPr>
        <w:t xml:space="preserve">osm korun českých), </w:t>
      </w:r>
    </w:p>
    <w:p w14:paraId="1C1CFB4C" w14:textId="40C529EA" w:rsidR="00135431" w:rsidRPr="00C60D11" w:rsidRDefault="00135431" w:rsidP="00135431">
      <w:pPr>
        <w:ind w:left="709"/>
        <w:jc w:val="both"/>
        <w:rPr>
          <w:sz w:val="22"/>
          <w:szCs w:val="22"/>
        </w:rPr>
      </w:pPr>
      <w:r w:rsidRPr="00C60D11">
        <w:rPr>
          <w:sz w:val="22"/>
          <w:szCs w:val="22"/>
          <w:u w:val="single"/>
        </w:rPr>
        <w:t>- DPH (21 %)</w:t>
      </w:r>
      <w:r w:rsidRPr="00C60D11">
        <w:rPr>
          <w:sz w:val="22"/>
          <w:szCs w:val="22"/>
          <w:u w:val="single"/>
        </w:rPr>
        <w:tab/>
      </w:r>
      <w:r w:rsidRPr="00C60D11">
        <w:rPr>
          <w:sz w:val="22"/>
          <w:szCs w:val="22"/>
          <w:u w:val="single"/>
        </w:rPr>
        <w:tab/>
      </w:r>
      <w:r w:rsidR="002E045C">
        <w:rPr>
          <w:sz w:val="22"/>
          <w:szCs w:val="22"/>
          <w:u w:val="single"/>
        </w:rPr>
        <w:t xml:space="preserve"> </w:t>
      </w:r>
      <w:r w:rsidRPr="00C60D11">
        <w:rPr>
          <w:sz w:val="22"/>
          <w:szCs w:val="22"/>
          <w:u w:val="single"/>
        </w:rPr>
        <w:t xml:space="preserve"> </w:t>
      </w:r>
      <w:r w:rsidR="002E045C">
        <w:rPr>
          <w:sz w:val="22"/>
          <w:szCs w:val="22"/>
          <w:u w:val="single"/>
        </w:rPr>
        <w:t>16 919</w:t>
      </w:r>
      <w:r w:rsidRPr="00C60D11">
        <w:rPr>
          <w:sz w:val="22"/>
          <w:szCs w:val="22"/>
          <w:u w:val="single"/>
        </w:rPr>
        <w:t>,</w:t>
      </w:r>
      <w:r w:rsidR="002E045C">
        <w:rPr>
          <w:sz w:val="22"/>
          <w:szCs w:val="22"/>
          <w:u w:val="single"/>
        </w:rPr>
        <w:t>28</w:t>
      </w:r>
      <w:r w:rsidRPr="00C60D11">
        <w:rPr>
          <w:sz w:val="22"/>
          <w:szCs w:val="22"/>
          <w:u w:val="single"/>
        </w:rPr>
        <w:t xml:space="preserve"> Kč</w:t>
      </w:r>
      <w:r w:rsidRPr="00C60D11">
        <w:rPr>
          <w:sz w:val="22"/>
          <w:szCs w:val="22"/>
        </w:rPr>
        <w:t xml:space="preserve"> </w:t>
      </w:r>
    </w:p>
    <w:p w14:paraId="1C1CFB4D" w14:textId="7290D746" w:rsidR="00135431" w:rsidRPr="00BF0272" w:rsidRDefault="00135431" w:rsidP="00135431">
      <w:pPr>
        <w:ind w:left="709"/>
        <w:jc w:val="both"/>
        <w:rPr>
          <w:color w:val="00B050"/>
          <w:sz w:val="22"/>
          <w:szCs w:val="22"/>
        </w:rPr>
      </w:pPr>
      <w:r w:rsidRPr="00BF0272">
        <w:rPr>
          <w:sz w:val="22"/>
          <w:szCs w:val="22"/>
        </w:rPr>
        <w:t xml:space="preserve">cena celkem (vč. DPH) </w:t>
      </w:r>
      <w:r w:rsidR="00E81A76">
        <w:rPr>
          <w:sz w:val="22"/>
          <w:szCs w:val="22"/>
        </w:rPr>
        <w:t xml:space="preserve">    </w:t>
      </w:r>
      <w:r w:rsidRPr="00BF0272">
        <w:rPr>
          <w:sz w:val="22"/>
          <w:szCs w:val="22"/>
        </w:rPr>
        <w:t xml:space="preserve">97 487,28 Kč </w:t>
      </w:r>
    </w:p>
    <w:p w14:paraId="1C1CFB4E" w14:textId="77777777" w:rsidR="00135431" w:rsidRPr="00BF0272" w:rsidRDefault="00135431" w:rsidP="00135431">
      <w:pPr>
        <w:ind w:left="709"/>
        <w:jc w:val="both"/>
        <w:rPr>
          <w:sz w:val="22"/>
          <w:szCs w:val="22"/>
        </w:rPr>
      </w:pPr>
    </w:p>
    <w:p w14:paraId="1C1CFB50" w14:textId="4CF7C020" w:rsidR="00135431" w:rsidRPr="00F73C48" w:rsidRDefault="00135431" w:rsidP="00F73C48">
      <w:pPr>
        <w:ind w:left="709"/>
        <w:jc w:val="both"/>
        <w:rPr>
          <w:sz w:val="22"/>
          <w:szCs w:val="22"/>
        </w:rPr>
      </w:pPr>
      <w:r w:rsidRPr="00BF0272">
        <w:rPr>
          <w:sz w:val="22"/>
          <w:szCs w:val="22"/>
        </w:rPr>
        <w:t>Detailní rozpis ceny je součástí Přílohy č. 1 této smlouvy.</w:t>
      </w:r>
    </w:p>
    <w:bookmarkEnd w:id="2"/>
    <w:p w14:paraId="1C1CFB5D" w14:textId="77777777" w:rsidR="00135431" w:rsidRPr="00BF0272" w:rsidRDefault="00135431" w:rsidP="00135431">
      <w:pPr>
        <w:ind w:left="709"/>
        <w:jc w:val="both"/>
        <w:rPr>
          <w:sz w:val="22"/>
          <w:szCs w:val="22"/>
        </w:rPr>
      </w:pPr>
    </w:p>
    <w:p w14:paraId="0F1E393B" w14:textId="3E06EF86" w:rsidR="00D5460E" w:rsidRPr="00D5460E" w:rsidRDefault="00D5460E" w:rsidP="00D5460E">
      <w:pPr>
        <w:ind w:left="709"/>
        <w:jc w:val="both"/>
        <w:rPr>
          <w:sz w:val="22"/>
          <w:szCs w:val="22"/>
        </w:rPr>
      </w:pPr>
      <w:r w:rsidRPr="00D5460E">
        <w:rPr>
          <w:sz w:val="22"/>
          <w:szCs w:val="22"/>
        </w:rPr>
        <w:t xml:space="preserve">Část výše sjednané ceny ve výši </w:t>
      </w:r>
      <w:r>
        <w:rPr>
          <w:sz w:val="22"/>
          <w:szCs w:val="22"/>
        </w:rPr>
        <w:t>60 000,-</w:t>
      </w:r>
      <w:r w:rsidRPr="00D5460E">
        <w:rPr>
          <w:sz w:val="22"/>
          <w:szCs w:val="22"/>
        </w:rPr>
        <w:t xml:space="preserve"> Kč (</w:t>
      </w:r>
      <w:r>
        <w:rPr>
          <w:sz w:val="22"/>
          <w:szCs w:val="22"/>
        </w:rPr>
        <w:t>bez</w:t>
      </w:r>
      <w:r w:rsidRPr="00D5460E">
        <w:rPr>
          <w:sz w:val="22"/>
          <w:szCs w:val="22"/>
        </w:rPr>
        <w:t xml:space="preserve"> DPH) je splatná na základě zálohové faktury vystavené poskytovatelem neprodleně po podpisu této </w:t>
      </w:r>
      <w:r w:rsidRPr="00523988">
        <w:rPr>
          <w:sz w:val="22"/>
          <w:szCs w:val="22"/>
        </w:rPr>
        <w:t>smlouvy ve lhůtě uvedené v zálohové faktuře.</w:t>
      </w:r>
    </w:p>
    <w:p w14:paraId="4BFA8A82" w14:textId="3C1AF260" w:rsidR="00D5460E" w:rsidRDefault="00D5460E" w:rsidP="00135431">
      <w:pPr>
        <w:ind w:left="709"/>
        <w:jc w:val="both"/>
        <w:rPr>
          <w:sz w:val="22"/>
          <w:szCs w:val="22"/>
        </w:rPr>
      </w:pPr>
    </w:p>
    <w:p w14:paraId="1C1CFB60" w14:textId="2AF11E31" w:rsidR="00135431" w:rsidRPr="00BF0272" w:rsidRDefault="008125A4" w:rsidP="00135431">
      <w:pPr>
        <w:ind w:left="709"/>
        <w:jc w:val="both"/>
        <w:rPr>
          <w:b/>
          <w:color w:val="00B050"/>
          <w:sz w:val="22"/>
          <w:szCs w:val="22"/>
        </w:rPr>
      </w:pPr>
      <w:r w:rsidRPr="008125A4">
        <w:rPr>
          <w:sz w:val="22"/>
          <w:szCs w:val="22"/>
        </w:rPr>
        <w:t>Doplatek ceny je splatný na základě daňového dokladu (faktury) vystaveného poskytovatelem nabyvateli do</w:t>
      </w:r>
      <w:r w:rsidR="000323B3">
        <w:rPr>
          <w:sz w:val="22"/>
          <w:szCs w:val="22"/>
        </w:rPr>
        <w:t> </w:t>
      </w:r>
      <w:r w:rsidRPr="008125A4">
        <w:rPr>
          <w:sz w:val="22"/>
          <w:szCs w:val="22"/>
        </w:rPr>
        <w:t xml:space="preserve">14 (čtrnácti) dnů po splnění předmětu plnění dle specifikace uvedené v Příloze č. 1 této smlouvy. </w:t>
      </w:r>
      <w:r w:rsidR="00135431" w:rsidRPr="00BF0272">
        <w:rPr>
          <w:sz w:val="22"/>
          <w:szCs w:val="22"/>
        </w:rPr>
        <w:t>Splatnost faktur</w:t>
      </w:r>
      <w:r w:rsidR="00A8028E">
        <w:rPr>
          <w:sz w:val="22"/>
          <w:szCs w:val="22"/>
        </w:rPr>
        <w:t>y</w:t>
      </w:r>
      <w:r w:rsidR="00135431" w:rsidRPr="00BF0272">
        <w:rPr>
          <w:sz w:val="22"/>
          <w:szCs w:val="22"/>
        </w:rPr>
        <w:t xml:space="preserve"> – daňov</w:t>
      </w:r>
      <w:r w:rsidR="00A8028E">
        <w:rPr>
          <w:sz w:val="22"/>
          <w:szCs w:val="22"/>
        </w:rPr>
        <w:t>ého</w:t>
      </w:r>
      <w:r w:rsidR="00DD0422">
        <w:rPr>
          <w:sz w:val="22"/>
          <w:szCs w:val="22"/>
        </w:rPr>
        <w:t xml:space="preserve"> </w:t>
      </w:r>
      <w:r w:rsidR="00135431" w:rsidRPr="00BF0272">
        <w:rPr>
          <w:sz w:val="22"/>
          <w:szCs w:val="22"/>
        </w:rPr>
        <w:t>doklad</w:t>
      </w:r>
      <w:r w:rsidR="00A8028E">
        <w:rPr>
          <w:sz w:val="22"/>
          <w:szCs w:val="22"/>
        </w:rPr>
        <w:t>u</w:t>
      </w:r>
      <w:r w:rsidR="00135431" w:rsidRPr="00BF0272">
        <w:rPr>
          <w:sz w:val="22"/>
          <w:szCs w:val="22"/>
        </w:rPr>
        <w:t xml:space="preserve">, </w:t>
      </w:r>
      <w:r w:rsidR="00135431" w:rsidRPr="002E045C">
        <w:rPr>
          <w:sz w:val="22"/>
          <w:szCs w:val="22"/>
        </w:rPr>
        <w:t xml:space="preserve">činí 14 (čtrnáct) dnů ode dne </w:t>
      </w:r>
      <w:r w:rsidR="00135431" w:rsidRPr="00BF0272">
        <w:rPr>
          <w:sz w:val="22"/>
          <w:szCs w:val="22"/>
        </w:rPr>
        <w:t>jej</w:t>
      </w:r>
      <w:r w:rsidR="00A8028E">
        <w:rPr>
          <w:sz w:val="22"/>
          <w:szCs w:val="22"/>
        </w:rPr>
        <w:t xml:space="preserve">ího </w:t>
      </w:r>
      <w:r w:rsidR="00135431" w:rsidRPr="00BF0272">
        <w:rPr>
          <w:sz w:val="22"/>
          <w:szCs w:val="22"/>
        </w:rPr>
        <w:t>vystavení.</w:t>
      </w:r>
      <w:r w:rsidR="00135431" w:rsidRPr="00BF0272">
        <w:rPr>
          <w:b/>
          <w:color w:val="00B050"/>
          <w:sz w:val="22"/>
          <w:szCs w:val="22"/>
        </w:rPr>
        <w:t xml:space="preserve"> </w:t>
      </w:r>
    </w:p>
    <w:p w14:paraId="1C1CFB61" w14:textId="77777777" w:rsidR="00135431" w:rsidRPr="00BF0272" w:rsidRDefault="00135431" w:rsidP="00135431">
      <w:pPr>
        <w:ind w:left="709"/>
        <w:jc w:val="both"/>
        <w:rPr>
          <w:sz w:val="22"/>
          <w:szCs w:val="22"/>
        </w:rPr>
      </w:pPr>
    </w:p>
    <w:p w14:paraId="1C1CFB62" w14:textId="7F2005BA" w:rsidR="00135431" w:rsidRPr="00BF0272" w:rsidRDefault="00135431" w:rsidP="00135431">
      <w:pPr>
        <w:ind w:left="709"/>
        <w:jc w:val="both"/>
        <w:rPr>
          <w:sz w:val="22"/>
          <w:szCs w:val="22"/>
        </w:rPr>
      </w:pPr>
      <w:r w:rsidRPr="00BF0272">
        <w:rPr>
          <w:sz w:val="22"/>
          <w:szCs w:val="22"/>
        </w:rPr>
        <w:t>Faktura musí obsahovat veškeré údaje vyžadované právními předpisy, zejm. ustanovením zákona č.</w:t>
      </w:r>
      <w:r w:rsidR="000323B3">
        <w:rPr>
          <w:sz w:val="22"/>
          <w:szCs w:val="22"/>
        </w:rPr>
        <w:t> </w:t>
      </w:r>
      <w:r w:rsidRPr="00BF0272">
        <w:rPr>
          <w:sz w:val="22"/>
          <w:szCs w:val="22"/>
        </w:rPr>
        <w:t xml:space="preserve">235/2004 Sb., o dani z přidané hodnoty, ve znění pozdějších předpisů. </w:t>
      </w:r>
    </w:p>
    <w:p w14:paraId="1C1CFB63" w14:textId="77777777" w:rsidR="00135431" w:rsidRPr="00BF0272" w:rsidRDefault="00135431" w:rsidP="00135431">
      <w:pPr>
        <w:ind w:left="709"/>
        <w:jc w:val="both"/>
        <w:rPr>
          <w:sz w:val="22"/>
          <w:szCs w:val="22"/>
        </w:rPr>
      </w:pPr>
    </w:p>
    <w:p w14:paraId="1C1CFB64" w14:textId="77777777" w:rsidR="00135431" w:rsidRPr="00BF0272" w:rsidRDefault="00135431" w:rsidP="00135431">
      <w:pPr>
        <w:ind w:left="709"/>
        <w:jc w:val="both"/>
        <w:rPr>
          <w:sz w:val="22"/>
          <w:szCs w:val="22"/>
        </w:rPr>
      </w:pPr>
      <w:r w:rsidRPr="00BF0272">
        <w:rPr>
          <w:sz w:val="22"/>
          <w:szCs w:val="22"/>
        </w:rPr>
        <w:t>Peněžité částky se platí bankovním převodem na účet druhé smluvní strany uvedený ve faktuře.</w:t>
      </w:r>
    </w:p>
    <w:p w14:paraId="1C1CFB65" w14:textId="77777777" w:rsidR="00135431" w:rsidRPr="00BF0272" w:rsidRDefault="00135431" w:rsidP="00135431">
      <w:pPr>
        <w:ind w:left="709"/>
        <w:jc w:val="both"/>
        <w:rPr>
          <w:sz w:val="22"/>
          <w:szCs w:val="22"/>
        </w:rPr>
      </w:pPr>
    </w:p>
    <w:p w14:paraId="1C1CFB66" w14:textId="77777777" w:rsidR="00135431" w:rsidRDefault="00135431" w:rsidP="00135431">
      <w:pPr>
        <w:ind w:left="709"/>
        <w:jc w:val="both"/>
        <w:rPr>
          <w:sz w:val="22"/>
          <w:szCs w:val="22"/>
        </w:rPr>
      </w:pPr>
      <w:r w:rsidRPr="00BF0272">
        <w:rPr>
          <w:sz w:val="22"/>
          <w:szCs w:val="22"/>
        </w:rPr>
        <w:t xml:space="preserve">Pro případ prodlení se zaplacením peněžité částky je nabyvatel povinen zaplatit poskytovateli úrok z prodlení z dlužné částky ve výši stanovené obecně platnými právními předpisy. </w:t>
      </w:r>
    </w:p>
    <w:p w14:paraId="60D60CEB" w14:textId="77777777" w:rsidR="00617476" w:rsidRDefault="00617476" w:rsidP="00135431">
      <w:pPr>
        <w:ind w:left="709"/>
        <w:jc w:val="both"/>
        <w:rPr>
          <w:sz w:val="22"/>
          <w:szCs w:val="22"/>
        </w:rPr>
      </w:pPr>
    </w:p>
    <w:p w14:paraId="0EBA7D79" w14:textId="03F4CCEB" w:rsidR="00617476" w:rsidRPr="00BF0272" w:rsidRDefault="00617476" w:rsidP="00F73C48">
      <w:pPr>
        <w:ind w:left="709"/>
        <w:jc w:val="both"/>
        <w:rPr>
          <w:sz w:val="22"/>
          <w:szCs w:val="22"/>
        </w:rPr>
      </w:pPr>
      <w:r>
        <w:rPr>
          <w:sz w:val="22"/>
          <w:szCs w:val="22"/>
        </w:rPr>
        <w:t>Poskytovatel nemá právo na jakoukoli dodatečnou odměnu v souvislosti s právy vyplývajícími z duševního vlastnictví k poskytnutí licence</w:t>
      </w:r>
      <w:r w:rsidR="00EE1DE0">
        <w:rPr>
          <w:sz w:val="22"/>
          <w:szCs w:val="22"/>
        </w:rPr>
        <w:t xml:space="preserve"> nesjednanou v této smlouvě</w:t>
      </w:r>
      <w:r>
        <w:rPr>
          <w:sz w:val="22"/>
          <w:szCs w:val="22"/>
        </w:rPr>
        <w:t>.</w:t>
      </w:r>
    </w:p>
    <w:p w14:paraId="1C1CFB67" w14:textId="77777777" w:rsidR="00135431" w:rsidRDefault="00135431" w:rsidP="00135431">
      <w:pPr>
        <w:ind w:left="709"/>
        <w:jc w:val="both"/>
        <w:rPr>
          <w:sz w:val="22"/>
          <w:szCs w:val="22"/>
        </w:rPr>
      </w:pPr>
    </w:p>
    <w:p w14:paraId="0A6A0E81" w14:textId="77777777" w:rsidR="008A005E" w:rsidRPr="00BF0272" w:rsidRDefault="008A005E" w:rsidP="00135431">
      <w:pPr>
        <w:ind w:left="709"/>
        <w:jc w:val="both"/>
        <w:rPr>
          <w:sz w:val="22"/>
          <w:szCs w:val="22"/>
        </w:rPr>
      </w:pPr>
    </w:p>
    <w:p w14:paraId="1C1CFB6A" w14:textId="77777777" w:rsidR="00135431" w:rsidRDefault="00135431" w:rsidP="00135431">
      <w:pPr>
        <w:numPr>
          <w:ilvl w:val="0"/>
          <w:numId w:val="1"/>
        </w:numPr>
        <w:jc w:val="both"/>
        <w:rPr>
          <w:rFonts w:ascii="Cambria" w:hAnsi="Cambria"/>
          <w:b/>
          <w:szCs w:val="24"/>
        </w:rPr>
      </w:pPr>
      <w:bookmarkStart w:id="3" w:name="_Ref446476368"/>
      <w:r>
        <w:rPr>
          <w:rFonts w:ascii="Cambria" w:hAnsi="Cambria"/>
          <w:b/>
          <w:szCs w:val="24"/>
        </w:rPr>
        <w:t xml:space="preserve">PŘEDÁNÍ A PŘEVZETÍ </w:t>
      </w:r>
      <w:bookmarkEnd w:id="3"/>
      <w:r>
        <w:rPr>
          <w:rFonts w:ascii="Cambria" w:hAnsi="Cambria"/>
          <w:b/>
          <w:szCs w:val="24"/>
        </w:rPr>
        <w:t>PLNĚNÍ</w:t>
      </w:r>
    </w:p>
    <w:p w14:paraId="1C1CFB6B" w14:textId="77777777" w:rsidR="00135431" w:rsidRPr="00BF0272" w:rsidRDefault="00135431" w:rsidP="00135431">
      <w:pPr>
        <w:ind w:left="709"/>
        <w:jc w:val="both"/>
        <w:rPr>
          <w:sz w:val="22"/>
          <w:szCs w:val="22"/>
        </w:rPr>
      </w:pPr>
      <w:r w:rsidRPr="00BF0272">
        <w:rPr>
          <w:sz w:val="22"/>
          <w:szCs w:val="22"/>
        </w:rPr>
        <w:t>Poskytovatel se zavazuje předat předmět plnění v termínu dle Přílohy č. 1 této smlouvy.</w:t>
      </w:r>
    </w:p>
    <w:p w14:paraId="1C1CFB6C" w14:textId="77777777" w:rsidR="00135431" w:rsidRPr="00BF0272" w:rsidRDefault="00135431" w:rsidP="00135431">
      <w:pPr>
        <w:ind w:left="709"/>
        <w:jc w:val="both"/>
        <w:rPr>
          <w:sz w:val="22"/>
          <w:szCs w:val="22"/>
        </w:rPr>
      </w:pPr>
    </w:p>
    <w:p w14:paraId="1C1CFB6D" w14:textId="73B47CE2" w:rsidR="00135431" w:rsidRPr="00BF0272" w:rsidRDefault="00135431" w:rsidP="00135431">
      <w:pPr>
        <w:ind w:left="709"/>
        <w:jc w:val="both"/>
        <w:rPr>
          <w:sz w:val="22"/>
          <w:szCs w:val="22"/>
        </w:rPr>
      </w:pPr>
      <w:r w:rsidRPr="00BF0272">
        <w:rPr>
          <w:sz w:val="22"/>
          <w:szCs w:val="22"/>
        </w:rPr>
        <w:t>Převzetí předmětu plnění potvrdí nabyvatel na dokladu uvedeném v harmonogramu plnění v Příloze č. 1 této smlouvy, čl. 2. Datum podpisu tohoto dokladu se pro potřeby této smlouvy považuje za termín uskutečnění zdanitelného plnění.</w:t>
      </w:r>
    </w:p>
    <w:p w14:paraId="1C1CFB6E" w14:textId="77777777" w:rsidR="00135431" w:rsidRPr="00BF0272" w:rsidRDefault="00135431" w:rsidP="00135431">
      <w:pPr>
        <w:ind w:left="709"/>
        <w:jc w:val="both"/>
        <w:rPr>
          <w:sz w:val="22"/>
          <w:szCs w:val="22"/>
        </w:rPr>
      </w:pPr>
    </w:p>
    <w:p w14:paraId="1C1CFB6F" w14:textId="5BA0D13F" w:rsidR="00135431" w:rsidRPr="00BF0272" w:rsidRDefault="00135431" w:rsidP="00135431">
      <w:pPr>
        <w:ind w:left="709"/>
        <w:jc w:val="both"/>
        <w:rPr>
          <w:sz w:val="22"/>
          <w:szCs w:val="22"/>
        </w:rPr>
      </w:pPr>
      <w:r w:rsidRPr="00BF0272">
        <w:rPr>
          <w:sz w:val="22"/>
          <w:szCs w:val="22"/>
        </w:rPr>
        <w:t>V případě, že nabyvatel bezdůvodně odmítne potvrdit převzetí předmětu plnění a neučiní tak ani v náhradní lhůtě tří (3) dnů, má se za to, že předmět plnění byl splněn jeho poskytnutím (dodáním) nabyvateli.</w:t>
      </w:r>
    </w:p>
    <w:p w14:paraId="1C1CFB70" w14:textId="77777777" w:rsidR="00135431" w:rsidRDefault="00135431" w:rsidP="00135431">
      <w:pPr>
        <w:ind w:left="709"/>
        <w:rPr>
          <w:sz w:val="22"/>
          <w:szCs w:val="22"/>
        </w:rPr>
      </w:pPr>
    </w:p>
    <w:p w14:paraId="21BB1F64" w14:textId="77777777" w:rsidR="008A005E" w:rsidRPr="00C60D11" w:rsidRDefault="008A005E" w:rsidP="00135431">
      <w:pPr>
        <w:ind w:left="709"/>
        <w:rPr>
          <w:sz w:val="22"/>
          <w:szCs w:val="22"/>
        </w:rPr>
      </w:pPr>
    </w:p>
    <w:p w14:paraId="1C1CFB71" w14:textId="77777777" w:rsidR="00135431" w:rsidRPr="00C60D11" w:rsidRDefault="00135431" w:rsidP="00135431">
      <w:pPr>
        <w:numPr>
          <w:ilvl w:val="0"/>
          <w:numId w:val="1"/>
        </w:numPr>
        <w:jc w:val="both"/>
        <w:rPr>
          <w:rFonts w:ascii="Cambria" w:hAnsi="Cambria"/>
          <w:b/>
          <w:szCs w:val="24"/>
        </w:rPr>
      </w:pPr>
      <w:r w:rsidRPr="00C60D11">
        <w:rPr>
          <w:rFonts w:ascii="Cambria" w:hAnsi="Cambria"/>
          <w:b/>
          <w:szCs w:val="24"/>
        </w:rPr>
        <w:t>ROČNÍ MAINTENANCE PRO PRODUKTY MICRO FOCUS</w:t>
      </w:r>
    </w:p>
    <w:p w14:paraId="1C1CFB72" w14:textId="77777777" w:rsidR="00135431" w:rsidRPr="00C60D11" w:rsidRDefault="00135431" w:rsidP="00135431">
      <w:pPr>
        <w:ind w:left="709"/>
        <w:jc w:val="both"/>
        <w:rPr>
          <w:sz w:val="22"/>
          <w:szCs w:val="22"/>
        </w:rPr>
      </w:pPr>
      <w:r w:rsidRPr="00C60D11">
        <w:rPr>
          <w:sz w:val="22"/>
          <w:szCs w:val="22"/>
        </w:rPr>
        <w:t>Roční maintenance zahrnující poskytnutí vyšších verzí produktů Micro Focus dodaných podle této smlouvy bude nabyvateli poskytována po dobu jednoho roku od termínu poskytnutí těchto produktů firmou Micro Focus. V tomto rozsahu je maintenance zahrnuta v ceně předmětu smlouvy sjednané v Příloze č. 1, čl. 1, odst. 1.2 této smlouvy.</w:t>
      </w:r>
    </w:p>
    <w:p w14:paraId="1C1CFB73" w14:textId="77777777" w:rsidR="00135431" w:rsidRPr="00C60D11" w:rsidRDefault="00135431" w:rsidP="00135431">
      <w:pPr>
        <w:ind w:left="709"/>
        <w:jc w:val="both"/>
        <w:rPr>
          <w:sz w:val="22"/>
          <w:szCs w:val="22"/>
        </w:rPr>
      </w:pPr>
    </w:p>
    <w:p w14:paraId="1C1CFB74" w14:textId="0A88BF2A" w:rsidR="00135431" w:rsidRPr="00C60D11" w:rsidRDefault="00135431" w:rsidP="00135431">
      <w:pPr>
        <w:ind w:left="709"/>
        <w:jc w:val="both"/>
        <w:rPr>
          <w:sz w:val="22"/>
          <w:szCs w:val="22"/>
        </w:rPr>
      </w:pPr>
      <w:r w:rsidRPr="00C60D11">
        <w:rPr>
          <w:sz w:val="22"/>
          <w:szCs w:val="22"/>
        </w:rPr>
        <w:t>Poskytovatel bude roční maintenance poskytovat za úplatu i po lhůtě uvedené v předchozím odstavci, a to za</w:t>
      </w:r>
      <w:r w:rsidR="000323B3">
        <w:rPr>
          <w:sz w:val="22"/>
          <w:szCs w:val="22"/>
        </w:rPr>
        <w:t> </w:t>
      </w:r>
      <w:r w:rsidRPr="00C60D11">
        <w:rPr>
          <w:sz w:val="22"/>
          <w:szCs w:val="22"/>
        </w:rPr>
        <w:t>cenu stanovenou v ceníku Micro Focus pro dané období, to však jen za podmínky, že nabyvatel tuto cenu uhradí.</w:t>
      </w:r>
    </w:p>
    <w:p w14:paraId="1C1CFB75" w14:textId="77777777" w:rsidR="00135431" w:rsidRPr="00C60D11" w:rsidRDefault="00135431" w:rsidP="00135431">
      <w:pPr>
        <w:ind w:left="709"/>
        <w:jc w:val="both"/>
        <w:rPr>
          <w:sz w:val="22"/>
          <w:szCs w:val="22"/>
        </w:rPr>
      </w:pPr>
    </w:p>
    <w:p w14:paraId="1C1CFB76" w14:textId="3B1A54D9" w:rsidR="00135431" w:rsidRPr="00C60D11" w:rsidRDefault="00135431" w:rsidP="00135431">
      <w:pPr>
        <w:ind w:left="709"/>
        <w:jc w:val="both"/>
        <w:rPr>
          <w:sz w:val="22"/>
          <w:szCs w:val="22"/>
        </w:rPr>
      </w:pPr>
      <w:r w:rsidRPr="00C60D11">
        <w:rPr>
          <w:sz w:val="22"/>
          <w:szCs w:val="22"/>
        </w:rPr>
        <w:t>Cenu za roční maintenance vyúčtuje poskytovatel nabyvateli zálohově obvykle v termínu 60 dnů před</w:t>
      </w:r>
      <w:r w:rsidR="000323B3">
        <w:rPr>
          <w:sz w:val="22"/>
          <w:szCs w:val="22"/>
        </w:rPr>
        <w:t> </w:t>
      </w:r>
      <w:r w:rsidRPr="00C60D11">
        <w:rPr>
          <w:sz w:val="22"/>
          <w:szCs w:val="22"/>
        </w:rPr>
        <w:t>posledním dnem období, na které je dosud sjednáno poskytování maintenance.</w:t>
      </w:r>
    </w:p>
    <w:p w14:paraId="1C1CFB78" w14:textId="77777777" w:rsidR="00135431" w:rsidRPr="00C60D11" w:rsidRDefault="00135431" w:rsidP="00135431">
      <w:pPr>
        <w:ind w:left="709"/>
        <w:jc w:val="both"/>
        <w:rPr>
          <w:sz w:val="22"/>
          <w:szCs w:val="22"/>
        </w:rPr>
      </w:pPr>
      <w:r w:rsidRPr="00C60D11">
        <w:rPr>
          <w:sz w:val="22"/>
          <w:szCs w:val="22"/>
        </w:rPr>
        <w:t>Zálohové vyúčtování je splatné vždy do čtrnácti dnů ode dne jejich vystavení. Daňový doklad (fakturu) vystaví poskytovatel do čtrnácti dnů po zaplacení příslušného zálohového vyúčtování.</w:t>
      </w:r>
    </w:p>
    <w:p w14:paraId="1C1CFB79" w14:textId="77777777" w:rsidR="00135431" w:rsidRPr="00C60D11" w:rsidRDefault="00135431" w:rsidP="00135431">
      <w:pPr>
        <w:ind w:left="709"/>
        <w:jc w:val="both"/>
        <w:rPr>
          <w:sz w:val="22"/>
          <w:szCs w:val="22"/>
        </w:rPr>
      </w:pPr>
    </w:p>
    <w:p w14:paraId="1C1CFB7A" w14:textId="77777777" w:rsidR="00135431" w:rsidRPr="00C60D11" w:rsidRDefault="00135431" w:rsidP="00135431">
      <w:pPr>
        <w:ind w:left="709"/>
        <w:jc w:val="both"/>
        <w:rPr>
          <w:sz w:val="22"/>
          <w:szCs w:val="22"/>
        </w:rPr>
      </w:pPr>
      <w:r w:rsidRPr="00C60D11">
        <w:rPr>
          <w:sz w:val="22"/>
          <w:szCs w:val="22"/>
        </w:rPr>
        <w:lastRenderedPageBreak/>
        <w:t>V cenách roční maintenace není zahrnuto dopravné nových upgrade produktů Micro Focus, které bude vždy přeúčtováno z vyúčtování firmy Micro Focus.</w:t>
      </w:r>
    </w:p>
    <w:p w14:paraId="1C1CFB7B" w14:textId="77777777" w:rsidR="00135431" w:rsidRPr="00C60D11" w:rsidRDefault="00135431" w:rsidP="00135431">
      <w:pPr>
        <w:ind w:left="709"/>
        <w:jc w:val="both"/>
        <w:rPr>
          <w:sz w:val="22"/>
          <w:szCs w:val="22"/>
        </w:rPr>
      </w:pPr>
    </w:p>
    <w:p w14:paraId="1C1CFB7D" w14:textId="61661262" w:rsidR="00135431" w:rsidRPr="00C60D11" w:rsidRDefault="00135431" w:rsidP="00F73C48">
      <w:pPr>
        <w:ind w:left="709"/>
        <w:jc w:val="both"/>
        <w:rPr>
          <w:sz w:val="22"/>
          <w:szCs w:val="22"/>
        </w:rPr>
      </w:pPr>
      <w:r w:rsidRPr="00C60D11">
        <w:rPr>
          <w:sz w:val="22"/>
          <w:szCs w:val="22"/>
        </w:rPr>
        <w:t>Pokud se nabyvatel rozhodne neobnovit roční maintenance na další období, musí tak učinit do 40 dnů před</w:t>
      </w:r>
      <w:r w:rsidR="000323B3">
        <w:rPr>
          <w:sz w:val="22"/>
          <w:szCs w:val="22"/>
        </w:rPr>
        <w:t> </w:t>
      </w:r>
      <w:r w:rsidRPr="00C60D11">
        <w:rPr>
          <w:sz w:val="22"/>
          <w:szCs w:val="22"/>
        </w:rPr>
        <w:t>datem vypršení maintenance. V případě, že tak neučiní ve stanoveném termínu, obnovení maintenance bude provedeno v systému Micro Focus automaticky bez ohledu na úhradu zálohové faktury.</w:t>
      </w:r>
    </w:p>
    <w:p w14:paraId="5DB03F5F" w14:textId="2DD0AF36" w:rsidR="00DD1D73" w:rsidRPr="00C60D11" w:rsidRDefault="5433E93C" w:rsidP="00135431">
      <w:pPr>
        <w:ind w:left="709"/>
        <w:jc w:val="both"/>
        <w:rPr>
          <w:sz w:val="22"/>
          <w:szCs w:val="22"/>
        </w:rPr>
      </w:pPr>
      <w:r w:rsidRPr="5433E93C">
        <w:rPr>
          <w:sz w:val="22"/>
          <w:szCs w:val="22"/>
        </w:rPr>
        <w:t>Změní-li Micro Focus podmínky pro poskytování roční maintenance, je poskytovatel oprávněn přiměřeně upravit podmínky pro její poskytování sjednané výše v tomto článku této smlouvy. O změně podmínek musí však nabyvatele informovat alespoň 30 dnů předem.</w:t>
      </w:r>
    </w:p>
    <w:p w14:paraId="1C1CFB7F" w14:textId="77777777" w:rsidR="00135431" w:rsidRDefault="00135431" w:rsidP="00135431">
      <w:pPr>
        <w:ind w:left="709"/>
        <w:rPr>
          <w:color w:val="FF0000"/>
          <w:sz w:val="22"/>
          <w:szCs w:val="22"/>
        </w:rPr>
      </w:pPr>
    </w:p>
    <w:p w14:paraId="22AFFF78" w14:textId="77777777" w:rsidR="008A005E" w:rsidRPr="00DD3182" w:rsidRDefault="008A005E" w:rsidP="00135431">
      <w:pPr>
        <w:ind w:left="709"/>
        <w:rPr>
          <w:color w:val="FF0000"/>
          <w:sz w:val="22"/>
          <w:szCs w:val="22"/>
        </w:rPr>
      </w:pPr>
    </w:p>
    <w:p w14:paraId="1C1CFB8B" w14:textId="77777777" w:rsidR="00135431" w:rsidRPr="00C60D11" w:rsidRDefault="00135431" w:rsidP="00135431">
      <w:pPr>
        <w:numPr>
          <w:ilvl w:val="0"/>
          <w:numId w:val="1"/>
        </w:numPr>
        <w:jc w:val="both"/>
        <w:rPr>
          <w:rFonts w:ascii="Cambria" w:hAnsi="Cambria"/>
          <w:b/>
          <w:szCs w:val="24"/>
        </w:rPr>
      </w:pPr>
      <w:r w:rsidRPr="00C60D11">
        <w:rPr>
          <w:rFonts w:ascii="Cambria" w:hAnsi="Cambria"/>
          <w:b/>
          <w:szCs w:val="24"/>
        </w:rPr>
        <w:t xml:space="preserve">LICENČNÍ PODMÍNKY PRO PRODUKTY MS SQL SERVER  </w:t>
      </w:r>
    </w:p>
    <w:p w14:paraId="1C1CFB8D" w14:textId="77777777" w:rsidR="00135431" w:rsidRPr="00C60D11" w:rsidRDefault="00135431" w:rsidP="00135431">
      <w:pPr>
        <w:ind w:left="720"/>
        <w:jc w:val="both"/>
        <w:rPr>
          <w:b/>
          <w:sz w:val="22"/>
          <w:szCs w:val="22"/>
        </w:rPr>
      </w:pPr>
      <w:r w:rsidRPr="00C60D11">
        <w:rPr>
          <w:sz w:val="22"/>
          <w:szCs w:val="22"/>
        </w:rPr>
        <w:t xml:space="preserve">Nabyvatel prohlašuje, že si je vědom toho, že při užívání produktů firmy </w:t>
      </w:r>
      <w:r w:rsidRPr="00C60D11">
        <w:rPr>
          <w:spacing w:val="-3"/>
          <w:sz w:val="22"/>
          <w:szCs w:val="22"/>
        </w:rPr>
        <w:t>Microsoft</w:t>
      </w:r>
      <w:r w:rsidRPr="00C60D11">
        <w:rPr>
          <w:sz w:val="22"/>
          <w:szCs w:val="22"/>
        </w:rPr>
        <w:t xml:space="preserve"> je povinen respektovat licenční podmínky této firmy.</w:t>
      </w:r>
    </w:p>
    <w:p w14:paraId="1C1CFB8E" w14:textId="77777777" w:rsidR="00135431" w:rsidRPr="00C60D11" w:rsidRDefault="00135431" w:rsidP="00135431">
      <w:pPr>
        <w:ind w:left="709"/>
        <w:jc w:val="both"/>
        <w:rPr>
          <w:sz w:val="22"/>
          <w:szCs w:val="22"/>
        </w:rPr>
      </w:pPr>
    </w:p>
    <w:p w14:paraId="1C1CFB8F" w14:textId="03299C58" w:rsidR="00135431" w:rsidRPr="00C60D11" w:rsidRDefault="00135431" w:rsidP="00135431">
      <w:pPr>
        <w:ind w:left="709"/>
        <w:jc w:val="both"/>
        <w:rPr>
          <w:sz w:val="22"/>
          <w:szCs w:val="22"/>
        </w:rPr>
      </w:pPr>
      <w:r w:rsidRPr="00C60D11">
        <w:rPr>
          <w:sz w:val="22"/>
          <w:szCs w:val="22"/>
        </w:rPr>
        <w:t xml:space="preserve">Roční maintenance zahrnující poskytnutí vyšších verzí produktů </w:t>
      </w:r>
      <w:r w:rsidRPr="00C60D11">
        <w:rPr>
          <w:spacing w:val="-3"/>
          <w:sz w:val="22"/>
          <w:szCs w:val="22"/>
        </w:rPr>
        <w:t xml:space="preserve">MS SQL Server </w:t>
      </w:r>
      <w:r w:rsidRPr="00C60D11">
        <w:rPr>
          <w:sz w:val="22"/>
          <w:szCs w:val="22"/>
        </w:rPr>
        <w:t xml:space="preserve">dodaných podle této smlouvy bude nabyvateli poskytována po dobu jednoho roku od termínu poskytnutí těchto produktů firmou </w:t>
      </w:r>
      <w:r w:rsidRPr="00C60D11">
        <w:rPr>
          <w:spacing w:val="-3"/>
          <w:sz w:val="22"/>
          <w:szCs w:val="22"/>
        </w:rPr>
        <w:t>Microsoft</w:t>
      </w:r>
      <w:r w:rsidRPr="00C60D11">
        <w:rPr>
          <w:sz w:val="22"/>
          <w:szCs w:val="22"/>
        </w:rPr>
        <w:t>. V tomto rozsahu je maintenance zahrnuta v ceně předmětu smlouvy sjednané v Příloze č. 1, čl. 1, odst. 1.</w:t>
      </w:r>
      <w:r w:rsidR="00DD0422">
        <w:rPr>
          <w:sz w:val="22"/>
          <w:szCs w:val="22"/>
        </w:rPr>
        <w:t>3</w:t>
      </w:r>
      <w:r w:rsidRPr="00C60D11">
        <w:rPr>
          <w:sz w:val="22"/>
          <w:szCs w:val="22"/>
        </w:rPr>
        <w:t xml:space="preserve"> této smlouvy.</w:t>
      </w:r>
    </w:p>
    <w:p w14:paraId="1C1CFB90" w14:textId="77777777" w:rsidR="00135431" w:rsidRPr="00C60D11" w:rsidRDefault="00135431" w:rsidP="00135431">
      <w:pPr>
        <w:ind w:left="709"/>
        <w:jc w:val="both"/>
        <w:rPr>
          <w:sz w:val="22"/>
          <w:szCs w:val="22"/>
        </w:rPr>
      </w:pPr>
    </w:p>
    <w:p w14:paraId="1C1CFB91" w14:textId="37A7F04A" w:rsidR="00135431" w:rsidRPr="00C60D11" w:rsidRDefault="00135431" w:rsidP="00135431">
      <w:pPr>
        <w:ind w:left="709"/>
        <w:jc w:val="both"/>
        <w:rPr>
          <w:sz w:val="22"/>
          <w:szCs w:val="22"/>
        </w:rPr>
      </w:pPr>
      <w:r w:rsidRPr="00C60D11">
        <w:rPr>
          <w:sz w:val="22"/>
          <w:szCs w:val="22"/>
        </w:rPr>
        <w:t>Poskytovatel bude roční maintenance poskytovat za úplatu i po lhůtě uvedené v předchozím odstavci, a to za</w:t>
      </w:r>
      <w:r w:rsidR="000323B3">
        <w:rPr>
          <w:sz w:val="22"/>
          <w:szCs w:val="22"/>
        </w:rPr>
        <w:t> </w:t>
      </w:r>
      <w:r w:rsidRPr="00C60D11">
        <w:rPr>
          <w:sz w:val="22"/>
          <w:szCs w:val="22"/>
        </w:rPr>
        <w:t xml:space="preserve">cenu stanovenou v ceníku </w:t>
      </w:r>
      <w:r w:rsidRPr="00C60D11">
        <w:rPr>
          <w:spacing w:val="-3"/>
          <w:sz w:val="22"/>
          <w:szCs w:val="22"/>
        </w:rPr>
        <w:t>Microsoft</w:t>
      </w:r>
      <w:r w:rsidRPr="00C60D11">
        <w:rPr>
          <w:sz w:val="22"/>
          <w:szCs w:val="22"/>
        </w:rPr>
        <w:t xml:space="preserve"> pro dané období, to však jen za podmínky, že nabyvatel tuto cenu uhradí.</w:t>
      </w:r>
    </w:p>
    <w:p w14:paraId="1C1CFB92" w14:textId="77777777" w:rsidR="00135431" w:rsidRPr="00C60D11" w:rsidRDefault="00135431" w:rsidP="00135431">
      <w:pPr>
        <w:ind w:left="709"/>
        <w:jc w:val="both"/>
        <w:rPr>
          <w:sz w:val="22"/>
          <w:szCs w:val="22"/>
        </w:rPr>
      </w:pPr>
    </w:p>
    <w:p w14:paraId="1C1CFB93" w14:textId="40BA2179" w:rsidR="00135431" w:rsidRPr="00C60D11" w:rsidRDefault="00135431" w:rsidP="00135431">
      <w:pPr>
        <w:ind w:left="709"/>
        <w:jc w:val="both"/>
        <w:rPr>
          <w:sz w:val="22"/>
          <w:szCs w:val="22"/>
        </w:rPr>
      </w:pPr>
      <w:r w:rsidRPr="00C60D11">
        <w:rPr>
          <w:sz w:val="22"/>
          <w:szCs w:val="22"/>
        </w:rPr>
        <w:t>Cenu za roční maintenance vyúčtuje poskytovatel nabyvateli zálohově vždy v termínu čtyři až šest týdnů před</w:t>
      </w:r>
      <w:r w:rsidR="000323B3">
        <w:rPr>
          <w:sz w:val="22"/>
          <w:szCs w:val="22"/>
        </w:rPr>
        <w:t> </w:t>
      </w:r>
      <w:r w:rsidRPr="00C60D11">
        <w:rPr>
          <w:sz w:val="22"/>
          <w:szCs w:val="22"/>
        </w:rPr>
        <w:t>posledním dnem období, na které je dosud sjednáno poskytování maintenance.</w:t>
      </w:r>
    </w:p>
    <w:p w14:paraId="1C1CFB94" w14:textId="77777777" w:rsidR="00135431" w:rsidRPr="00C60D11" w:rsidRDefault="00135431" w:rsidP="00135431">
      <w:pPr>
        <w:ind w:left="709"/>
        <w:jc w:val="both"/>
        <w:rPr>
          <w:sz w:val="22"/>
          <w:szCs w:val="22"/>
        </w:rPr>
      </w:pPr>
    </w:p>
    <w:p w14:paraId="1C1CFB95" w14:textId="77777777" w:rsidR="00135431" w:rsidRPr="00C60D11" w:rsidRDefault="00135431" w:rsidP="00135431">
      <w:pPr>
        <w:ind w:left="709"/>
        <w:jc w:val="both"/>
        <w:rPr>
          <w:sz w:val="22"/>
          <w:szCs w:val="22"/>
        </w:rPr>
      </w:pPr>
      <w:r w:rsidRPr="00C60D11">
        <w:rPr>
          <w:sz w:val="22"/>
          <w:szCs w:val="22"/>
        </w:rPr>
        <w:t xml:space="preserve">Pokud nabyvatel zaplatí zálohové vyúčtování vystavené podle předchozího odstavce později než dvacet dnů před posledním dnem, do kterého je dosud sjednáno poskytování maintenance, </w:t>
      </w:r>
      <w:r w:rsidRPr="00C60D11">
        <w:rPr>
          <w:spacing w:val="-3"/>
          <w:sz w:val="22"/>
          <w:szCs w:val="22"/>
        </w:rPr>
        <w:t>pak ztrácí nárok na její další poskytování</w:t>
      </w:r>
      <w:r w:rsidRPr="00C60D11">
        <w:rPr>
          <w:sz w:val="22"/>
          <w:szCs w:val="22"/>
        </w:rPr>
        <w:t>.</w:t>
      </w:r>
    </w:p>
    <w:p w14:paraId="1C1CFB96" w14:textId="77777777" w:rsidR="00135431" w:rsidRPr="00C60D11" w:rsidRDefault="00135431" w:rsidP="00135431">
      <w:pPr>
        <w:ind w:left="709"/>
        <w:jc w:val="both"/>
        <w:rPr>
          <w:sz w:val="22"/>
          <w:szCs w:val="22"/>
        </w:rPr>
      </w:pPr>
      <w:r w:rsidRPr="00C60D11">
        <w:rPr>
          <w:sz w:val="22"/>
          <w:szCs w:val="22"/>
        </w:rPr>
        <w:t>Zálohová vyúčtování jsou splatná vždy do deseti dnů ode dne jejich vystavení. Daňový doklad (fakturu) vystaví poskytovatel do čtrnácti dnů po zaplacení příslušného zálohového vyúčtování.</w:t>
      </w:r>
    </w:p>
    <w:p w14:paraId="1C1CFB97" w14:textId="77777777" w:rsidR="00135431" w:rsidRPr="00C60D11" w:rsidRDefault="00135431" w:rsidP="00135431">
      <w:pPr>
        <w:ind w:left="709"/>
        <w:jc w:val="both"/>
        <w:rPr>
          <w:sz w:val="22"/>
          <w:szCs w:val="22"/>
        </w:rPr>
      </w:pPr>
    </w:p>
    <w:p w14:paraId="1C1CFB98" w14:textId="77777777" w:rsidR="00135431" w:rsidRPr="00C60D11" w:rsidRDefault="00135431" w:rsidP="00135431">
      <w:pPr>
        <w:ind w:left="709"/>
        <w:jc w:val="both"/>
        <w:rPr>
          <w:sz w:val="22"/>
          <w:szCs w:val="22"/>
        </w:rPr>
      </w:pPr>
      <w:r w:rsidRPr="00C60D11">
        <w:rPr>
          <w:sz w:val="22"/>
          <w:szCs w:val="22"/>
        </w:rPr>
        <w:t xml:space="preserve">Změní-li </w:t>
      </w:r>
      <w:r w:rsidRPr="00C60D11">
        <w:rPr>
          <w:spacing w:val="-3"/>
          <w:sz w:val="22"/>
          <w:szCs w:val="22"/>
        </w:rPr>
        <w:t>Microsoft</w:t>
      </w:r>
      <w:r w:rsidRPr="00C60D11">
        <w:rPr>
          <w:sz w:val="22"/>
          <w:szCs w:val="22"/>
        </w:rPr>
        <w:t xml:space="preserve"> podmínky pro poskytování roční maintenance, je poskytovatel oprávněn přiměřeně upravit podmínky pro její poskytování sjednané výše v tomto článku této smlouvy. </w:t>
      </w:r>
    </w:p>
    <w:p w14:paraId="1C1CFB99" w14:textId="77777777" w:rsidR="00135431" w:rsidRDefault="00135431" w:rsidP="00135431">
      <w:pPr>
        <w:ind w:left="709"/>
        <w:rPr>
          <w:sz w:val="22"/>
          <w:szCs w:val="22"/>
        </w:rPr>
      </w:pPr>
    </w:p>
    <w:p w14:paraId="54E864A7" w14:textId="77777777" w:rsidR="008A005E" w:rsidRPr="00DD3182" w:rsidRDefault="008A005E" w:rsidP="00135431">
      <w:pPr>
        <w:ind w:left="709"/>
        <w:rPr>
          <w:sz w:val="22"/>
          <w:szCs w:val="22"/>
        </w:rPr>
      </w:pPr>
    </w:p>
    <w:p w14:paraId="1C1CFB9A" w14:textId="77777777" w:rsidR="00135431" w:rsidRDefault="00135431" w:rsidP="00135431">
      <w:pPr>
        <w:numPr>
          <w:ilvl w:val="0"/>
          <w:numId w:val="1"/>
        </w:numPr>
        <w:jc w:val="both"/>
        <w:rPr>
          <w:rFonts w:ascii="Cambria" w:hAnsi="Cambria"/>
          <w:b/>
          <w:szCs w:val="24"/>
        </w:rPr>
      </w:pPr>
      <w:r>
        <w:rPr>
          <w:rFonts w:ascii="Cambria" w:hAnsi="Cambria"/>
          <w:b/>
          <w:szCs w:val="24"/>
        </w:rPr>
        <w:t>OPRÁVNĚNÉ OSOBY</w:t>
      </w:r>
    </w:p>
    <w:p w14:paraId="1C1CFB9B" w14:textId="3FA2E996" w:rsidR="00135431" w:rsidRPr="00BF0272" w:rsidRDefault="00135431" w:rsidP="00135431">
      <w:pPr>
        <w:ind w:left="709"/>
        <w:jc w:val="both"/>
        <w:rPr>
          <w:sz w:val="22"/>
          <w:szCs w:val="22"/>
        </w:rPr>
      </w:pPr>
      <w:r w:rsidRPr="00BF0272">
        <w:rPr>
          <w:sz w:val="22"/>
          <w:szCs w:val="22"/>
        </w:rPr>
        <w:t>Každá ze smluvních stran může jmenovat oprávněné osoby, jejichž jména se v takovém případě uvedou v Příloze č. 1 této smlouvy, čl. 3.  Oprávněné osoby, pokud budou jmenovány, zastupují smluvní stranu v</w:t>
      </w:r>
      <w:r w:rsidR="000323B3">
        <w:rPr>
          <w:sz w:val="22"/>
          <w:szCs w:val="22"/>
        </w:rPr>
        <w:t> </w:t>
      </w:r>
      <w:r w:rsidRPr="00BF0272">
        <w:rPr>
          <w:sz w:val="22"/>
          <w:szCs w:val="22"/>
        </w:rPr>
        <w:t xml:space="preserve">technických a obchodních záležitostech souvisejících s plněním této smlouvy. </w:t>
      </w:r>
    </w:p>
    <w:p w14:paraId="1C1CFB9C" w14:textId="77777777" w:rsidR="00135431" w:rsidRPr="00BF0272" w:rsidRDefault="00135431" w:rsidP="00135431">
      <w:pPr>
        <w:ind w:left="709"/>
        <w:jc w:val="both"/>
        <w:rPr>
          <w:sz w:val="22"/>
          <w:szCs w:val="22"/>
        </w:rPr>
      </w:pPr>
    </w:p>
    <w:p w14:paraId="1C1CFB9D" w14:textId="77777777" w:rsidR="00135431" w:rsidRPr="00BF0272" w:rsidRDefault="00135431" w:rsidP="00135431">
      <w:pPr>
        <w:ind w:left="709"/>
        <w:jc w:val="both"/>
        <w:rPr>
          <w:sz w:val="22"/>
          <w:szCs w:val="22"/>
        </w:rPr>
      </w:pPr>
      <w:r w:rsidRPr="00BF0272">
        <w:rPr>
          <w:sz w:val="22"/>
          <w:szCs w:val="22"/>
        </w:rPr>
        <w:t>Smluvní strany jsou oprávněny jednostranně změnit oprávněné osoby, jsou však povinny takovou změnu druhé smluvní straně písemně oznámit bez zbytečného odkladu.</w:t>
      </w:r>
    </w:p>
    <w:p w14:paraId="1C1CFB9E" w14:textId="77777777" w:rsidR="00135431" w:rsidRDefault="00135431" w:rsidP="00135431">
      <w:pPr>
        <w:rPr>
          <w:sz w:val="22"/>
          <w:szCs w:val="22"/>
        </w:rPr>
      </w:pPr>
    </w:p>
    <w:p w14:paraId="726A2E23" w14:textId="77777777" w:rsidR="008A005E" w:rsidRPr="00DD3182" w:rsidRDefault="008A005E" w:rsidP="00135431">
      <w:pPr>
        <w:rPr>
          <w:sz w:val="22"/>
          <w:szCs w:val="22"/>
        </w:rPr>
      </w:pPr>
    </w:p>
    <w:p w14:paraId="1C1CFB9F" w14:textId="77777777" w:rsidR="00135431" w:rsidRDefault="00135431" w:rsidP="00135431">
      <w:pPr>
        <w:numPr>
          <w:ilvl w:val="0"/>
          <w:numId w:val="1"/>
        </w:numPr>
        <w:jc w:val="both"/>
        <w:rPr>
          <w:rFonts w:ascii="Cambria" w:hAnsi="Cambria"/>
          <w:b/>
          <w:szCs w:val="24"/>
        </w:rPr>
      </w:pPr>
      <w:bookmarkStart w:id="4" w:name="_Ref70684724"/>
      <w:bookmarkStart w:id="5" w:name="_Ref380559910"/>
      <w:r>
        <w:rPr>
          <w:rFonts w:ascii="Cambria" w:hAnsi="Cambria"/>
          <w:b/>
          <w:szCs w:val="24"/>
        </w:rPr>
        <w:t>OCHRANA INFORMACÍ</w:t>
      </w:r>
      <w:bookmarkEnd w:id="4"/>
      <w:bookmarkEnd w:id="5"/>
      <w:r>
        <w:rPr>
          <w:rFonts w:ascii="Cambria" w:hAnsi="Cambria"/>
          <w:b/>
          <w:szCs w:val="24"/>
        </w:rPr>
        <w:t xml:space="preserve"> </w:t>
      </w:r>
    </w:p>
    <w:p w14:paraId="2F86EA4E" w14:textId="2A8C32D9" w:rsidR="00923539" w:rsidRPr="00BF0272" w:rsidRDefault="00135431" w:rsidP="00923539">
      <w:pPr>
        <w:ind w:left="709"/>
        <w:jc w:val="both"/>
        <w:rPr>
          <w:sz w:val="22"/>
          <w:szCs w:val="22"/>
        </w:rPr>
      </w:pPr>
      <w:bookmarkStart w:id="6" w:name="_Ref70684780"/>
      <w:r w:rsidRPr="00BF0272">
        <w:rPr>
          <w:sz w:val="22"/>
          <w:szCs w:val="22"/>
        </w:rPr>
        <w:t>Žádná ze smluvních stran nesmí zpřístupnit třetí osobě důvěrné informace, které při plnění této smlouvy získala od druhé smluvní strany. To neplatí, mají-li být za účelem plnění této smlouvy tyto informace zpřístupněny zaměstnancům, statutárním orgánům nebo jejich členům a subdodavatelům poskytovatele podílejícím se na plnění této smlouvy za stejných podmínek, jaké jsou stanoveny smluvním stranám v tomto článku, a to jen v  rozsahu nezbytně nutném pro řádné plnění této smlouvy.</w:t>
      </w:r>
      <w:bookmarkEnd w:id="6"/>
      <w:r w:rsidRPr="00BF0272">
        <w:rPr>
          <w:sz w:val="22"/>
          <w:szCs w:val="22"/>
        </w:rPr>
        <w:t xml:space="preserve"> </w:t>
      </w:r>
    </w:p>
    <w:p w14:paraId="1C1CFBA1" w14:textId="77777777" w:rsidR="00135431" w:rsidRPr="00BF0272" w:rsidRDefault="00135431" w:rsidP="00135431">
      <w:pPr>
        <w:ind w:left="709"/>
        <w:jc w:val="both"/>
        <w:rPr>
          <w:sz w:val="22"/>
          <w:szCs w:val="22"/>
        </w:rPr>
      </w:pPr>
    </w:p>
    <w:p w14:paraId="1C1CFBA2" w14:textId="77777777" w:rsidR="00135431" w:rsidRPr="00BF0272" w:rsidRDefault="00135431" w:rsidP="00135431">
      <w:pPr>
        <w:ind w:left="709"/>
        <w:jc w:val="both"/>
        <w:rPr>
          <w:sz w:val="22"/>
          <w:szCs w:val="22"/>
        </w:rPr>
      </w:pPr>
      <w:r w:rsidRPr="00BF0272">
        <w:rPr>
          <w:sz w:val="22"/>
          <w:szCs w:val="22"/>
        </w:rPr>
        <w:t>Ochrana informací se nevztahuje na případy, kdy</w:t>
      </w:r>
    </w:p>
    <w:p w14:paraId="46E37966" w14:textId="10DB8916" w:rsidR="5433E93C" w:rsidRPr="003D7CEC" w:rsidRDefault="5433E93C" w:rsidP="5433E93C">
      <w:pPr>
        <w:pStyle w:val="Odstavecseseznamem"/>
        <w:numPr>
          <w:ilvl w:val="0"/>
          <w:numId w:val="3"/>
        </w:numPr>
        <w:spacing w:after="200" w:line="276" w:lineRule="auto"/>
        <w:jc w:val="both"/>
        <w:rPr>
          <w:sz w:val="22"/>
          <w:szCs w:val="22"/>
        </w:rPr>
      </w:pPr>
      <w:r w:rsidRPr="5433E93C">
        <w:rPr>
          <w:sz w:val="22"/>
          <w:szCs w:val="22"/>
        </w:rPr>
        <w:lastRenderedPageBreak/>
        <w:t>smluvní strana prokáže, že je tato informace veřejně dostupná, aniž by tuto dostupnos</w:t>
      </w:r>
      <w:r w:rsidR="003D7CEC">
        <w:rPr>
          <w:sz w:val="22"/>
          <w:szCs w:val="22"/>
        </w:rPr>
        <w:t>t způsobila sama smluvní strana;</w:t>
      </w:r>
    </w:p>
    <w:p w14:paraId="1C1CFBA4" w14:textId="77777777" w:rsidR="00135431" w:rsidRPr="00BF0272" w:rsidRDefault="00135431" w:rsidP="00135431">
      <w:pPr>
        <w:pStyle w:val="Odstavecseseznamem"/>
        <w:numPr>
          <w:ilvl w:val="0"/>
          <w:numId w:val="3"/>
        </w:numPr>
        <w:spacing w:after="200" w:line="276" w:lineRule="auto"/>
        <w:jc w:val="both"/>
        <w:rPr>
          <w:sz w:val="22"/>
          <w:szCs w:val="22"/>
        </w:rPr>
      </w:pPr>
      <w:r w:rsidRPr="00BF0272">
        <w:rPr>
          <w:sz w:val="22"/>
          <w:szCs w:val="22"/>
        </w:rPr>
        <w:t>smluvní strana prokáže, že měla tuto informaci k dispozici ještě před datem zpřístupnění druhou stranou, a že ji nenabyla v rozporu se zákonem;</w:t>
      </w:r>
    </w:p>
    <w:p w14:paraId="1C1CFBA5" w14:textId="77777777" w:rsidR="00135431" w:rsidRPr="00BF0272" w:rsidRDefault="00135431" w:rsidP="00135431">
      <w:pPr>
        <w:pStyle w:val="Odstavecseseznamem"/>
        <w:numPr>
          <w:ilvl w:val="0"/>
          <w:numId w:val="3"/>
        </w:numPr>
        <w:spacing w:after="200" w:line="276" w:lineRule="auto"/>
        <w:jc w:val="both"/>
        <w:rPr>
          <w:sz w:val="22"/>
          <w:szCs w:val="22"/>
        </w:rPr>
      </w:pPr>
      <w:r w:rsidRPr="00BF0272">
        <w:rPr>
          <w:sz w:val="22"/>
          <w:szCs w:val="22"/>
        </w:rPr>
        <w:t>může smluvní strana získat bezúplatně tuto informaci od třetí osoby, která není omezena v jejím zpřístupnění;</w:t>
      </w:r>
    </w:p>
    <w:p w14:paraId="1C1CFBA6" w14:textId="77777777" w:rsidR="00135431" w:rsidRPr="00BF0272" w:rsidRDefault="00135431" w:rsidP="00135431">
      <w:pPr>
        <w:pStyle w:val="Odstavecseseznamem"/>
        <w:numPr>
          <w:ilvl w:val="0"/>
          <w:numId w:val="3"/>
        </w:numPr>
        <w:spacing w:after="200" w:line="276" w:lineRule="auto"/>
        <w:jc w:val="both"/>
        <w:rPr>
          <w:sz w:val="22"/>
          <w:szCs w:val="22"/>
        </w:rPr>
      </w:pPr>
      <w:r w:rsidRPr="00BF0272">
        <w:rPr>
          <w:sz w:val="22"/>
          <w:szCs w:val="22"/>
        </w:rPr>
        <w:t>obdrží smluvní strana od zpřístupňující strany písemný souhlas zpřístupňovat danou informaci; nebo</w:t>
      </w:r>
    </w:p>
    <w:p w14:paraId="1C1CFBA7" w14:textId="77777777" w:rsidR="00135431" w:rsidRPr="00BF0272" w:rsidRDefault="00135431" w:rsidP="00135431">
      <w:pPr>
        <w:pStyle w:val="Odstavecseseznamem"/>
        <w:numPr>
          <w:ilvl w:val="0"/>
          <w:numId w:val="3"/>
        </w:numPr>
        <w:spacing w:after="200" w:line="276" w:lineRule="auto"/>
        <w:jc w:val="both"/>
        <w:rPr>
          <w:sz w:val="22"/>
          <w:szCs w:val="22"/>
        </w:rPr>
      </w:pPr>
      <w:r w:rsidRPr="00BF0272">
        <w:rPr>
          <w:sz w:val="22"/>
          <w:szCs w:val="22"/>
        </w:rPr>
        <w:t>je-li zpřístupnění informace vyžadováno zákonem nebo závazným rozhodnutím oprávněného orgánu.</w:t>
      </w:r>
    </w:p>
    <w:p w14:paraId="345EB859" w14:textId="695BDE6C" w:rsidR="00923539" w:rsidRPr="00BF0272" w:rsidRDefault="00135431" w:rsidP="00923539">
      <w:pPr>
        <w:ind w:left="709"/>
        <w:jc w:val="both"/>
        <w:rPr>
          <w:sz w:val="22"/>
          <w:szCs w:val="22"/>
        </w:rPr>
      </w:pPr>
      <w:r w:rsidRPr="00BF0272">
        <w:rPr>
          <w:sz w:val="22"/>
          <w:szCs w:val="22"/>
        </w:rPr>
        <w:t>Za důvěrné informace jsou dle této smlouvy stranami považovány veškeré informace vzájemně poskytnuté v</w:t>
      </w:r>
      <w:r w:rsidR="000323B3">
        <w:rPr>
          <w:sz w:val="22"/>
          <w:szCs w:val="22"/>
        </w:rPr>
        <w:t> </w:t>
      </w:r>
      <w:r w:rsidRPr="00BF0272">
        <w:rPr>
          <w:sz w:val="22"/>
          <w:szCs w:val="22"/>
        </w:rPr>
        <w:t xml:space="preserve">ústní nebo v písemné formě s výjimkou informací, na které se podle výše uvedeného ujednání ochrana nevztahuje. Za důvěrné informace jsou dle této smlouvy považovány </w:t>
      </w:r>
      <w:r w:rsidR="00923539">
        <w:rPr>
          <w:sz w:val="22"/>
          <w:szCs w:val="22"/>
        </w:rPr>
        <w:t xml:space="preserve">zejména </w:t>
      </w:r>
      <w:r w:rsidR="00923539">
        <w:rPr>
          <w:rFonts w:asciiTheme="minorHAnsi" w:hAnsiTheme="minorHAnsi" w:cstheme="minorHAnsi"/>
          <w:bCs/>
          <w:sz w:val="22"/>
        </w:rPr>
        <w:t xml:space="preserve">cenová politika, marketingová strategie a způsob fungování podniku zákazníka, jakož i jeho strategická rozhodnutí a podnikatelské záměry, </w:t>
      </w:r>
      <w:r w:rsidRPr="00BF0272">
        <w:rPr>
          <w:sz w:val="22"/>
          <w:szCs w:val="22"/>
        </w:rPr>
        <w:t xml:space="preserve">software, diagnostika, dokumentace včetně manuálů a veškeré další informace, které jsou písemně označeny jako důvěrné. </w:t>
      </w:r>
    </w:p>
    <w:p w14:paraId="1C1CFBAA" w14:textId="77777777" w:rsidR="00135431" w:rsidRDefault="00135431" w:rsidP="00135431">
      <w:pPr>
        <w:ind w:left="709"/>
        <w:jc w:val="both"/>
        <w:rPr>
          <w:sz w:val="22"/>
          <w:szCs w:val="22"/>
        </w:rPr>
      </w:pPr>
      <w:r w:rsidRPr="00BF0272">
        <w:rPr>
          <w:sz w:val="22"/>
          <w:szCs w:val="22"/>
        </w:rPr>
        <w:t xml:space="preserve">Smluvní strany se zavazují, že nebudou důvěrné informace poskytnuté druhou stranou v listinné podobě kopírovat jako celek, ani zčásti. </w:t>
      </w:r>
      <w:bookmarkStart w:id="7" w:name="_Ref70685100"/>
      <w:r w:rsidRPr="00BF0272">
        <w:rPr>
          <w:sz w:val="22"/>
          <w:szCs w:val="22"/>
        </w:rPr>
        <w:t>Obě smluvní strany se zavazují nakládat s důvěrnými informacemi, které jim byly poskytnuty druhou stranou nebo je jinak získaly v souvislosti s plněním této Smlouvy, jako s obchodním tajemstvím, zejména uchovávat je v tajnosti a učinit veškerá smluvní a technická opatření zabraňující jejich zneužití či prozrazení.</w:t>
      </w:r>
      <w:bookmarkEnd w:id="7"/>
    </w:p>
    <w:p w14:paraId="4AAF99A0" w14:textId="77777777" w:rsidR="00FB3802" w:rsidRPr="00BF0272" w:rsidRDefault="00FB3802" w:rsidP="00135431">
      <w:pPr>
        <w:ind w:left="709"/>
        <w:jc w:val="both"/>
        <w:rPr>
          <w:sz w:val="22"/>
          <w:szCs w:val="22"/>
        </w:rPr>
      </w:pPr>
    </w:p>
    <w:p w14:paraId="1C1CFBAC" w14:textId="5126BDCC" w:rsidR="00135431" w:rsidRPr="00BF0272" w:rsidRDefault="00135431" w:rsidP="00135431">
      <w:pPr>
        <w:ind w:left="709"/>
        <w:jc w:val="both"/>
        <w:rPr>
          <w:sz w:val="22"/>
          <w:szCs w:val="22"/>
        </w:rPr>
      </w:pPr>
      <w:r w:rsidRPr="00BF0272">
        <w:rPr>
          <w:sz w:val="22"/>
          <w:szCs w:val="22"/>
        </w:rPr>
        <w:t>Smluvní strany se zavazují, že poučí své zaměstnance, statutární orgány, jejich členy a subdodavatele, kterým jsou zpřístupněny důvěrně informace</w:t>
      </w:r>
      <w:r w:rsidR="003D7CEC">
        <w:rPr>
          <w:sz w:val="22"/>
          <w:szCs w:val="22"/>
        </w:rPr>
        <w:t>,</w:t>
      </w:r>
      <w:r w:rsidRPr="00BF0272">
        <w:rPr>
          <w:sz w:val="22"/>
          <w:szCs w:val="22"/>
        </w:rPr>
        <w:t xml:space="preserve"> o povinnosti utajovat důvěrné informace ve smyslu tohoto článku.</w:t>
      </w:r>
    </w:p>
    <w:p w14:paraId="689AB63B" w14:textId="4A2237E7" w:rsidR="00923539" w:rsidRPr="00BF0272" w:rsidRDefault="00135431" w:rsidP="00923539">
      <w:pPr>
        <w:ind w:left="709"/>
        <w:jc w:val="both"/>
        <w:rPr>
          <w:sz w:val="22"/>
          <w:szCs w:val="22"/>
        </w:rPr>
      </w:pPr>
      <w:r w:rsidRPr="00BF0272">
        <w:rPr>
          <w:sz w:val="22"/>
          <w:szCs w:val="22"/>
        </w:rPr>
        <w:t>Povinnost utajovat důvěrné informace uvedená v tomto článku zavazuje smluvní strany podobu účinnosti této smlouvy a po dobu 2 (slovy: dvou) let po ukončení jejich smluvního vztahu.</w:t>
      </w:r>
    </w:p>
    <w:p w14:paraId="1C1CFBAE" w14:textId="77777777" w:rsidR="00135431" w:rsidRPr="00BF0272" w:rsidRDefault="00135431" w:rsidP="00135431">
      <w:pPr>
        <w:ind w:left="709"/>
        <w:jc w:val="both"/>
        <w:rPr>
          <w:sz w:val="22"/>
          <w:szCs w:val="22"/>
        </w:rPr>
      </w:pPr>
    </w:p>
    <w:p w14:paraId="1C1CFBAF" w14:textId="1ECCEFE6" w:rsidR="00135431" w:rsidRPr="00BF0272" w:rsidRDefault="00135431" w:rsidP="00135431">
      <w:pPr>
        <w:ind w:left="709"/>
        <w:jc w:val="both"/>
        <w:rPr>
          <w:sz w:val="22"/>
          <w:szCs w:val="22"/>
        </w:rPr>
      </w:pPr>
      <w:r w:rsidRPr="00BF0272">
        <w:rPr>
          <w:sz w:val="22"/>
          <w:szCs w:val="22"/>
        </w:rPr>
        <w:t>Smluvní strana, která poruší povinnosti vyplývající z této smlouvy ohledně ochrany důvěrných informací</w:t>
      </w:r>
      <w:r w:rsidR="003D7CEC">
        <w:rPr>
          <w:sz w:val="22"/>
          <w:szCs w:val="22"/>
        </w:rPr>
        <w:t>,</w:t>
      </w:r>
      <w:r w:rsidRPr="00BF0272">
        <w:rPr>
          <w:sz w:val="22"/>
          <w:szCs w:val="22"/>
        </w:rPr>
        <w:t xml:space="preserve"> je povinna zaplatit druhé smluvní straně smluvní pokutu ve výši 100.000 Kč (slovy: jedno</w:t>
      </w:r>
      <w:r w:rsidR="003D7CEC">
        <w:rPr>
          <w:sz w:val="22"/>
          <w:szCs w:val="22"/>
        </w:rPr>
        <w:t xml:space="preserve"> </w:t>
      </w:r>
      <w:r w:rsidRPr="00BF0272">
        <w:rPr>
          <w:sz w:val="22"/>
          <w:szCs w:val="22"/>
        </w:rPr>
        <w:t>sto</w:t>
      </w:r>
      <w:r w:rsidR="003D7CEC">
        <w:rPr>
          <w:sz w:val="22"/>
          <w:szCs w:val="22"/>
        </w:rPr>
        <w:t xml:space="preserve"> </w:t>
      </w:r>
      <w:r w:rsidRPr="00BF0272">
        <w:rPr>
          <w:sz w:val="22"/>
          <w:szCs w:val="22"/>
        </w:rPr>
        <w:t xml:space="preserve">tisíc korun českých) za každé </w:t>
      </w:r>
      <w:r w:rsidR="00BC78DF">
        <w:rPr>
          <w:sz w:val="22"/>
          <w:szCs w:val="22"/>
        </w:rPr>
        <w:t xml:space="preserve">jedno </w:t>
      </w:r>
      <w:r w:rsidRPr="00BF0272">
        <w:rPr>
          <w:sz w:val="22"/>
          <w:szCs w:val="22"/>
        </w:rPr>
        <w:t>porušení takové povinnosti, a to do 15 (patnácti) dnů ode dne doručení faktury vystavené na</w:t>
      </w:r>
      <w:r w:rsidR="000323B3">
        <w:rPr>
          <w:sz w:val="22"/>
          <w:szCs w:val="22"/>
        </w:rPr>
        <w:t> </w:t>
      </w:r>
      <w:r w:rsidRPr="00BF0272">
        <w:rPr>
          <w:sz w:val="22"/>
          <w:szCs w:val="22"/>
        </w:rPr>
        <w:t>její uhrazení. Tím není dotčen ani omezen nárok na náhradu vzniklé škody.</w:t>
      </w:r>
    </w:p>
    <w:p w14:paraId="1C1CFBB0" w14:textId="77777777" w:rsidR="00135431" w:rsidRPr="00BF0272" w:rsidRDefault="00135431" w:rsidP="00135431">
      <w:pPr>
        <w:ind w:left="709"/>
        <w:jc w:val="both"/>
        <w:rPr>
          <w:sz w:val="22"/>
          <w:szCs w:val="22"/>
        </w:rPr>
      </w:pPr>
    </w:p>
    <w:p w14:paraId="1C1CFBB1" w14:textId="77777777" w:rsidR="00135431" w:rsidRPr="00BF0272" w:rsidRDefault="00135431" w:rsidP="00135431">
      <w:pPr>
        <w:ind w:left="709"/>
        <w:rPr>
          <w:sz w:val="22"/>
          <w:szCs w:val="22"/>
        </w:rPr>
      </w:pPr>
      <w:r w:rsidRPr="00BF0272">
        <w:rPr>
          <w:sz w:val="22"/>
          <w:szCs w:val="22"/>
        </w:rPr>
        <w:t>Poskytovatel a jím pověřené jiné osoby jsou povinni všechny informace související s předmětem smlouvy zachovat v tajnosti ve vztahu k třetím osobám.</w:t>
      </w:r>
    </w:p>
    <w:p w14:paraId="1C1CFBB2" w14:textId="77777777" w:rsidR="00135431" w:rsidRDefault="00135431" w:rsidP="00135431">
      <w:pPr>
        <w:ind w:left="709"/>
        <w:rPr>
          <w:sz w:val="22"/>
          <w:szCs w:val="22"/>
        </w:rPr>
      </w:pPr>
    </w:p>
    <w:p w14:paraId="6E78DBE3" w14:textId="77777777" w:rsidR="008A005E" w:rsidRPr="00DD3182" w:rsidRDefault="008A005E" w:rsidP="00135431">
      <w:pPr>
        <w:ind w:left="709"/>
        <w:rPr>
          <w:sz w:val="22"/>
          <w:szCs w:val="22"/>
        </w:rPr>
      </w:pPr>
    </w:p>
    <w:p w14:paraId="1C1CFBB3" w14:textId="77777777" w:rsidR="00135431" w:rsidRDefault="00135431" w:rsidP="00135431">
      <w:pPr>
        <w:numPr>
          <w:ilvl w:val="0"/>
          <w:numId w:val="1"/>
        </w:numPr>
        <w:jc w:val="both"/>
        <w:rPr>
          <w:rFonts w:ascii="Cambria" w:hAnsi="Cambria"/>
          <w:b/>
          <w:szCs w:val="24"/>
        </w:rPr>
      </w:pPr>
      <w:r>
        <w:rPr>
          <w:rFonts w:ascii="Cambria" w:hAnsi="Cambria"/>
          <w:b/>
          <w:szCs w:val="24"/>
        </w:rPr>
        <w:t xml:space="preserve">SOUČINNOST A VZÁJEMNÁ KOMUNIKACE </w:t>
      </w:r>
    </w:p>
    <w:p w14:paraId="1C1CFBB4" w14:textId="77777777" w:rsidR="00135431" w:rsidRPr="00BF0272" w:rsidRDefault="00135431" w:rsidP="00135431">
      <w:pPr>
        <w:ind w:left="709"/>
        <w:jc w:val="both"/>
        <w:rPr>
          <w:sz w:val="22"/>
          <w:szCs w:val="22"/>
        </w:rPr>
      </w:pPr>
      <w:r w:rsidRPr="00BF0272">
        <w:rPr>
          <w:sz w:val="22"/>
          <w:szCs w:val="22"/>
        </w:rPr>
        <w:t xml:space="preserve">Veškerá komunikace mezi smluvními stranami bude probíhat prostřednictvím oprávněných osob nebo statutárních orgánů smluvních stran, popř. jimi pověřených pracovníků. </w:t>
      </w:r>
    </w:p>
    <w:p w14:paraId="1C1CFBB5" w14:textId="77777777" w:rsidR="00135431" w:rsidRPr="00BF0272" w:rsidRDefault="00135431" w:rsidP="00135431">
      <w:pPr>
        <w:ind w:left="709"/>
        <w:jc w:val="both"/>
        <w:rPr>
          <w:sz w:val="22"/>
          <w:szCs w:val="22"/>
        </w:rPr>
      </w:pPr>
    </w:p>
    <w:p w14:paraId="1C1CFBB6" w14:textId="77777777" w:rsidR="00135431" w:rsidRPr="00BF0272" w:rsidRDefault="00135431" w:rsidP="00135431">
      <w:pPr>
        <w:ind w:left="709"/>
        <w:jc w:val="both"/>
        <w:rPr>
          <w:sz w:val="22"/>
          <w:szCs w:val="22"/>
        </w:rPr>
      </w:pPr>
      <w:r w:rsidRPr="00BF0272">
        <w:rPr>
          <w:sz w:val="22"/>
          <w:szCs w:val="22"/>
        </w:rPr>
        <w:t>Nabyvatel umožní poskytovateli přímé připojení na počítače s instalovaným softwarem, který je předmětem plnění, s cílem umožnit operativní řešení případných reklamací a připomínek nabyvatele.</w:t>
      </w:r>
    </w:p>
    <w:p w14:paraId="1C1CFBB7" w14:textId="77777777" w:rsidR="00135431" w:rsidRPr="00BF0272" w:rsidRDefault="00135431" w:rsidP="00135431">
      <w:pPr>
        <w:ind w:left="709"/>
        <w:jc w:val="both"/>
        <w:rPr>
          <w:sz w:val="22"/>
          <w:szCs w:val="22"/>
        </w:rPr>
      </w:pPr>
    </w:p>
    <w:p w14:paraId="1C1CFBB8" w14:textId="77777777" w:rsidR="00135431" w:rsidRPr="00BF0272" w:rsidRDefault="00135431" w:rsidP="00135431">
      <w:pPr>
        <w:ind w:left="709"/>
        <w:jc w:val="both"/>
        <w:rPr>
          <w:sz w:val="22"/>
          <w:szCs w:val="22"/>
        </w:rPr>
      </w:pPr>
      <w:r w:rsidRPr="00BF0272">
        <w:rPr>
          <w:sz w:val="22"/>
          <w:szCs w:val="22"/>
        </w:rPr>
        <w:t xml:space="preserve">Poskytovatel upozorňuje nabyvatele, že podmínkou úspěšné implementace (instalace, nastavení parametrů IS) softwaru, který je předmětem plnění, je proškolení příslušné osoby pověřené nabyvatelem. Pokud implementaci bude provádět neproškolená osoba, pak poskytovatel neručí za její úspěšné provedení. </w:t>
      </w:r>
    </w:p>
    <w:p w14:paraId="1C1CFBB9" w14:textId="77777777" w:rsidR="00135431" w:rsidRPr="00BF0272" w:rsidRDefault="00135431" w:rsidP="00135431">
      <w:pPr>
        <w:ind w:left="709"/>
        <w:jc w:val="both"/>
        <w:rPr>
          <w:sz w:val="22"/>
          <w:szCs w:val="22"/>
        </w:rPr>
      </w:pPr>
    </w:p>
    <w:p w14:paraId="1C1CFBBA" w14:textId="77777777" w:rsidR="00135431" w:rsidRPr="00BF0272" w:rsidRDefault="5433E93C" w:rsidP="00135431">
      <w:pPr>
        <w:ind w:left="709"/>
        <w:jc w:val="both"/>
        <w:rPr>
          <w:sz w:val="22"/>
          <w:szCs w:val="22"/>
        </w:rPr>
      </w:pPr>
      <w:r w:rsidRPr="5433E93C">
        <w:rPr>
          <w:sz w:val="22"/>
          <w:szCs w:val="22"/>
        </w:rPr>
        <w:t>Smluvní strany se zavazují, že v případě změny své adresy budou o této změně druhou smluvní stranu informovat nejpozději do tří (3) dnů od účinnosti změny.</w:t>
      </w:r>
    </w:p>
    <w:p w14:paraId="1C1CFBBB" w14:textId="77777777" w:rsidR="00135431" w:rsidRDefault="00135431" w:rsidP="003D7CEC">
      <w:pPr>
        <w:jc w:val="both"/>
        <w:rPr>
          <w:sz w:val="22"/>
          <w:szCs w:val="22"/>
        </w:rPr>
      </w:pPr>
    </w:p>
    <w:p w14:paraId="2D989850" w14:textId="77777777" w:rsidR="008A005E" w:rsidRDefault="008A005E" w:rsidP="003D7CEC">
      <w:pPr>
        <w:jc w:val="both"/>
        <w:rPr>
          <w:sz w:val="22"/>
          <w:szCs w:val="22"/>
        </w:rPr>
      </w:pPr>
    </w:p>
    <w:p w14:paraId="521810D9" w14:textId="77777777" w:rsidR="008A005E" w:rsidRPr="00BF0272" w:rsidRDefault="008A005E" w:rsidP="003D7CEC">
      <w:pPr>
        <w:jc w:val="both"/>
        <w:rPr>
          <w:sz w:val="22"/>
          <w:szCs w:val="22"/>
        </w:rPr>
      </w:pPr>
    </w:p>
    <w:p w14:paraId="1C1CFBBE" w14:textId="77777777" w:rsidR="00135431" w:rsidRDefault="00135431" w:rsidP="00135431">
      <w:pPr>
        <w:numPr>
          <w:ilvl w:val="0"/>
          <w:numId w:val="1"/>
        </w:numPr>
        <w:rPr>
          <w:rFonts w:ascii="Cambria" w:hAnsi="Cambria"/>
          <w:b/>
          <w:szCs w:val="24"/>
        </w:rPr>
      </w:pPr>
      <w:r>
        <w:rPr>
          <w:rFonts w:ascii="Cambria" w:hAnsi="Cambria"/>
          <w:b/>
          <w:szCs w:val="24"/>
        </w:rPr>
        <w:lastRenderedPageBreak/>
        <w:t>ÚČINNOST SMLOUVY</w:t>
      </w:r>
    </w:p>
    <w:p w14:paraId="48E9296B" w14:textId="69A76ABF" w:rsidR="00475682" w:rsidRPr="00D6741D" w:rsidRDefault="00135431" w:rsidP="00D6741D">
      <w:pPr>
        <w:ind w:left="709"/>
        <w:rPr>
          <w:sz w:val="22"/>
          <w:szCs w:val="22"/>
        </w:rPr>
      </w:pPr>
      <w:r w:rsidRPr="00BF0272">
        <w:rPr>
          <w:sz w:val="22"/>
          <w:szCs w:val="22"/>
        </w:rPr>
        <w:t>Tato smlouva nabývá platnosti dnem jejího podpisu oběma smluvními stranami</w:t>
      </w:r>
      <w:r w:rsidR="00475682">
        <w:rPr>
          <w:sz w:val="22"/>
          <w:szCs w:val="22"/>
        </w:rPr>
        <w:t xml:space="preserve"> </w:t>
      </w:r>
      <w:r w:rsidR="000323B3">
        <w:rPr>
          <w:rFonts w:asciiTheme="minorHAnsi" w:hAnsiTheme="minorHAnsi"/>
          <w:sz w:val="22"/>
          <w:szCs w:val="22"/>
        </w:rPr>
        <w:t>a účinnosti zveřejněním v </w:t>
      </w:r>
      <w:r w:rsidR="00475682" w:rsidRPr="00D6741D">
        <w:rPr>
          <w:rFonts w:asciiTheme="minorHAnsi" w:hAnsiTheme="minorHAnsi"/>
          <w:sz w:val="22"/>
          <w:szCs w:val="22"/>
        </w:rPr>
        <w:t>registru smluv dle zákona č. 340/2015 Sb., o zvláštních podmínkách účinnosti některých smluv, uveřejňování těchto smluv a o registru smluv (zákon o registru smluv), ve znění pozdějších předpisů.</w:t>
      </w:r>
    </w:p>
    <w:p w14:paraId="4A62BC93" w14:textId="77777777" w:rsidR="00475682" w:rsidRPr="00BF0272" w:rsidRDefault="00475682" w:rsidP="00135431">
      <w:pPr>
        <w:ind w:left="709"/>
        <w:rPr>
          <w:sz w:val="22"/>
          <w:szCs w:val="22"/>
        </w:rPr>
      </w:pPr>
    </w:p>
    <w:p w14:paraId="1C1CFBC0" w14:textId="2BB8FA92" w:rsidR="00135431" w:rsidRPr="00BF0272" w:rsidRDefault="00475682" w:rsidP="00135431">
      <w:pPr>
        <w:ind w:left="709"/>
        <w:rPr>
          <w:sz w:val="22"/>
          <w:szCs w:val="22"/>
        </w:rPr>
      </w:pPr>
      <w:r>
        <w:rPr>
          <w:sz w:val="22"/>
          <w:szCs w:val="22"/>
        </w:rPr>
        <w:t>Smlouva je uzavřena na dobu trvání licence dle článku I.</w:t>
      </w:r>
    </w:p>
    <w:p w14:paraId="1C1CFBC1" w14:textId="77777777" w:rsidR="00135431" w:rsidRPr="00BF0272" w:rsidRDefault="00135431" w:rsidP="00135431">
      <w:pPr>
        <w:ind w:left="709"/>
        <w:rPr>
          <w:sz w:val="22"/>
          <w:szCs w:val="22"/>
        </w:rPr>
      </w:pPr>
      <w:r w:rsidRPr="00BF0272">
        <w:rPr>
          <w:sz w:val="22"/>
          <w:szCs w:val="22"/>
        </w:rPr>
        <w:t>Účinnost smlouvy lze předčasně ukončit:</w:t>
      </w:r>
    </w:p>
    <w:p w14:paraId="1C1CFBC2" w14:textId="77777777" w:rsidR="00135431" w:rsidRPr="00BF0272" w:rsidRDefault="00135431" w:rsidP="00135431">
      <w:pPr>
        <w:pStyle w:val="Odstavecseseznamem"/>
        <w:numPr>
          <w:ilvl w:val="0"/>
          <w:numId w:val="4"/>
        </w:numPr>
        <w:spacing w:after="200" w:line="276" w:lineRule="auto"/>
        <w:rPr>
          <w:sz w:val="22"/>
          <w:szCs w:val="22"/>
        </w:rPr>
      </w:pPr>
      <w:r w:rsidRPr="00BF0272">
        <w:rPr>
          <w:sz w:val="22"/>
          <w:szCs w:val="22"/>
        </w:rPr>
        <w:t>písemnou dohodou smluvních stran, jejíž součástí je i vypořádání vzájemných závazků a pohledávek,</w:t>
      </w:r>
    </w:p>
    <w:p w14:paraId="1C1CFBC3" w14:textId="77777777" w:rsidR="00135431" w:rsidRPr="00BF0272" w:rsidRDefault="00135431" w:rsidP="00135431">
      <w:pPr>
        <w:pStyle w:val="Odstavecseseznamem"/>
        <w:numPr>
          <w:ilvl w:val="0"/>
          <w:numId w:val="4"/>
        </w:numPr>
        <w:spacing w:after="200" w:line="276" w:lineRule="auto"/>
        <w:rPr>
          <w:sz w:val="22"/>
          <w:szCs w:val="22"/>
        </w:rPr>
      </w:pPr>
      <w:r w:rsidRPr="00BF0272">
        <w:rPr>
          <w:sz w:val="22"/>
          <w:szCs w:val="22"/>
        </w:rPr>
        <w:t>písemným odstoupením od smlouvy v případě podstatného porušení smlouvy jednou ze smluvních stran.</w:t>
      </w:r>
    </w:p>
    <w:p w14:paraId="1C1CFBC4" w14:textId="4AE3CBC7" w:rsidR="00135431" w:rsidRPr="00BF0272" w:rsidRDefault="00135431" w:rsidP="00135431">
      <w:pPr>
        <w:ind w:left="709"/>
        <w:rPr>
          <w:sz w:val="22"/>
          <w:szCs w:val="22"/>
        </w:rPr>
      </w:pPr>
      <w:r w:rsidRPr="00BF0272">
        <w:rPr>
          <w:sz w:val="22"/>
          <w:szCs w:val="22"/>
        </w:rPr>
        <w:t xml:space="preserve">Podstatným porušením smlouvy se rozumí zejména prodlení smluvní strany s plněním nepeněžitých závazků </w:t>
      </w:r>
      <w:r w:rsidR="00424B72">
        <w:rPr>
          <w:sz w:val="22"/>
          <w:szCs w:val="22"/>
        </w:rPr>
        <w:t>trvající i přes písemné upozornění druhou smluvní stranou déle</w:t>
      </w:r>
      <w:r w:rsidRPr="00BF0272">
        <w:rPr>
          <w:sz w:val="22"/>
          <w:szCs w:val="22"/>
        </w:rPr>
        <w:t xml:space="preserve"> než třicet (30) dní, popřípadě prodlení smluvní strany s plněním peněžitých závazků </w:t>
      </w:r>
      <w:r w:rsidR="00424B72">
        <w:rPr>
          <w:sz w:val="22"/>
          <w:szCs w:val="22"/>
        </w:rPr>
        <w:t>trvající i přes písemné upozornění druhou smluvní stranou déle</w:t>
      </w:r>
      <w:r w:rsidRPr="00BF0272">
        <w:rPr>
          <w:sz w:val="22"/>
          <w:szCs w:val="22"/>
        </w:rPr>
        <w:t xml:space="preserve"> než třicet (30) dní.</w:t>
      </w:r>
      <w:r w:rsidR="00B976E2">
        <w:rPr>
          <w:sz w:val="22"/>
          <w:szCs w:val="22"/>
        </w:rPr>
        <w:t xml:space="preserve"> Za podstatné porušení smlouvy </w:t>
      </w:r>
      <w:r w:rsidR="001E3B33">
        <w:rPr>
          <w:sz w:val="22"/>
          <w:szCs w:val="22"/>
        </w:rPr>
        <w:t xml:space="preserve">poskytovatelem </w:t>
      </w:r>
      <w:r w:rsidR="00B976E2">
        <w:rPr>
          <w:sz w:val="22"/>
          <w:szCs w:val="22"/>
        </w:rPr>
        <w:t>se považuje rovněž případ, kdy prohlášení poskytovatele uvedené v článku I smlouvy se ukáže jako nepravdivé.</w:t>
      </w:r>
    </w:p>
    <w:p w14:paraId="1C1CFBC5" w14:textId="77777777" w:rsidR="00135431" w:rsidRPr="00BF0272" w:rsidRDefault="00135431" w:rsidP="00135431">
      <w:pPr>
        <w:ind w:left="709"/>
        <w:rPr>
          <w:sz w:val="22"/>
          <w:szCs w:val="22"/>
        </w:rPr>
      </w:pPr>
    </w:p>
    <w:p w14:paraId="62965F04" w14:textId="371C1CD4" w:rsidR="001E3B33" w:rsidRDefault="00135431" w:rsidP="00135431">
      <w:pPr>
        <w:ind w:left="709"/>
        <w:rPr>
          <w:sz w:val="22"/>
          <w:szCs w:val="22"/>
        </w:rPr>
      </w:pPr>
      <w:r w:rsidRPr="00BF0272">
        <w:rPr>
          <w:sz w:val="22"/>
          <w:szCs w:val="22"/>
        </w:rPr>
        <w:t>Odstoupením od smlouvy nejsou dotčena ustanovení týkající se smluvních pokut, ochrany informací, zajištění pohledávky kterékoliv ze smluvních stran, řešení sporů a ustanovení týkající se těch práv a povinností</w:t>
      </w:r>
      <w:r w:rsidR="003D7CEC">
        <w:rPr>
          <w:sz w:val="22"/>
          <w:szCs w:val="22"/>
        </w:rPr>
        <w:t>,</w:t>
      </w:r>
      <w:r w:rsidRPr="00BF0272">
        <w:rPr>
          <w:sz w:val="22"/>
          <w:szCs w:val="22"/>
        </w:rPr>
        <w:t xml:space="preserve"> z jejichž povahy vyplývá, že mají trvat i po odstoupení (zejména jde o povinnost poskytnout peněžitá plnění za plnění poskytnutá před účinnosti odstoupení).</w:t>
      </w:r>
    </w:p>
    <w:p w14:paraId="3DC8008F" w14:textId="190DDAA0" w:rsidR="001E3B33" w:rsidRPr="00BF0272" w:rsidRDefault="001E3B33" w:rsidP="00135431">
      <w:pPr>
        <w:ind w:left="709"/>
        <w:rPr>
          <w:sz w:val="22"/>
          <w:szCs w:val="22"/>
        </w:rPr>
      </w:pPr>
      <w:r>
        <w:rPr>
          <w:sz w:val="22"/>
          <w:szCs w:val="22"/>
        </w:rPr>
        <w:t>Odstoupení je účinné doručením písemného oznámení o odstoupení druhé smluvní straně.</w:t>
      </w:r>
    </w:p>
    <w:p w14:paraId="33606A57" w14:textId="77777777" w:rsidR="004025C1" w:rsidRDefault="004025C1" w:rsidP="003D7CEC">
      <w:pPr>
        <w:rPr>
          <w:sz w:val="22"/>
          <w:szCs w:val="22"/>
        </w:rPr>
      </w:pPr>
    </w:p>
    <w:p w14:paraId="004B423B" w14:textId="77777777" w:rsidR="008A005E" w:rsidRPr="00DD3182" w:rsidRDefault="008A005E" w:rsidP="003D7CEC">
      <w:pPr>
        <w:rPr>
          <w:sz w:val="22"/>
          <w:szCs w:val="22"/>
        </w:rPr>
      </w:pPr>
    </w:p>
    <w:p w14:paraId="1C1CFBC8" w14:textId="77777777" w:rsidR="00135431" w:rsidRDefault="00135431" w:rsidP="00135431">
      <w:pPr>
        <w:numPr>
          <w:ilvl w:val="0"/>
          <w:numId w:val="1"/>
        </w:numPr>
        <w:jc w:val="both"/>
        <w:rPr>
          <w:rFonts w:ascii="Cambria" w:hAnsi="Cambria"/>
          <w:b/>
          <w:szCs w:val="24"/>
        </w:rPr>
      </w:pPr>
      <w:r>
        <w:rPr>
          <w:rFonts w:ascii="Cambria" w:hAnsi="Cambria"/>
          <w:b/>
          <w:szCs w:val="24"/>
        </w:rPr>
        <w:t>ZÁVĚREČNÁ USTANOVENÍ</w:t>
      </w:r>
    </w:p>
    <w:p w14:paraId="1C1CFBC9" w14:textId="77777777" w:rsidR="00135431" w:rsidRPr="00BF0272" w:rsidRDefault="00135431" w:rsidP="00135431">
      <w:pPr>
        <w:ind w:left="709"/>
        <w:jc w:val="both"/>
        <w:rPr>
          <w:sz w:val="22"/>
          <w:szCs w:val="22"/>
        </w:rPr>
      </w:pPr>
      <w:r w:rsidRPr="00BF0272">
        <w:rPr>
          <w:sz w:val="22"/>
          <w:szCs w:val="22"/>
        </w:rPr>
        <w:t>Tato smlouva představuje úplnou dohodu smluvních stran o předmětu této smlouvy.</w:t>
      </w:r>
    </w:p>
    <w:p w14:paraId="1C1CFBCA" w14:textId="77777777" w:rsidR="00135431" w:rsidRPr="00BF0272" w:rsidRDefault="00135431" w:rsidP="00135431">
      <w:pPr>
        <w:ind w:left="709"/>
        <w:jc w:val="both"/>
        <w:rPr>
          <w:sz w:val="22"/>
          <w:szCs w:val="22"/>
        </w:rPr>
      </w:pPr>
    </w:p>
    <w:p w14:paraId="1C1CFBCB" w14:textId="77777777" w:rsidR="00135431" w:rsidRPr="00BF0272" w:rsidRDefault="00135431" w:rsidP="00135431">
      <w:pPr>
        <w:ind w:left="709"/>
        <w:jc w:val="both"/>
        <w:rPr>
          <w:sz w:val="22"/>
          <w:szCs w:val="22"/>
        </w:rPr>
      </w:pPr>
      <w:r w:rsidRPr="00BF0272">
        <w:rPr>
          <w:sz w:val="22"/>
          <w:szCs w:val="22"/>
        </w:rPr>
        <w:t>Tuto smlouvu je možné měnit pouze písemnou dohodou smluvních stran ve formě číslovaných dodatků této smlouvy, podepsaných oprávněnými zástupci obou smluvních stran.</w:t>
      </w:r>
    </w:p>
    <w:p w14:paraId="3AA05537" w14:textId="77777777" w:rsidR="00472EE7" w:rsidRDefault="00472EE7" w:rsidP="00135431">
      <w:pPr>
        <w:ind w:left="709"/>
        <w:jc w:val="both"/>
        <w:rPr>
          <w:sz w:val="22"/>
          <w:szCs w:val="22"/>
        </w:rPr>
      </w:pPr>
    </w:p>
    <w:p w14:paraId="1C1CFBCD" w14:textId="77777777" w:rsidR="00135431" w:rsidRPr="00BF0272" w:rsidRDefault="00135431" w:rsidP="00135431">
      <w:pPr>
        <w:ind w:left="709"/>
        <w:jc w:val="both"/>
        <w:rPr>
          <w:sz w:val="22"/>
          <w:szCs w:val="22"/>
        </w:rPr>
      </w:pPr>
      <w:r w:rsidRPr="00BF0272">
        <w:rPr>
          <w:sz w:val="22"/>
          <w:szCs w:val="22"/>
        </w:rPr>
        <w:t>Nedílnou součást smlouvy tvoří tyto přílohy, na které se smlouva v textu odvolává:</w:t>
      </w:r>
    </w:p>
    <w:p w14:paraId="1C1CFBCE" w14:textId="77777777" w:rsidR="00135431" w:rsidRPr="00BF0272" w:rsidRDefault="00135431" w:rsidP="00135431">
      <w:pPr>
        <w:pStyle w:val="Odstavecseseznamem"/>
        <w:numPr>
          <w:ilvl w:val="0"/>
          <w:numId w:val="5"/>
        </w:numPr>
        <w:spacing w:after="200" w:line="276" w:lineRule="auto"/>
        <w:jc w:val="both"/>
        <w:rPr>
          <w:sz w:val="22"/>
          <w:szCs w:val="22"/>
        </w:rPr>
      </w:pPr>
      <w:r w:rsidRPr="00BF0272">
        <w:rPr>
          <w:sz w:val="22"/>
          <w:szCs w:val="22"/>
        </w:rPr>
        <w:t>Příloha č. 1 - Specifikace předmětu plnění.</w:t>
      </w:r>
    </w:p>
    <w:p w14:paraId="1C1CFBCF" w14:textId="77777777" w:rsidR="00135431" w:rsidRPr="00D47D14" w:rsidRDefault="00C579EA" w:rsidP="00135431">
      <w:pPr>
        <w:pStyle w:val="Odstavecseseznamem"/>
        <w:numPr>
          <w:ilvl w:val="0"/>
          <w:numId w:val="5"/>
        </w:numPr>
        <w:spacing w:after="200" w:line="276" w:lineRule="auto"/>
        <w:jc w:val="both"/>
        <w:rPr>
          <w:sz w:val="22"/>
          <w:szCs w:val="22"/>
        </w:rPr>
      </w:pPr>
      <w:hyperlink r:id="rId14" w:anchor="annex3" w:history="1">
        <w:r w:rsidR="00135431" w:rsidRPr="00D47D14">
          <w:rPr>
            <w:rStyle w:val="Hypertextovodkaz"/>
            <w:color w:val="auto"/>
            <w:sz w:val="22"/>
            <w:szCs w:val="22"/>
            <w:u w:val="none"/>
          </w:rPr>
          <w:t>Příloha č. 2</w:t>
        </w:r>
      </w:hyperlink>
      <w:r w:rsidR="00135431" w:rsidRPr="00D47D14">
        <w:rPr>
          <w:sz w:val="22"/>
          <w:szCs w:val="22"/>
        </w:rPr>
        <w:t xml:space="preserve"> - Všeobecné dodací podmínky (dále jen „VDP/14/01“).</w:t>
      </w:r>
    </w:p>
    <w:p w14:paraId="1C1CFBD2" w14:textId="77777777" w:rsidR="00135431" w:rsidRPr="00BF0272" w:rsidRDefault="00135431" w:rsidP="00135431">
      <w:pPr>
        <w:ind w:left="720"/>
        <w:jc w:val="both"/>
        <w:rPr>
          <w:sz w:val="22"/>
          <w:szCs w:val="22"/>
        </w:rPr>
      </w:pPr>
      <w:r w:rsidRPr="00BF0272">
        <w:rPr>
          <w:sz w:val="22"/>
          <w:szCs w:val="22"/>
        </w:rPr>
        <w:t>Pokud není v této smlouvě uvedeno jinak, platí pro práva a závazky smluvních stran ustanovení příloh této smlouvy, resp. těchto dalších dokumentů:</w:t>
      </w:r>
    </w:p>
    <w:p w14:paraId="1C1CFBD3" w14:textId="0A9DAFE4" w:rsidR="00135431" w:rsidRPr="00DD0422" w:rsidRDefault="00135431" w:rsidP="00135431">
      <w:pPr>
        <w:pStyle w:val="Odstavecseseznamem"/>
        <w:numPr>
          <w:ilvl w:val="0"/>
          <w:numId w:val="6"/>
        </w:numPr>
        <w:spacing w:after="200" w:line="276" w:lineRule="auto"/>
        <w:jc w:val="both"/>
        <w:rPr>
          <w:sz w:val="22"/>
          <w:szCs w:val="22"/>
        </w:rPr>
      </w:pPr>
      <w:r w:rsidRPr="00DD0422">
        <w:rPr>
          <w:sz w:val="22"/>
          <w:szCs w:val="22"/>
        </w:rPr>
        <w:t>Pro software poskytnutý poskytovate</w:t>
      </w:r>
      <w:r w:rsidR="008A005E">
        <w:rPr>
          <w:sz w:val="22"/>
          <w:szCs w:val="22"/>
        </w:rPr>
        <w:t>lem dle Přílohy č. 1, odst. 1.1</w:t>
      </w:r>
      <w:r w:rsidRPr="00DD0422">
        <w:rPr>
          <w:sz w:val="22"/>
          <w:szCs w:val="22"/>
        </w:rPr>
        <w:t xml:space="preserve"> platí VDP/14/01.</w:t>
      </w:r>
      <w:r w:rsidR="00A20DB6" w:rsidRPr="00DD0422">
        <w:rPr>
          <w:sz w:val="22"/>
          <w:szCs w:val="22"/>
        </w:rPr>
        <w:t xml:space="preserve"> </w:t>
      </w:r>
    </w:p>
    <w:p w14:paraId="1C1CFBD4" w14:textId="4295BDAE" w:rsidR="00135431" w:rsidRPr="00DD0422" w:rsidRDefault="00135431" w:rsidP="00135431">
      <w:pPr>
        <w:pStyle w:val="Odstavecseseznamem"/>
        <w:numPr>
          <w:ilvl w:val="0"/>
          <w:numId w:val="6"/>
        </w:numPr>
        <w:spacing w:after="200" w:line="276" w:lineRule="auto"/>
        <w:jc w:val="both"/>
        <w:rPr>
          <w:sz w:val="22"/>
          <w:szCs w:val="22"/>
        </w:rPr>
      </w:pPr>
      <w:r w:rsidRPr="00DD0422">
        <w:rPr>
          <w:sz w:val="22"/>
          <w:szCs w:val="22"/>
        </w:rPr>
        <w:t>Pro základní software poskytnutý poskytovate</w:t>
      </w:r>
      <w:r w:rsidR="008A005E">
        <w:rPr>
          <w:sz w:val="22"/>
          <w:szCs w:val="22"/>
        </w:rPr>
        <w:t>lem dle Přílohy č. 1, odst. 1.2</w:t>
      </w:r>
      <w:r w:rsidRPr="00DD0422">
        <w:rPr>
          <w:sz w:val="22"/>
          <w:szCs w:val="22"/>
        </w:rPr>
        <w:t xml:space="preserve"> platí Licenční ujednání výrobce obsažené v dodávce.</w:t>
      </w:r>
    </w:p>
    <w:p w14:paraId="1C1CFBD9" w14:textId="783E75E7" w:rsidR="00135431" w:rsidRDefault="00135431" w:rsidP="00DD0422">
      <w:pPr>
        <w:pStyle w:val="Odstavecseseznamem"/>
        <w:numPr>
          <w:ilvl w:val="0"/>
          <w:numId w:val="6"/>
        </w:numPr>
        <w:spacing w:after="200" w:line="276" w:lineRule="auto"/>
        <w:jc w:val="both"/>
        <w:rPr>
          <w:sz w:val="22"/>
          <w:szCs w:val="22"/>
        </w:rPr>
      </w:pPr>
      <w:r w:rsidRPr="00DD0422">
        <w:rPr>
          <w:sz w:val="22"/>
          <w:szCs w:val="22"/>
        </w:rPr>
        <w:t xml:space="preserve">Pro rozšiřující software poskytnutý poskytovatelem dle Přílohy č. 1, odst. </w:t>
      </w:r>
      <w:r w:rsidR="00DD0422">
        <w:rPr>
          <w:sz w:val="22"/>
          <w:szCs w:val="22"/>
        </w:rPr>
        <w:t>1.3</w:t>
      </w:r>
      <w:r w:rsidRPr="00DD0422">
        <w:rPr>
          <w:sz w:val="22"/>
          <w:szCs w:val="22"/>
        </w:rPr>
        <w:t xml:space="preserve"> platí Licenční ujednání výrobce obsažené v dodávce. </w:t>
      </w:r>
    </w:p>
    <w:p w14:paraId="0F3E10E3" w14:textId="20CB8D36" w:rsidR="00516E63" w:rsidRPr="00214C1E" w:rsidRDefault="00516E63" w:rsidP="00DD0422">
      <w:pPr>
        <w:pStyle w:val="Odstavecseseznamem"/>
        <w:numPr>
          <w:ilvl w:val="0"/>
          <w:numId w:val="6"/>
        </w:numPr>
        <w:spacing w:after="200" w:line="276" w:lineRule="auto"/>
        <w:jc w:val="both"/>
        <w:rPr>
          <w:sz w:val="22"/>
          <w:szCs w:val="22"/>
        </w:rPr>
      </w:pPr>
      <w:r>
        <w:rPr>
          <w:sz w:val="22"/>
          <w:szCs w:val="22"/>
        </w:rPr>
        <w:t>Pro hardware poskytnutý poskytovatelem dle Přílohy č. 1, odst. 1.4</w:t>
      </w:r>
      <w:r w:rsidR="00214C1E">
        <w:rPr>
          <w:sz w:val="22"/>
          <w:szCs w:val="22"/>
        </w:rPr>
        <w:t xml:space="preserve"> </w:t>
      </w:r>
      <w:r w:rsidR="00214C1E" w:rsidRPr="00214C1E">
        <w:rPr>
          <w:sz w:val="22"/>
          <w:szCs w:val="22"/>
        </w:rPr>
        <w:t>platí záruční ujednání obsažené v dodávce.</w:t>
      </w:r>
    </w:p>
    <w:p w14:paraId="1C1CFBDA" w14:textId="77777777" w:rsidR="00135431" w:rsidRPr="00BF0272" w:rsidRDefault="00135431" w:rsidP="00135431">
      <w:pPr>
        <w:ind w:left="709"/>
        <w:jc w:val="both"/>
        <w:rPr>
          <w:sz w:val="22"/>
          <w:szCs w:val="22"/>
        </w:rPr>
      </w:pPr>
      <w:r w:rsidRPr="00BF0272">
        <w:rPr>
          <w:sz w:val="22"/>
          <w:szCs w:val="22"/>
        </w:rPr>
        <w:t>Ustanovení těchto podmínek mají přednost před dispozitivními ustanoveními obecně platných právních předpisů.</w:t>
      </w:r>
    </w:p>
    <w:p w14:paraId="1C1CFBDB" w14:textId="77777777" w:rsidR="00135431" w:rsidRPr="00BF0272" w:rsidRDefault="00135431" w:rsidP="00135431">
      <w:pPr>
        <w:ind w:left="709"/>
        <w:jc w:val="both"/>
        <w:rPr>
          <w:sz w:val="22"/>
          <w:szCs w:val="22"/>
        </w:rPr>
      </w:pPr>
    </w:p>
    <w:p w14:paraId="38158205" w14:textId="059A8678" w:rsidR="5433E93C" w:rsidRDefault="5433E93C" w:rsidP="008A005E">
      <w:pPr>
        <w:ind w:left="709"/>
        <w:jc w:val="both"/>
        <w:rPr>
          <w:sz w:val="22"/>
          <w:szCs w:val="22"/>
        </w:rPr>
      </w:pPr>
      <w:r w:rsidRPr="5433E93C">
        <w:rPr>
          <w:sz w:val="22"/>
          <w:szCs w:val="22"/>
        </w:rPr>
        <w:t>Pokud je součástí předmětu plnění podle této smlouvy hardware nebo jiné podobné plnění, řídí se práva a závazky související s jeho dodáním – nestanoví-li tato smlouva jinak – ustanoveními občanského zákoníku upravujícími kupní smlouvu (§ 2079 a násl. zákona č. 89/2012 Sb.).</w:t>
      </w:r>
    </w:p>
    <w:p w14:paraId="1C1CFBDD" w14:textId="77777777" w:rsidR="00135431" w:rsidRPr="00BF0272" w:rsidRDefault="00135431" w:rsidP="00135431">
      <w:pPr>
        <w:ind w:left="709"/>
        <w:jc w:val="both"/>
        <w:rPr>
          <w:sz w:val="22"/>
          <w:szCs w:val="22"/>
        </w:rPr>
      </w:pPr>
    </w:p>
    <w:p w14:paraId="1C1CFBE2" w14:textId="02007B96" w:rsidR="00135431" w:rsidRPr="00BF0272" w:rsidRDefault="008C310F" w:rsidP="00135431">
      <w:pPr>
        <w:ind w:left="709"/>
        <w:jc w:val="both"/>
        <w:rPr>
          <w:sz w:val="22"/>
          <w:szCs w:val="22"/>
        </w:rPr>
      </w:pPr>
      <w:r>
        <w:rPr>
          <w:sz w:val="22"/>
          <w:szCs w:val="22"/>
        </w:rPr>
        <w:t>Tato smlouva je vypracována ve dvou</w:t>
      </w:r>
      <w:r w:rsidR="00135431" w:rsidRPr="00BF0272">
        <w:rPr>
          <w:sz w:val="22"/>
          <w:szCs w:val="22"/>
        </w:rPr>
        <w:t xml:space="preserve"> (</w:t>
      </w:r>
      <w:r>
        <w:rPr>
          <w:sz w:val="22"/>
          <w:szCs w:val="22"/>
        </w:rPr>
        <w:t>2</w:t>
      </w:r>
      <w:r w:rsidR="00135431" w:rsidRPr="00BF0272">
        <w:rPr>
          <w:sz w:val="22"/>
          <w:szCs w:val="22"/>
        </w:rPr>
        <w:t xml:space="preserve">) vyhotoveních, po </w:t>
      </w:r>
      <w:r>
        <w:rPr>
          <w:sz w:val="22"/>
          <w:szCs w:val="22"/>
        </w:rPr>
        <w:t>jednom</w:t>
      </w:r>
      <w:r w:rsidR="00135431" w:rsidRPr="00BF0272">
        <w:rPr>
          <w:sz w:val="22"/>
          <w:szCs w:val="22"/>
        </w:rPr>
        <w:t xml:space="preserve"> pro každou smluvní stranu.</w:t>
      </w:r>
    </w:p>
    <w:p w14:paraId="1C1CFBE3" w14:textId="77777777" w:rsidR="00135431" w:rsidRPr="00BF0272" w:rsidRDefault="00135431" w:rsidP="00135431">
      <w:pPr>
        <w:ind w:left="709"/>
        <w:jc w:val="both"/>
        <w:rPr>
          <w:sz w:val="22"/>
          <w:szCs w:val="22"/>
        </w:rPr>
      </w:pPr>
    </w:p>
    <w:p w14:paraId="1C1CFBE6" w14:textId="77777777" w:rsidR="00135431" w:rsidRPr="00BF0272" w:rsidRDefault="00135431" w:rsidP="00135431">
      <w:pPr>
        <w:ind w:left="709"/>
        <w:jc w:val="both"/>
        <w:rPr>
          <w:sz w:val="22"/>
          <w:szCs w:val="22"/>
        </w:rPr>
      </w:pPr>
      <w:r w:rsidRPr="00BF0272">
        <w:rPr>
          <w:sz w:val="22"/>
          <w:szCs w:val="22"/>
        </w:rPr>
        <w:t>Smluvní strany prohlašují, že si tuto smlouvu přečetly, že s jejím obsahem souhlasí a na důkaz toho k ní připojují svoje podpisy.</w:t>
      </w:r>
    </w:p>
    <w:p w14:paraId="1C1CFBE7" w14:textId="50B01758" w:rsidR="00135431" w:rsidRDefault="00135431" w:rsidP="00135431">
      <w:pPr>
        <w:ind w:left="709"/>
        <w:jc w:val="both"/>
        <w:rPr>
          <w:rFonts w:ascii="Times New Roman" w:hAnsi="Times New Roman"/>
          <w:sz w:val="22"/>
          <w:szCs w:val="22"/>
        </w:rPr>
      </w:pPr>
    </w:p>
    <w:p w14:paraId="2FBA4A61" w14:textId="77777777" w:rsidR="00890431" w:rsidRDefault="0083053C" w:rsidP="00D6741D">
      <w:pPr>
        <w:pStyle w:val="Odstavecseseznamem"/>
        <w:tabs>
          <w:tab w:val="left" w:pos="567"/>
        </w:tabs>
        <w:ind w:left="340"/>
        <w:jc w:val="both"/>
        <w:rPr>
          <w:rFonts w:asciiTheme="minorHAnsi" w:hAnsiTheme="minorHAnsi"/>
          <w:spacing w:val="-3"/>
          <w:sz w:val="22"/>
          <w:szCs w:val="22"/>
        </w:rPr>
      </w:pPr>
      <w:r w:rsidRPr="00D6741D">
        <w:rPr>
          <w:rFonts w:asciiTheme="minorHAnsi" w:hAnsiTheme="minorHAnsi"/>
          <w:spacing w:val="-3"/>
          <w:sz w:val="22"/>
          <w:szCs w:val="22"/>
        </w:rPr>
        <w:t>Smluvní strany souhlasí s uveřejněním této smlouvy včetně veškerých osobních údajů, které jsou v ní obsaženy, přičemž zveřejněné info</w:t>
      </w:r>
      <w:r w:rsidR="00890431">
        <w:rPr>
          <w:rFonts w:asciiTheme="minorHAnsi" w:hAnsiTheme="minorHAnsi"/>
          <w:spacing w:val="-3"/>
          <w:sz w:val="22"/>
          <w:szCs w:val="22"/>
        </w:rPr>
        <w:t>rmace se nepovažují za důvěrné.</w:t>
      </w:r>
    </w:p>
    <w:p w14:paraId="268FB666" w14:textId="18C43349" w:rsidR="0083053C" w:rsidRPr="00D6741D" w:rsidRDefault="0083053C" w:rsidP="00D6741D">
      <w:pPr>
        <w:pStyle w:val="Odstavecseseznamem"/>
        <w:tabs>
          <w:tab w:val="left" w:pos="567"/>
        </w:tabs>
        <w:ind w:left="340"/>
        <w:jc w:val="both"/>
        <w:rPr>
          <w:rFonts w:asciiTheme="minorHAnsi" w:hAnsiTheme="minorHAnsi"/>
          <w:spacing w:val="-3"/>
          <w:sz w:val="22"/>
          <w:szCs w:val="22"/>
        </w:rPr>
      </w:pPr>
      <w:r w:rsidRPr="00D6741D">
        <w:rPr>
          <w:rFonts w:asciiTheme="minorHAnsi" w:hAnsiTheme="minorHAnsi"/>
          <w:spacing w:val="-3"/>
          <w:sz w:val="22"/>
          <w:szCs w:val="22"/>
        </w:rPr>
        <w:t xml:space="preserve">Nabyvatel zajistí uveřejnění této smlouvy v registru smluv v souladu s právními předpisy. </w:t>
      </w:r>
    </w:p>
    <w:p w14:paraId="1C1CFBE9" w14:textId="77777777" w:rsidR="00135431" w:rsidRDefault="00135431" w:rsidP="00135431">
      <w:pPr>
        <w:rPr>
          <w:sz w:val="20"/>
        </w:rPr>
      </w:pPr>
    </w:p>
    <w:p w14:paraId="62388C67" w14:textId="77777777" w:rsidR="008A005E" w:rsidRDefault="008A005E" w:rsidP="00135431">
      <w:pPr>
        <w:rPr>
          <w:sz w:val="20"/>
        </w:rPr>
      </w:pPr>
    </w:p>
    <w:p w14:paraId="2E6F2363" w14:textId="77777777" w:rsidR="008A005E" w:rsidRDefault="008A005E" w:rsidP="00135431">
      <w:pPr>
        <w:rPr>
          <w:sz w:val="20"/>
        </w:rPr>
      </w:pPr>
    </w:p>
    <w:p w14:paraId="78AD5844" w14:textId="77777777" w:rsidR="008A005E" w:rsidRDefault="008A005E" w:rsidP="00135431">
      <w:pPr>
        <w:rPr>
          <w:sz w:val="20"/>
        </w:rPr>
      </w:pPr>
    </w:p>
    <w:p w14:paraId="2D201799" w14:textId="77777777" w:rsidR="008A005E" w:rsidRDefault="008A005E" w:rsidP="00135431">
      <w:pPr>
        <w:rPr>
          <w:sz w:val="20"/>
        </w:rPr>
      </w:pPr>
    </w:p>
    <w:p w14:paraId="43361BD4" w14:textId="77777777" w:rsidR="008A005E" w:rsidRPr="00BF0272" w:rsidRDefault="008A005E" w:rsidP="00135431">
      <w:pPr>
        <w:rPr>
          <w:sz w:val="20"/>
        </w:rPr>
      </w:pPr>
    </w:p>
    <w:p w14:paraId="1C1CFBEA" w14:textId="77777777" w:rsidR="00135431" w:rsidRPr="00BF0272" w:rsidRDefault="00135431" w:rsidP="00135431">
      <w:pPr>
        <w:rPr>
          <w:b/>
          <w:sz w:val="20"/>
        </w:rPr>
      </w:pPr>
      <w:r w:rsidRPr="00BF0272">
        <w:rPr>
          <w:sz w:val="20"/>
        </w:rPr>
        <w:t xml:space="preserve">                              </w:t>
      </w:r>
      <w:r w:rsidRPr="00BF0272">
        <w:rPr>
          <w:b/>
          <w:sz w:val="20"/>
        </w:rPr>
        <w:t>poskytovatel                                                                                   nabyvatel</w:t>
      </w:r>
    </w:p>
    <w:p w14:paraId="1C1CFBEB" w14:textId="77777777" w:rsidR="00135431" w:rsidRPr="00BF0272" w:rsidRDefault="00135431" w:rsidP="00135431">
      <w:pPr>
        <w:rPr>
          <w:sz w:val="20"/>
        </w:rPr>
      </w:pPr>
    </w:p>
    <w:tbl>
      <w:tblPr>
        <w:tblW w:w="5550" w:type="pct"/>
        <w:tblBorders>
          <w:bottom w:val="single" w:sz="4" w:space="0" w:color="auto"/>
        </w:tblBorders>
        <w:tblCellMar>
          <w:left w:w="0" w:type="dxa"/>
          <w:right w:w="0" w:type="dxa"/>
        </w:tblCellMar>
        <w:tblLook w:val="04A0" w:firstRow="1" w:lastRow="0" w:firstColumn="1" w:lastColumn="0" w:noHBand="0" w:noVBand="1"/>
      </w:tblPr>
      <w:tblGrid>
        <w:gridCol w:w="291"/>
        <w:gridCol w:w="3673"/>
        <w:gridCol w:w="295"/>
        <w:gridCol w:w="462"/>
        <w:gridCol w:w="300"/>
        <w:gridCol w:w="906"/>
        <w:gridCol w:w="446"/>
        <w:gridCol w:w="2591"/>
        <w:gridCol w:w="290"/>
        <w:gridCol w:w="2084"/>
        <w:gridCol w:w="279"/>
      </w:tblGrid>
      <w:tr w:rsidR="00135431" w14:paraId="1C1CFBF1" w14:textId="77777777" w:rsidTr="004A4005">
        <w:trPr>
          <w:gridAfter w:val="1"/>
          <w:wAfter w:w="121" w:type="pct"/>
          <w:trHeight w:val="255"/>
        </w:trPr>
        <w:tc>
          <w:tcPr>
            <w:tcW w:w="1706" w:type="pct"/>
            <w:gridSpan w:val="2"/>
            <w:tcBorders>
              <w:top w:val="nil"/>
              <w:left w:val="nil"/>
              <w:bottom w:val="nil"/>
              <w:right w:val="nil"/>
            </w:tcBorders>
            <w:vAlign w:val="bottom"/>
            <w:hideMark/>
          </w:tcPr>
          <w:p w14:paraId="1C1CFBEC" w14:textId="1954C1F3" w:rsidR="00135431" w:rsidRPr="00BF0272" w:rsidRDefault="00135431">
            <w:pPr>
              <w:spacing w:line="256" w:lineRule="auto"/>
              <w:ind w:left="709"/>
              <w:rPr>
                <w:color w:val="000000"/>
                <w:sz w:val="20"/>
                <w:lang w:eastAsia="en-US"/>
              </w:rPr>
            </w:pPr>
            <w:r w:rsidRPr="00BF0272">
              <w:rPr>
                <w:color w:val="000000"/>
                <w:sz w:val="20"/>
                <w:lang w:eastAsia="en-US"/>
              </w:rPr>
              <w:t>V Hradci Králové dne -----</w:t>
            </w:r>
            <w:r w:rsidR="00212009">
              <w:rPr>
                <w:color w:val="000000"/>
                <w:sz w:val="20"/>
                <w:lang w:eastAsia="en-US"/>
              </w:rPr>
              <w:t>4.2.2020</w:t>
            </w:r>
            <w:r w:rsidRPr="00BF0272">
              <w:rPr>
                <w:color w:val="000000"/>
                <w:sz w:val="20"/>
                <w:lang w:eastAsia="en-US"/>
              </w:rPr>
              <w:t xml:space="preserve">--------------                  </w:t>
            </w:r>
          </w:p>
        </w:tc>
        <w:tc>
          <w:tcPr>
            <w:tcW w:w="326" w:type="pct"/>
            <w:gridSpan w:val="2"/>
            <w:tcBorders>
              <w:top w:val="nil"/>
              <w:left w:val="nil"/>
              <w:bottom w:val="nil"/>
              <w:right w:val="nil"/>
            </w:tcBorders>
            <w:vAlign w:val="bottom"/>
          </w:tcPr>
          <w:p w14:paraId="1C1CFBED" w14:textId="77777777" w:rsidR="00135431" w:rsidRPr="00BF0272" w:rsidRDefault="00135431">
            <w:pPr>
              <w:spacing w:line="256" w:lineRule="auto"/>
              <w:jc w:val="center"/>
              <w:rPr>
                <w:color w:val="000000"/>
                <w:sz w:val="20"/>
                <w:lang w:eastAsia="en-US"/>
              </w:rPr>
            </w:pPr>
          </w:p>
        </w:tc>
        <w:tc>
          <w:tcPr>
            <w:tcW w:w="518" w:type="pct"/>
            <w:gridSpan w:val="2"/>
            <w:tcBorders>
              <w:top w:val="nil"/>
              <w:left w:val="nil"/>
              <w:bottom w:val="nil"/>
              <w:right w:val="nil"/>
            </w:tcBorders>
            <w:vAlign w:val="bottom"/>
          </w:tcPr>
          <w:p w14:paraId="1C1CFBEE" w14:textId="77777777" w:rsidR="00135431" w:rsidRPr="00BF0272" w:rsidRDefault="00135431">
            <w:pPr>
              <w:spacing w:line="256" w:lineRule="auto"/>
              <w:rPr>
                <w:color w:val="000000"/>
                <w:sz w:val="20"/>
                <w:lang w:eastAsia="en-US"/>
              </w:rPr>
            </w:pPr>
          </w:p>
        </w:tc>
        <w:tc>
          <w:tcPr>
            <w:tcW w:w="1307" w:type="pct"/>
            <w:gridSpan w:val="2"/>
            <w:tcBorders>
              <w:top w:val="nil"/>
              <w:left w:val="nil"/>
              <w:bottom w:val="nil"/>
              <w:right w:val="nil"/>
            </w:tcBorders>
            <w:vAlign w:val="bottom"/>
            <w:hideMark/>
          </w:tcPr>
          <w:p w14:paraId="1C1CFBEF" w14:textId="63A1531A" w:rsidR="00135431" w:rsidRPr="00BF0272" w:rsidRDefault="00135431">
            <w:pPr>
              <w:spacing w:line="256" w:lineRule="auto"/>
              <w:ind w:left="-142" w:firstLine="142"/>
              <w:rPr>
                <w:color w:val="000000"/>
                <w:sz w:val="20"/>
                <w:lang w:eastAsia="en-US"/>
              </w:rPr>
            </w:pPr>
            <w:r w:rsidRPr="00BF0272">
              <w:rPr>
                <w:color w:val="000000"/>
                <w:sz w:val="20"/>
                <w:lang w:eastAsia="en-US"/>
              </w:rPr>
              <w:t xml:space="preserve">V </w:t>
            </w:r>
            <w:r w:rsidR="008056FA">
              <w:rPr>
                <w:color w:val="000000"/>
                <w:sz w:val="20"/>
                <w:lang w:eastAsia="en-US"/>
              </w:rPr>
              <w:t>Jihlavě</w:t>
            </w:r>
            <w:r w:rsidRPr="00BF0272">
              <w:rPr>
                <w:color w:val="000000"/>
                <w:sz w:val="20"/>
                <w:lang w:eastAsia="en-US"/>
              </w:rPr>
              <w:t xml:space="preserve"> dne------</w:t>
            </w:r>
            <w:r w:rsidR="00212009">
              <w:rPr>
                <w:color w:val="000000"/>
                <w:sz w:val="20"/>
                <w:lang w:eastAsia="en-US"/>
              </w:rPr>
              <w:t>6.2.2020</w:t>
            </w:r>
            <w:bookmarkStart w:id="8" w:name="_GoBack"/>
            <w:bookmarkEnd w:id="8"/>
            <w:r w:rsidRPr="00BF0272">
              <w:rPr>
                <w:color w:val="000000"/>
                <w:sz w:val="20"/>
                <w:lang w:eastAsia="en-US"/>
              </w:rPr>
              <w:t xml:space="preserve">--------           </w:t>
            </w:r>
          </w:p>
        </w:tc>
        <w:tc>
          <w:tcPr>
            <w:tcW w:w="1022" w:type="pct"/>
            <w:gridSpan w:val="2"/>
            <w:tcBorders>
              <w:top w:val="nil"/>
              <w:left w:val="nil"/>
              <w:bottom w:val="nil"/>
              <w:right w:val="nil"/>
            </w:tcBorders>
            <w:vAlign w:val="bottom"/>
          </w:tcPr>
          <w:p w14:paraId="1C1CFBF0" w14:textId="77777777" w:rsidR="00135431" w:rsidRPr="00BF0272" w:rsidRDefault="00135431">
            <w:pPr>
              <w:spacing w:line="256" w:lineRule="auto"/>
              <w:rPr>
                <w:color w:val="000000"/>
                <w:sz w:val="20"/>
                <w:lang w:eastAsia="en-US"/>
              </w:rPr>
            </w:pPr>
          </w:p>
        </w:tc>
      </w:tr>
      <w:tr w:rsidR="00135431" w14:paraId="1C1CFBF8" w14:textId="77777777" w:rsidTr="004A4005">
        <w:trPr>
          <w:gridAfter w:val="1"/>
          <w:wAfter w:w="121" w:type="pct"/>
          <w:trHeight w:val="255"/>
        </w:trPr>
        <w:tc>
          <w:tcPr>
            <w:tcW w:w="1706" w:type="pct"/>
            <w:gridSpan w:val="2"/>
            <w:tcBorders>
              <w:top w:val="nil"/>
              <w:left w:val="nil"/>
              <w:bottom w:val="nil"/>
              <w:right w:val="nil"/>
            </w:tcBorders>
            <w:vAlign w:val="bottom"/>
          </w:tcPr>
          <w:p w14:paraId="1C1CFBF2" w14:textId="77777777" w:rsidR="00135431" w:rsidRPr="00BF0272" w:rsidRDefault="00135431">
            <w:pPr>
              <w:spacing w:line="256" w:lineRule="auto"/>
              <w:rPr>
                <w:b/>
                <w:color w:val="000000"/>
                <w:sz w:val="20"/>
                <w:lang w:eastAsia="en-US"/>
              </w:rPr>
            </w:pPr>
          </w:p>
        </w:tc>
        <w:tc>
          <w:tcPr>
            <w:tcW w:w="326" w:type="pct"/>
            <w:gridSpan w:val="2"/>
            <w:tcBorders>
              <w:top w:val="nil"/>
              <w:left w:val="nil"/>
              <w:bottom w:val="nil"/>
              <w:right w:val="nil"/>
            </w:tcBorders>
            <w:vAlign w:val="bottom"/>
          </w:tcPr>
          <w:p w14:paraId="1C1CFBF3" w14:textId="77777777" w:rsidR="00135431" w:rsidRPr="00BF0272" w:rsidRDefault="00135431">
            <w:pPr>
              <w:spacing w:line="256" w:lineRule="auto"/>
              <w:jc w:val="center"/>
              <w:rPr>
                <w:b/>
                <w:color w:val="000000"/>
                <w:sz w:val="20"/>
                <w:lang w:eastAsia="en-US"/>
              </w:rPr>
            </w:pPr>
          </w:p>
        </w:tc>
        <w:tc>
          <w:tcPr>
            <w:tcW w:w="518" w:type="pct"/>
            <w:gridSpan w:val="2"/>
            <w:tcBorders>
              <w:top w:val="nil"/>
              <w:left w:val="nil"/>
              <w:bottom w:val="nil"/>
              <w:right w:val="nil"/>
            </w:tcBorders>
            <w:vAlign w:val="bottom"/>
          </w:tcPr>
          <w:p w14:paraId="1C1CFBF4" w14:textId="77777777" w:rsidR="00135431" w:rsidRPr="00BF0272" w:rsidRDefault="00135431">
            <w:pPr>
              <w:spacing w:line="256" w:lineRule="auto"/>
              <w:rPr>
                <w:b/>
                <w:color w:val="000000"/>
                <w:sz w:val="20"/>
                <w:lang w:eastAsia="en-US"/>
              </w:rPr>
            </w:pPr>
          </w:p>
        </w:tc>
        <w:tc>
          <w:tcPr>
            <w:tcW w:w="192" w:type="pct"/>
            <w:tcBorders>
              <w:top w:val="nil"/>
              <w:left w:val="nil"/>
              <w:bottom w:val="nil"/>
              <w:right w:val="nil"/>
            </w:tcBorders>
            <w:vAlign w:val="bottom"/>
          </w:tcPr>
          <w:p w14:paraId="1C1CFBF5" w14:textId="77777777" w:rsidR="00135431" w:rsidRPr="00BF0272" w:rsidRDefault="00135431">
            <w:pPr>
              <w:spacing w:line="256" w:lineRule="auto"/>
              <w:rPr>
                <w:b/>
                <w:color w:val="000000"/>
                <w:sz w:val="20"/>
                <w:lang w:eastAsia="en-US"/>
              </w:rPr>
            </w:pPr>
          </w:p>
        </w:tc>
        <w:tc>
          <w:tcPr>
            <w:tcW w:w="1115" w:type="pct"/>
            <w:tcBorders>
              <w:top w:val="nil"/>
              <w:left w:val="nil"/>
              <w:bottom w:val="nil"/>
              <w:right w:val="nil"/>
            </w:tcBorders>
            <w:vAlign w:val="bottom"/>
          </w:tcPr>
          <w:p w14:paraId="1C1CFBF6" w14:textId="77777777" w:rsidR="00135431" w:rsidRPr="00BF0272" w:rsidRDefault="00135431">
            <w:pPr>
              <w:spacing w:line="256" w:lineRule="auto"/>
              <w:rPr>
                <w:b/>
                <w:color w:val="000000"/>
                <w:sz w:val="20"/>
                <w:lang w:eastAsia="en-US"/>
              </w:rPr>
            </w:pPr>
          </w:p>
        </w:tc>
        <w:tc>
          <w:tcPr>
            <w:tcW w:w="1022" w:type="pct"/>
            <w:gridSpan w:val="2"/>
            <w:tcBorders>
              <w:top w:val="nil"/>
              <w:left w:val="nil"/>
              <w:bottom w:val="nil"/>
              <w:right w:val="nil"/>
            </w:tcBorders>
            <w:vAlign w:val="bottom"/>
          </w:tcPr>
          <w:p w14:paraId="1C1CFBF7" w14:textId="77777777" w:rsidR="00135431" w:rsidRPr="00BF0272" w:rsidRDefault="00135431">
            <w:pPr>
              <w:spacing w:line="256" w:lineRule="auto"/>
              <w:rPr>
                <w:b/>
                <w:color w:val="000000"/>
                <w:sz w:val="20"/>
                <w:lang w:eastAsia="en-US"/>
              </w:rPr>
            </w:pPr>
          </w:p>
        </w:tc>
      </w:tr>
      <w:tr w:rsidR="00135431" w14:paraId="1C1CFBFC" w14:textId="77777777" w:rsidTr="6F72C599">
        <w:trPr>
          <w:gridBefore w:val="1"/>
          <w:wBefore w:w="125" w:type="pct"/>
          <w:trHeight w:val="255"/>
        </w:trPr>
        <w:tc>
          <w:tcPr>
            <w:tcW w:w="2036" w:type="pct"/>
            <w:gridSpan w:val="4"/>
            <w:tcBorders>
              <w:top w:val="nil"/>
              <w:left w:val="nil"/>
              <w:bottom w:val="nil"/>
              <w:right w:val="nil"/>
            </w:tcBorders>
            <w:vAlign w:val="bottom"/>
            <w:hideMark/>
          </w:tcPr>
          <w:p w14:paraId="1C1CFBF9" w14:textId="77777777" w:rsidR="00135431" w:rsidRPr="00BF0272" w:rsidRDefault="00135431">
            <w:pPr>
              <w:spacing w:line="256" w:lineRule="auto"/>
              <w:ind w:left="423"/>
              <w:rPr>
                <w:color w:val="000000"/>
                <w:sz w:val="20"/>
                <w:lang w:eastAsia="en-US"/>
              </w:rPr>
            </w:pPr>
            <w:r w:rsidRPr="00BF0272">
              <w:rPr>
                <w:color w:val="000000"/>
                <w:sz w:val="20"/>
                <w:lang w:eastAsia="en-US"/>
              </w:rPr>
              <w:t>Podpis:     ……………………………</w:t>
            </w:r>
          </w:p>
        </w:tc>
        <w:tc>
          <w:tcPr>
            <w:tcW w:w="390" w:type="pct"/>
            <w:tcBorders>
              <w:top w:val="nil"/>
              <w:left w:val="nil"/>
              <w:bottom w:val="nil"/>
              <w:right w:val="nil"/>
            </w:tcBorders>
            <w:vAlign w:val="bottom"/>
          </w:tcPr>
          <w:p w14:paraId="1C1CFBFA" w14:textId="77777777" w:rsidR="00135431" w:rsidRPr="00BF0272" w:rsidRDefault="00135431">
            <w:pPr>
              <w:spacing w:line="256" w:lineRule="auto"/>
              <w:ind w:right="142"/>
              <w:rPr>
                <w:color w:val="000000"/>
                <w:sz w:val="20"/>
                <w:lang w:eastAsia="en-US"/>
              </w:rPr>
            </w:pPr>
          </w:p>
        </w:tc>
        <w:tc>
          <w:tcPr>
            <w:tcW w:w="2449" w:type="pct"/>
            <w:gridSpan w:val="5"/>
            <w:tcBorders>
              <w:top w:val="nil"/>
              <w:left w:val="nil"/>
              <w:bottom w:val="nil"/>
              <w:right w:val="nil"/>
            </w:tcBorders>
            <w:vAlign w:val="bottom"/>
            <w:hideMark/>
          </w:tcPr>
          <w:p w14:paraId="1C1CFBFB" w14:textId="77777777" w:rsidR="00135431" w:rsidRPr="00BF0272" w:rsidRDefault="00135431">
            <w:pPr>
              <w:spacing w:line="256" w:lineRule="auto"/>
              <w:rPr>
                <w:color w:val="000000"/>
                <w:sz w:val="20"/>
                <w:lang w:eastAsia="en-US"/>
              </w:rPr>
            </w:pPr>
            <w:r w:rsidRPr="00BF0272">
              <w:rPr>
                <w:color w:val="000000"/>
                <w:sz w:val="20"/>
                <w:lang w:eastAsia="en-US"/>
              </w:rPr>
              <w:t>Podpis: ……………….……..……..</w:t>
            </w:r>
          </w:p>
        </w:tc>
      </w:tr>
      <w:tr w:rsidR="00135431" w14:paraId="1C1CFC03" w14:textId="77777777" w:rsidTr="6F72C599">
        <w:trPr>
          <w:gridAfter w:val="1"/>
          <w:wAfter w:w="121" w:type="pct"/>
          <w:trHeight w:val="255"/>
        </w:trPr>
        <w:tc>
          <w:tcPr>
            <w:tcW w:w="1706" w:type="pct"/>
            <w:gridSpan w:val="2"/>
            <w:tcBorders>
              <w:top w:val="nil"/>
              <w:left w:val="nil"/>
              <w:bottom w:val="nil"/>
              <w:right w:val="nil"/>
            </w:tcBorders>
            <w:vAlign w:val="bottom"/>
          </w:tcPr>
          <w:p w14:paraId="1C1CFBFD" w14:textId="77777777" w:rsidR="00135431" w:rsidRPr="00BF0272" w:rsidRDefault="00135431">
            <w:pPr>
              <w:spacing w:line="256" w:lineRule="auto"/>
              <w:rPr>
                <w:color w:val="000000"/>
                <w:sz w:val="20"/>
                <w:lang w:eastAsia="en-US"/>
              </w:rPr>
            </w:pPr>
          </w:p>
        </w:tc>
        <w:tc>
          <w:tcPr>
            <w:tcW w:w="326" w:type="pct"/>
            <w:gridSpan w:val="2"/>
            <w:tcBorders>
              <w:top w:val="nil"/>
              <w:left w:val="nil"/>
              <w:bottom w:val="nil"/>
              <w:right w:val="nil"/>
            </w:tcBorders>
            <w:vAlign w:val="bottom"/>
          </w:tcPr>
          <w:p w14:paraId="1C1CFBFE" w14:textId="77777777" w:rsidR="00135431" w:rsidRPr="00BF0272" w:rsidRDefault="00135431">
            <w:pPr>
              <w:spacing w:line="256" w:lineRule="auto"/>
              <w:jc w:val="center"/>
              <w:rPr>
                <w:color w:val="000000"/>
                <w:sz w:val="20"/>
                <w:lang w:eastAsia="en-US"/>
              </w:rPr>
            </w:pPr>
          </w:p>
        </w:tc>
        <w:tc>
          <w:tcPr>
            <w:tcW w:w="518" w:type="pct"/>
            <w:gridSpan w:val="2"/>
            <w:tcBorders>
              <w:top w:val="nil"/>
              <w:left w:val="nil"/>
              <w:bottom w:val="nil"/>
              <w:right w:val="nil"/>
            </w:tcBorders>
            <w:vAlign w:val="bottom"/>
          </w:tcPr>
          <w:p w14:paraId="1C1CFBFF" w14:textId="77777777" w:rsidR="00135431" w:rsidRPr="00BF0272" w:rsidRDefault="00135431">
            <w:pPr>
              <w:spacing w:line="256" w:lineRule="auto"/>
              <w:rPr>
                <w:color w:val="000000"/>
                <w:sz w:val="20"/>
                <w:lang w:eastAsia="en-US"/>
              </w:rPr>
            </w:pPr>
          </w:p>
        </w:tc>
        <w:tc>
          <w:tcPr>
            <w:tcW w:w="192" w:type="pct"/>
            <w:tcBorders>
              <w:top w:val="nil"/>
              <w:left w:val="nil"/>
              <w:bottom w:val="nil"/>
              <w:right w:val="nil"/>
            </w:tcBorders>
            <w:vAlign w:val="bottom"/>
          </w:tcPr>
          <w:p w14:paraId="1C1CFC00" w14:textId="77777777" w:rsidR="00135431" w:rsidRPr="00BF0272" w:rsidRDefault="00135431">
            <w:pPr>
              <w:spacing w:line="256" w:lineRule="auto"/>
              <w:rPr>
                <w:color w:val="000000"/>
                <w:sz w:val="20"/>
                <w:lang w:eastAsia="en-US"/>
              </w:rPr>
            </w:pPr>
          </w:p>
        </w:tc>
        <w:tc>
          <w:tcPr>
            <w:tcW w:w="1115" w:type="pct"/>
            <w:tcBorders>
              <w:top w:val="nil"/>
              <w:left w:val="nil"/>
              <w:bottom w:val="nil"/>
              <w:right w:val="nil"/>
            </w:tcBorders>
            <w:vAlign w:val="bottom"/>
          </w:tcPr>
          <w:p w14:paraId="1C1CFC01" w14:textId="77777777" w:rsidR="00135431" w:rsidRPr="00BF0272" w:rsidRDefault="00135431">
            <w:pPr>
              <w:spacing w:line="256" w:lineRule="auto"/>
              <w:rPr>
                <w:color w:val="000000"/>
                <w:sz w:val="20"/>
                <w:lang w:eastAsia="en-US"/>
              </w:rPr>
            </w:pPr>
          </w:p>
        </w:tc>
        <w:tc>
          <w:tcPr>
            <w:tcW w:w="1022" w:type="pct"/>
            <w:gridSpan w:val="2"/>
            <w:tcBorders>
              <w:top w:val="nil"/>
              <w:left w:val="nil"/>
              <w:bottom w:val="nil"/>
              <w:right w:val="nil"/>
            </w:tcBorders>
            <w:vAlign w:val="bottom"/>
          </w:tcPr>
          <w:p w14:paraId="1C1CFC02" w14:textId="77777777" w:rsidR="00135431" w:rsidRPr="00BF0272" w:rsidRDefault="00135431">
            <w:pPr>
              <w:spacing w:line="256" w:lineRule="auto"/>
              <w:rPr>
                <w:color w:val="000000"/>
                <w:sz w:val="20"/>
                <w:lang w:eastAsia="en-US"/>
              </w:rPr>
            </w:pPr>
          </w:p>
        </w:tc>
      </w:tr>
      <w:tr w:rsidR="00135431" w14:paraId="1C1CFC08" w14:textId="77777777" w:rsidTr="6F72C599">
        <w:trPr>
          <w:gridBefore w:val="1"/>
          <w:wBefore w:w="125" w:type="pct"/>
          <w:trHeight w:val="255"/>
        </w:trPr>
        <w:tc>
          <w:tcPr>
            <w:tcW w:w="1708" w:type="pct"/>
            <w:gridSpan w:val="2"/>
            <w:tcBorders>
              <w:top w:val="nil"/>
              <w:left w:val="nil"/>
              <w:bottom w:val="nil"/>
              <w:right w:val="nil"/>
            </w:tcBorders>
            <w:vAlign w:val="bottom"/>
            <w:hideMark/>
          </w:tcPr>
          <w:p w14:paraId="1C1CFC04" w14:textId="77777777" w:rsidR="00135431" w:rsidRPr="00BF0272" w:rsidRDefault="00135431">
            <w:pPr>
              <w:spacing w:line="256" w:lineRule="auto"/>
              <w:ind w:left="423"/>
              <w:rPr>
                <w:color w:val="000000"/>
                <w:sz w:val="20"/>
                <w:lang w:eastAsia="en-US"/>
              </w:rPr>
            </w:pPr>
            <w:r w:rsidRPr="00BF0272">
              <w:rPr>
                <w:color w:val="000000"/>
                <w:sz w:val="20"/>
                <w:lang w:eastAsia="en-US"/>
              </w:rPr>
              <w:t xml:space="preserve">Osoba:      </w:t>
            </w:r>
            <w:r w:rsidRPr="00BF0272">
              <w:rPr>
                <w:b/>
                <w:color w:val="000000"/>
                <w:sz w:val="20"/>
                <w:lang w:eastAsia="en-US"/>
              </w:rPr>
              <w:t>Ing. Jan Vaněk</w:t>
            </w:r>
          </w:p>
        </w:tc>
        <w:tc>
          <w:tcPr>
            <w:tcW w:w="328" w:type="pct"/>
            <w:gridSpan w:val="2"/>
            <w:tcBorders>
              <w:top w:val="nil"/>
              <w:left w:val="nil"/>
              <w:bottom w:val="nil"/>
              <w:right w:val="nil"/>
            </w:tcBorders>
            <w:vAlign w:val="bottom"/>
          </w:tcPr>
          <w:p w14:paraId="1C1CFC05" w14:textId="77777777" w:rsidR="00135431" w:rsidRPr="00BF0272" w:rsidRDefault="00135431">
            <w:pPr>
              <w:spacing w:line="256" w:lineRule="auto"/>
              <w:jc w:val="center"/>
              <w:rPr>
                <w:color w:val="000000"/>
                <w:sz w:val="20"/>
                <w:lang w:eastAsia="en-US"/>
              </w:rPr>
            </w:pPr>
          </w:p>
        </w:tc>
        <w:tc>
          <w:tcPr>
            <w:tcW w:w="390" w:type="pct"/>
            <w:tcBorders>
              <w:top w:val="nil"/>
              <w:left w:val="nil"/>
              <w:bottom w:val="nil"/>
              <w:right w:val="nil"/>
            </w:tcBorders>
            <w:vAlign w:val="bottom"/>
          </w:tcPr>
          <w:p w14:paraId="1C1CFC06" w14:textId="77777777" w:rsidR="00135431" w:rsidRPr="00BF0272" w:rsidRDefault="00135431">
            <w:pPr>
              <w:spacing w:line="256" w:lineRule="auto"/>
              <w:rPr>
                <w:color w:val="000000"/>
                <w:sz w:val="20"/>
                <w:lang w:eastAsia="en-US"/>
              </w:rPr>
            </w:pPr>
          </w:p>
        </w:tc>
        <w:tc>
          <w:tcPr>
            <w:tcW w:w="2449" w:type="pct"/>
            <w:gridSpan w:val="5"/>
            <w:tcBorders>
              <w:top w:val="nil"/>
              <w:left w:val="nil"/>
              <w:bottom w:val="nil"/>
              <w:right w:val="nil"/>
            </w:tcBorders>
            <w:vAlign w:val="bottom"/>
            <w:hideMark/>
          </w:tcPr>
          <w:p w14:paraId="1C1CFC07" w14:textId="74D84FF2" w:rsidR="00135431" w:rsidRPr="00D6741D" w:rsidRDefault="6F72C599" w:rsidP="6F72C599">
            <w:pPr>
              <w:spacing w:line="256" w:lineRule="auto"/>
              <w:rPr>
                <w:b/>
                <w:bCs/>
                <w:color w:val="000000"/>
                <w:sz w:val="20"/>
                <w:lang w:eastAsia="en-US"/>
              </w:rPr>
            </w:pPr>
            <w:r w:rsidRPr="00D6741D">
              <w:rPr>
                <w:color w:val="000000" w:themeColor="text1"/>
                <w:sz w:val="20"/>
                <w:lang w:eastAsia="en-US"/>
              </w:rPr>
              <w:t xml:space="preserve">Osoba:     </w:t>
            </w:r>
            <w:r w:rsidRPr="00D6741D">
              <w:rPr>
                <w:b/>
                <w:bCs/>
                <w:color w:val="000000" w:themeColor="text1"/>
                <w:sz w:val="20"/>
                <w:lang w:eastAsia="en-US"/>
              </w:rPr>
              <w:t xml:space="preserve"> Ing. Miroslav Tomanec, MBA</w:t>
            </w:r>
          </w:p>
        </w:tc>
      </w:tr>
      <w:tr w:rsidR="00135431" w:rsidRPr="00890431" w14:paraId="1C1CFC0D" w14:textId="77777777" w:rsidTr="6F72C599">
        <w:trPr>
          <w:gridAfter w:val="1"/>
          <w:wAfter w:w="121" w:type="pct"/>
          <w:trHeight w:val="255"/>
        </w:trPr>
        <w:tc>
          <w:tcPr>
            <w:tcW w:w="1706" w:type="pct"/>
            <w:gridSpan w:val="2"/>
            <w:tcBorders>
              <w:top w:val="nil"/>
              <w:left w:val="nil"/>
              <w:bottom w:val="nil"/>
              <w:right w:val="nil"/>
            </w:tcBorders>
            <w:vAlign w:val="bottom"/>
          </w:tcPr>
          <w:p w14:paraId="1C1CFC09" w14:textId="77777777" w:rsidR="00135431" w:rsidRPr="00BF0272" w:rsidRDefault="00135431">
            <w:pPr>
              <w:spacing w:line="256" w:lineRule="auto"/>
              <w:rPr>
                <w:color w:val="000000"/>
                <w:sz w:val="20"/>
                <w:lang w:eastAsia="en-US"/>
              </w:rPr>
            </w:pPr>
          </w:p>
        </w:tc>
        <w:tc>
          <w:tcPr>
            <w:tcW w:w="326" w:type="pct"/>
            <w:gridSpan w:val="2"/>
            <w:tcBorders>
              <w:top w:val="nil"/>
              <w:left w:val="nil"/>
              <w:bottom w:val="nil"/>
              <w:right w:val="nil"/>
            </w:tcBorders>
            <w:vAlign w:val="bottom"/>
          </w:tcPr>
          <w:p w14:paraId="1C1CFC0A" w14:textId="77777777" w:rsidR="00135431" w:rsidRPr="00BF0272" w:rsidRDefault="00135431">
            <w:pPr>
              <w:spacing w:line="256" w:lineRule="auto"/>
              <w:jc w:val="center"/>
              <w:rPr>
                <w:color w:val="000000"/>
                <w:sz w:val="20"/>
                <w:lang w:eastAsia="en-US"/>
              </w:rPr>
            </w:pPr>
          </w:p>
        </w:tc>
        <w:tc>
          <w:tcPr>
            <w:tcW w:w="518" w:type="pct"/>
            <w:gridSpan w:val="2"/>
            <w:tcBorders>
              <w:top w:val="nil"/>
              <w:left w:val="nil"/>
              <w:bottom w:val="nil"/>
              <w:right w:val="nil"/>
            </w:tcBorders>
            <w:vAlign w:val="bottom"/>
          </w:tcPr>
          <w:p w14:paraId="1C1CFC0B" w14:textId="77777777" w:rsidR="00135431" w:rsidRPr="00BF0272" w:rsidRDefault="00135431">
            <w:pPr>
              <w:spacing w:line="256" w:lineRule="auto"/>
              <w:rPr>
                <w:color w:val="000000"/>
                <w:sz w:val="20"/>
                <w:lang w:eastAsia="en-US"/>
              </w:rPr>
            </w:pPr>
          </w:p>
        </w:tc>
        <w:tc>
          <w:tcPr>
            <w:tcW w:w="2329" w:type="pct"/>
            <w:gridSpan w:val="4"/>
            <w:tcBorders>
              <w:top w:val="nil"/>
              <w:left w:val="nil"/>
              <w:bottom w:val="nil"/>
              <w:right w:val="nil"/>
            </w:tcBorders>
            <w:vAlign w:val="bottom"/>
          </w:tcPr>
          <w:p w14:paraId="1C1CFC0C" w14:textId="77777777" w:rsidR="00135431" w:rsidRPr="00D6741D" w:rsidRDefault="00135431">
            <w:pPr>
              <w:spacing w:line="256" w:lineRule="auto"/>
              <w:rPr>
                <w:b/>
                <w:color w:val="000000"/>
                <w:sz w:val="20"/>
                <w:lang w:eastAsia="en-US"/>
              </w:rPr>
            </w:pPr>
          </w:p>
        </w:tc>
      </w:tr>
      <w:tr w:rsidR="00135431" w14:paraId="1C1CFC11" w14:textId="77777777" w:rsidTr="6F72C599">
        <w:trPr>
          <w:gridBefore w:val="1"/>
          <w:wBefore w:w="125" w:type="pct"/>
          <w:trHeight w:val="255"/>
        </w:trPr>
        <w:tc>
          <w:tcPr>
            <w:tcW w:w="2036" w:type="pct"/>
            <w:gridSpan w:val="4"/>
            <w:tcBorders>
              <w:top w:val="nil"/>
              <w:left w:val="nil"/>
              <w:bottom w:val="nil"/>
              <w:right w:val="nil"/>
            </w:tcBorders>
            <w:hideMark/>
          </w:tcPr>
          <w:p w14:paraId="1C1CFC0E" w14:textId="77777777" w:rsidR="00135431" w:rsidRPr="00BF0272" w:rsidRDefault="00135431">
            <w:pPr>
              <w:spacing w:line="256" w:lineRule="auto"/>
              <w:ind w:left="423"/>
              <w:rPr>
                <w:color w:val="000000"/>
                <w:sz w:val="20"/>
                <w:lang w:eastAsia="en-US"/>
              </w:rPr>
            </w:pPr>
            <w:r w:rsidRPr="00BF0272">
              <w:rPr>
                <w:color w:val="000000"/>
                <w:sz w:val="20"/>
                <w:lang w:eastAsia="en-US"/>
              </w:rPr>
              <w:t xml:space="preserve">Funkce:     jednatel </w:t>
            </w:r>
          </w:p>
        </w:tc>
        <w:tc>
          <w:tcPr>
            <w:tcW w:w="390" w:type="pct"/>
            <w:tcBorders>
              <w:top w:val="nil"/>
              <w:left w:val="nil"/>
              <w:bottom w:val="nil"/>
              <w:right w:val="nil"/>
            </w:tcBorders>
          </w:tcPr>
          <w:p w14:paraId="1C1CFC0F" w14:textId="77777777" w:rsidR="00135431" w:rsidRPr="00BF0272" w:rsidRDefault="00135431">
            <w:pPr>
              <w:spacing w:line="256" w:lineRule="auto"/>
              <w:rPr>
                <w:color w:val="000000"/>
                <w:sz w:val="20"/>
                <w:lang w:eastAsia="en-US"/>
              </w:rPr>
            </w:pPr>
          </w:p>
        </w:tc>
        <w:tc>
          <w:tcPr>
            <w:tcW w:w="2449" w:type="pct"/>
            <w:gridSpan w:val="5"/>
            <w:tcBorders>
              <w:top w:val="nil"/>
              <w:left w:val="nil"/>
              <w:bottom w:val="nil"/>
              <w:right w:val="nil"/>
            </w:tcBorders>
            <w:hideMark/>
          </w:tcPr>
          <w:p w14:paraId="1C1CFC10" w14:textId="44B53C6D" w:rsidR="00135431" w:rsidRPr="00D6741D" w:rsidRDefault="00135431">
            <w:pPr>
              <w:spacing w:line="256" w:lineRule="auto"/>
              <w:ind w:left="1598" w:hanging="1598"/>
              <w:rPr>
                <w:color w:val="000000"/>
                <w:sz w:val="20"/>
                <w:lang w:eastAsia="en-US"/>
              </w:rPr>
            </w:pPr>
            <w:r w:rsidRPr="00D6741D">
              <w:rPr>
                <w:color w:val="000000"/>
                <w:sz w:val="20"/>
                <w:lang w:eastAsia="en-US"/>
              </w:rPr>
              <w:t xml:space="preserve">Funkce:     </w:t>
            </w:r>
            <w:r w:rsidR="008056FA" w:rsidRPr="00D6741D">
              <w:rPr>
                <w:color w:val="000000"/>
                <w:sz w:val="20"/>
                <w:lang w:eastAsia="en-US"/>
              </w:rPr>
              <w:t>předseda představenstva</w:t>
            </w:r>
          </w:p>
        </w:tc>
      </w:tr>
      <w:tr w:rsidR="00135431" w14:paraId="1C1CFC18" w14:textId="77777777" w:rsidTr="6F72C599">
        <w:trPr>
          <w:gridAfter w:val="1"/>
          <w:wAfter w:w="121" w:type="pct"/>
          <w:trHeight w:val="255"/>
        </w:trPr>
        <w:tc>
          <w:tcPr>
            <w:tcW w:w="1706" w:type="pct"/>
            <w:gridSpan w:val="2"/>
            <w:tcBorders>
              <w:top w:val="nil"/>
              <w:left w:val="nil"/>
              <w:bottom w:val="nil"/>
              <w:right w:val="nil"/>
            </w:tcBorders>
            <w:vAlign w:val="bottom"/>
          </w:tcPr>
          <w:p w14:paraId="1C1CFC12" w14:textId="77777777" w:rsidR="00135431" w:rsidRPr="00BF0272" w:rsidRDefault="00135431">
            <w:pPr>
              <w:spacing w:line="256" w:lineRule="auto"/>
              <w:rPr>
                <w:color w:val="000000"/>
                <w:sz w:val="20"/>
                <w:lang w:eastAsia="en-US"/>
              </w:rPr>
            </w:pPr>
          </w:p>
        </w:tc>
        <w:tc>
          <w:tcPr>
            <w:tcW w:w="326" w:type="pct"/>
            <w:gridSpan w:val="2"/>
            <w:tcBorders>
              <w:top w:val="nil"/>
              <w:left w:val="nil"/>
              <w:bottom w:val="nil"/>
              <w:right w:val="nil"/>
            </w:tcBorders>
            <w:vAlign w:val="bottom"/>
          </w:tcPr>
          <w:p w14:paraId="1C1CFC13" w14:textId="77777777" w:rsidR="00135431" w:rsidRPr="00BF0272" w:rsidRDefault="00135431">
            <w:pPr>
              <w:spacing w:line="256" w:lineRule="auto"/>
              <w:jc w:val="center"/>
              <w:rPr>
                <w:color w:val="000000"/>
                <w:sz w:val="20"/>
                <w:lang w:eastAsia="en-US"/>
              </w:rPr>
            </w:pPr>
          </w:p>
        </w:tc>
        <w:tc>
          <w:tcPr>
            <w:tcW w:w="518" w:type="pct"/>
            <w:gridSpan w:val="2"/>
            <w:tcBorders>
              <w:top w:val="nil"/>
              <w:left w:val="nil"/>
              <w:bottom w:val="nil"/>
              <w:right w:val="nil"/>
            </w:tcBorders>
            <w:vAlign w:val="bottom"/>
          </w:tcPr>
          <w:p w14:paraId="1C1CFC14" w14:textId="77777777" w:rsidR="00135431" w:rsidRPr="00BF0272" w:rsidRDefault="00135431">
            <w:pPr>
              <w:spacing w:line="256" w:lineRule="auto"/>
              <w:rPr>
                <w:color w:val="000000"/>
                <w:sz w:val="20"/>
                <w:lang w:eastAsia="en-US"/>
              </w:rPr>
            </w:pPr>
          </w:p>
        </w:tc>
        <w:tc>
          <w:tcPr>
            <w:tcW w:w="192" w:type="pct"/>
            <w:tcBorders>
              <w:top w:val="nil"/>
              <w:left w:val="nil"/>
              <w:bottom w:val="nil"/>
              <w:right w:val="nil"/>
            </w:tcBorders>
            <w:vAlign w:val="bottom"/>
          </w:tcPr>
          <w:p w14:paraId="1C1CFC15" w14:textId="77777777" w:rsidR="00135431" w:rsidRPr="00BF0272" w:rsidRDefault="00135431">
            <w:pPr>
              <w:spacing w:line="256" w:lineRule="auto"/>
              <w:rPr>
                <w:color w:val="000000"/>
                <w:sz w:val="20"/>
                <w:lang w:eastAsia="en-US"/>
              </w:rPr>
            </w:pPr>
          </w:p>
        </w:tc>
        <w:tc>
          <w:tcPr>
            <w:tcW w:w="1115" w:type="pct"/>
            <w:tcBorders>
              <w:top w:val="nil"/>
              <w:left w:val="nil"/>
              <w:bottom w:val="nil"/>
              <w:right w:val="nil"/>
            </w:tcBorders>
            <w:vAlign w:val="bottom"/>
          </w:tcPr>
          <w:p w14:paraId="1C1CFC16" w14:textId="77777777" w:rsidR="00135431" w:rsidRPr="00BF0272" w:rsidRDefault="00135431">
            <w:pPr>
              <w:spacing w:line="256" w:lineRule="auto"/>
              <w:rPr>
                <w:color w:val="000000"/>
                <w:sz w:val="20"/>
                <w:lang w:eastAsia="en-US"/>
              </w:rPr>
            </w:pPr>
          </w:p>
        </w:tc>
        <w:tc>
          <w:tcPr>
            <w:tcW w:w="1022" w:type="pct"/>
            <w:gridSpan w:val="2"/>
            <w:tcBorders>
              <w:top w:val="nil"/>
              <w:left w:val="nil"/>
              <w:bottom w:val="nil"/>
              <w:right w:val="nil"/>
            </w:tcBorders>
            <w:vAlign w:val="bottom"/>
          </w:tcPr>
          <w:p w14:paraId="1C1CFC17" w14:textId="77777777" w:rsidR="00135431" w:rsidRPr="00BF0272" w:rsidRDefault="00135431">
            <w:pPr>
              <w:spacing w:line="256" w:lineRule="auto"/>
              <w:rPr>
                <w:color w:val="000000"/>
                <w:sz w:val="20"/>
                <w:lang w:eastAsia="en-US"/>
              </w:rPr>
            </w:pPr>
          </w:p>
        </w:tc>
      </w:tr>
      <w:tr w:rsidR="00135431" w14:paraId="1C1CFC1E" w14:textId="77777777" w:rsidTr="6F72C599">
        <w:trPr>
          <w:gridBefore w:val="1"/>
          <w:wBefore w:w="125" w:type="pct"/>
          <w:trHeight w:val="255"/>
        </w:trPr>
        <w:tc>
          <w:tcPr>
            <w:tcW w:w="1708" w:type="pct"/>
            <w:gridSpan w:val="2"/>
            <w:tcBorders>
              <w:top w:val="nil"/>
              <w:left w:val="nil"/>
              <w:bottom w:val="nil"/>
              <w:right w:val="nil"/>
            </w:tcBorders>
            <w:vAlign w:val="bottom"/>
            <w:hideMark/>
          </w:tcPr>
          <w:p w14:paraId="1C1CFC19" w14:textId="77777777" w:rsidR="00135431" w:rsidRPr="00BF0272" w:rsidRDefault="00135431">
            <w:pPr>
              <w:spacing w:line="256" w:lineRule="auto"/>
              <w:ind w:left="423"/>
              <w:rPr>
                <w:color w:val="000000"/>
                <w:sz w:val="20"/>
                <w:lang w:eastAsia="en-US"/>
              </w:rPr>
            </w:pPr>
            <w:r w:rsidRPr="00BF0272">
              <w:rPr>
                <w:color w:val="000000"/>
                <w:sz w:val="20"/>
                <w:lang w:eastAsia="en-US"/>
              </w:rPr>
              <w:t>Razítko:</w:t>
            </w:r>
          </w:p>
        </w:tc>
        <w:tc>
          <w:tcPr>
            <w:tcW w:w="328" w:type="pct"/>
            <w:gridSpan w:val="2"/>
            <w:tcBorders>
              <w:top w:val="nil"/>
              <w:left w:val="nil"/>
              <w:bottom w:val="nil"/>
              <w:right w:val="nil"/>
            </w:tcBorders>
            <w:vAlign w:val="bottom"/>
          </w:tcPr>
          <w:p w14:paraId="1C1CFC1A" w14:textId="77777777" w:rsidR="00135431" w:rsidRPr="00BF0272" w:rsidRDefault="00135431">
            <w:pPr>
              <w:spacing w:line="256" w:lineRule="auto"/>
              <w:jc w:val="center"/>
              <w:rPr>
                <w:color w:val="000000"/>
                <w:sz w:val="20"/>
                <w:lang w:eastAsia="en-US"/>
              </w:rPr>
            </w:pPr>
          </w:p>
        </w:tc>
        <w:tc>
          <w:tcPr>
            <w:tcW w:w="390" w:type="pct"/>
            <w:tcBorders>
              <w:top w:val="nil"/>
              <w:left w:val="nil"/>
              <w:bottom w:val="nil"/>
              <w:right w:val="nil"/>
            </w:tcBorders>
            <w:vAlign w:val="bottom"/>
          </w:tcPr>
          <w:p w14:paraId="1C1CFC1B" w14:textId="77777777" w:rsidR="00135431" w:rsidRPr="00BF0272" w:rsidRDefault="00135431">
            <w:pPr>
              <w:spacing w:line="256" w:lineRule="auto"/>
              <w:rPr>
                <w:color w:val="000000"/>
                <w:sz w:val="20"/>
                <w:lang w:eastAsia="en-US"/>
              </w:rPr>
            </w:pPr>
          </w:p>
        </w:tc>
        <w:tc>
          <w:tcPr>
            <w:tcW w:w="1432" w:type="pct"/>
            <w:gridSpan w:val="3"/>
            <w:tcBorders>
              <w:top w:val="nil"/>
              <w:left w:val="nil"/>
              <w:bottom w:val="nil"/>
              <w:right w:val="nil"/>
            </w:tcBorders>
            <w:vAlign w:val="bottom"/>
            <w:hideMark/>
          </w:tcPr>
          <w:p w14:paraId="1C1CFC1C" w14:textId="77777777" w:rsidR="00135431" w:rsidRPr="00BF0272" w:rsidRDefault="00135431">
            <w:pPr>
              <w:spacing w:line="256" w:lineRule="auto"/>
              <w:rPr>
                <w:color w:val="000000"/>
                <w:sz w:val="20"/>
                <w:lang w:eastAsia="en-US"/>
              </w:rPr>
            </w:pPr>
            <w:r w:rsidRPr="00BF0272">
              <w:rPr>
                <w:color w:val="000000"/>
                <w:sz w:val="20"/>
                <w:lang w:eastAsia="en-US"/>
              </w:rPr>
              <w:t>Razítko:</w:t>
            </w:r>
          </w:p>
        </w:tc>
        <w:tc>
          <w:tcPr>
            <w:tcW w:w="1018" w:type="pct"/>
            <w:gridSpan w:val="2"/>
            <w:tcBorders>
              <w:top w:val="nil"/>
              <w:left w:val="nil"/>
              <w:bottom w:val="nil"/>
              <w:right w:val="nil"/>
            </w:tcBorders>
            <w:vAlign w:val="bottom"/>
          </w:tcPr>
          <w:p w14:paraId="1C1CFC1D" w14:textId="77777777" w:rsidR="00135431" w:rsidRPr="00BF0272" w:rsidRDefault="00135431">
            <w:pPr>
              <w:spacing w:line="256" w:lineRule="auto"/>
              <w:rPr>
                <w:color w:val="000000"/>
                <w:sz w:val="20"/>
                <w:lang w:eastAsia="en-US"/>
              </w:rPr>
            </w:pPr>
          </w:p>
        </w:tc>
      </w:tr>
    </w:tbl>
    <w:p w14:paraId="1C1CFC1F" w14:textId="77777777" w:rsidR="00135431" w:rsidRDefault="00135431" w:rsidP="00135431"/>
    <w:p w14:paraId="1C1CFC20" w14:textId="77777777" w:rsidR="00135431" w:rsidRDefault="00135431" w:rsidP="00135431">
      <w:pPr>
        <w:spacing w:after="160" w:line="256" w:lineRule="auto"/>
      </w:pPr>
      <w:r>
        <w:br w:type="page"/>
      </w:r>
    </w:p>
    <w:p w14:paraId="1C1CFC21" w14:textId="77777777" w:rsidR="00135431" w:rsidRDefault="00135431" w:rsidP="00135431">
      <w:pPr>
        <w:jc w:val="right"/>
        <w:rPr>
          <w:rFonts w:ascii="Cambria" w:hAnsi="Cambria"/>
          <w:b/>
          <w:sz w:val="28"/>
          <w:szCs w:val="28"/>
        </w:rPr>
      </w:pPr>
      <w:r>
        <w:rPr>
          <w:rFonts w:ascii="Cambria" w:hAnsi="Cambria"/>
          <w:b/>
          <w:sz w:val="28"/>
          <w:szCs w:val="28"/>
        </w:rPr>
        <w:lastRenderedPageBreak/>
        <w:t>Příloha č. 1</w:t>
      </w:r>
    </w:p>
    <w:p w14:paraId="1C1CFC22" w14:textId="77777777" w:rsidR="00135431" w:rsidRDefault="00135431" w:rsidP="00135431">
      <w:pPr>
        <w:rPr>
          <w:rFonts w:ascii="Times New Roman" w:hAnsi="Times New Roman"/>
          <w:b/>
          <w:sz w:val="28"/>
          <w:szCs w:val="28"/>
        </w:rPr>
      </w:pPr>
    </w:p>
    <w:p w14:paraId="1C1CFC23" w14:textId="77777777" w:rsidR="00135431" w:rsidRDefault="00135431" w:rsidP="00135431">
      <w:pPr>
        <w:jc w:val="center"/>
        <w:rPr>
          <w:rFonts w:ascii="Cambria" w:hAnsi="Cambria"/>
          <w:b/>
          <w:sz w:val="28"/>
          <w:szCs w:val="28"/>
        </w:rPr>
      </w:pPr>
      <w:r>
        <w:rPr>
          <w:rFonts w:ascii="Cambria" w:hAnsi="Cambria"/>
          <w:b/>
          <w:sz w:val="28"/>
          <w:szCs w:val="28"/>
        </w:rPr>
        <w:t>Specifikace předmětu plnění</w:t>
      </w:r>
    </w:p>
    <w:p w14:paraId="1C1CFC24" w14:textId="77777777" w:rsidR="00135431" w:rsidRDefault="00135431" w:rsidP="00135431">
      <w:pPr>
        <w:rPr>
          <w:rFonts w:ascii="Times New Roman" w:hAnsi="Times New Roman"/>
          <w:sz w:val="22"/>
          <w:szCs w:val="22"/>
        </w:rPr>
      </w:pPr>
    </w:p>
    <w:p w14:paraId="1C1CFC25" w14:textId="77777777" w:rsidR="00135431" w:rsidRDefault="00135431" w:rsidP="00135431">
      <w:pPr>
        <w:pStyle w:val="Odstavecseseznamem"/>
        <w:numPr>
          <w:ilvl w:val="0"/>
          <w:numId w:val="7"/>
        </w:numPr>
        <w:rPr>
          <w:rFonts w:ascii="Cambria" w:hAnsi="Cambria"/>
          <w:b/>
        </w:rPr>
      </w:pPr>
      <w:r>
        <w:rPr>
          <w:rFonts w:ascii="Cambria" w:hAnsi="Cambria"/>
          <w:b/>
        </w:rPr>
        <w:t xml:space="preserve">Předmět plnění </w:t>
      </w:r>
    </w:p>
    <w:p w14:paraId="1C1CFC26" w14:textId="77777777" w:rsidR="00135431" w:rsidRDefault="00135431" w:rsidP="00135431">
      <w:pPr>
        <w:ind w:left="709"/>
        <w:rPr>
          <w:rFonts w:ascii="Times New Roman" w:hAnsi="Times New Roman"/>
          <w:b/>
          <w:bCs/>
          <w:sz w:val="20"/>
        </w:rPr>
      </w:pPr>
    </w:p>
    <w:p w14:paraId="1C1CFC28" w14:textId="77777777" w:rsidR="00135431" w:rsidRDefault="00135431" w:rsidP="00135431">
      <w:pPr>
        <w:ind w:left="709"/>
        <w:rPr>
          <w:rFonts w:ascii="Times New Roman" w:hAnsi="Times New Roman"/>
          <w:b/>
          <w:bCs/>
          <w:sz w:val="20"/>
        </w:rPr>
      </w:pPr>
    </w:p>
    <w:p w14:paraId="1C1CFC29" w14:textId="77777777" w:rsidR="00135431" w:rsidRDefault="00135431" w:rsidP="00135431">
      <w:pPr>
        <w:pStyle w:val="Odstavecseseznamem"/>
        <w:numPr>
          <w:ilvl w:val="1"/>
          <w:numId w:val="7"/>
        </w:numPr>
        <w:spacing w:after="200" w:line="276" w:lineRule="auto"/>
        <w:rPr>
          <w:rFonts w:ascii="Cambria" w:hAnsi="Cambria"/>
          <w:b/>
          <w:bCs/>
          <w:sz w:val="22"/>
          <w:szCs w:val="22"/>
        </w:rPr>
      </w:pPr>
      <w:r>
        <w:rPr>
          <w:rFonts w:ascii="Cambria" w:hAnsi="Cambria"/>
          <w:b/>
          <w:bCs/>
          <w:sz w:val="22"/>
          <w:szCs w:val="22"/>
        </w:rPr>
        <w:t>Software</w:t>
      </w:r>
    </w:p>
    <w:p w14:paraId="3367552B" w14:textId="1E3B2771" w:rsidR="00C84814" w:rsidRDefault="00C84814" w:rsidP="00135431">
      <w:pPr>
        <w:pStyle w:val="Odstavecseseznamem"/>
        <w:ind w:left="786"/>
        <w:rPr>
          <w:rFonts w:ascii="Cambria" w:hAnsi="Cambria"/>
          <w:b/>
          <w:bCs/>
        </w:rPr>
      </w:pPr>
    </w:p>
    <w:tbl>
      <w:tblPr>
        <w:tblW w:w="5000" w:type="pct"/>
        <w:tblCellMar>
          <w:left w:w="70" w:type="dxa"/>
          <w:right w:w="70" w:type="dxa"/>
        </w:tblCellMar>
        <w:tblLook w:val="04A0" w:firstRow="1" w:lastRow="0" w:firstColumn="1" w:lastColumn="0" w:noHBand="0" w:noVBand="1"/>
      </w:tblPr>
      <w:tblGrid>
        <w:gridCol w:w="514"/>
        <w:gridCol w:w="384"/>
        <w:gridCol w:w="409"/>
        <w:gridCol w:w="484"/>
        <w:gridCol w:w="3551"/>
        <w:gridCol w:w="634"/>
        <w:gridCol w:w="1341"/>
        <w:gridCol w:w="554"/>
        <w:gridCol w:w="1133"/>
        <w:gridCol w:w="1602"/>
      </w:tblGrid>
      <w:tr w:rsidR="00C84814" w:rsidRPr="00CD5BC6" w14:paraId="4C606403" w14:textId="77777777" w:rsidTr="00CD5BC6">
        <w:trPr>
          <w:trHeight w:val="255"/>
        </w:trPr>
        <w:tc>
          <w:tcPr>
            <w:tcW w:w="2519" w:type="pct"/>
            <w:gridSpan w:val="5"/>
            <w:tcBorders>
              <w:top w:val="nil"/>
              <w:left w:val="nil"/>
              <w:bottom w:val="nil"/>
              <w:right w:val="nil"/>
            </w:tcBorders>
            <w:shd w:val="clear" w:color="auto" w:fill="auto"/>
            <w:noWrap/>
            <w:vAlign w:val="bottom"/>
            <w:hideMark/>
          </w:tcPr>
          <w:p w14:paraId="56C0BD96" w14:textId="77777777" w:rsidR="00C84814" w:rsidRPr="00CD5BC6" w:rsidRDefault="00C84814" w:rsidP="00C84814">
            <w:pPr>
              <w:rPr>
                <w:rFonts w:cs="Calibri"/>
                <w:sz w:val="20"/>
              </w:rPr>
            </w:pPr>
            <w:r w:rsidRPr="00CD5BC6">
              <w:rPr>
                <w:rFonts w:cs="Calibri"/>
                <w:sz w:val="20"/>
              </w:rPr>
              <w:t>Systém: Orsoft Open Standard</w:t>
            </w:r>
          </w:p>
        </w:tc>
        <w:tc>
          <w:tcPr>
            <w:tcW w:w="299" w:type="pct"/>
            <w:tcBorders>
              <w:top w:val="nil"/>
              <w:left w:val="nil"/>
              <w:bottom w:val="nil"/>
              <w:right w:val="nil"/>
            </w:tcBorders>
            <w:shd w:val="clear" w:color="auto" w:fill="auto"/>
            <w:noWrap/>
            <w:vAlign w:val="bottom"/>
            <w:hideMark/>
          </w:tcPr>
          <w:p w14:paraId="3B35F697" w14:textId="77777777" w:rsidR="00C84814" w:rsidRPr="00CD5BC6" w:rsidRDefault="00C84814" w:rsidP="00C84814">
            <w:pPr>
              <w:rPr>
                <w:rFonts w:cs="Calibri"/>
                <w:sz w:val="20"/>
              </w:rPr>
            </w:pPr>
          </w:p>
        </w:tc>
        <w:tc>
          <w:tcPr>
            <w:tcW w:w="632" w:type="pct"/>
            <w:tcBorders>
              <w:top w:val="nil"/>
              <w:left w:val="nil"/>
              <w:bottom w:val="nil"/>
              <w:right w:val="nil"/>
            </w:tcBorders>
            <w:shd w:val="clear" w:color="auto" w:fill="auto"/>
            <w:noWrap/>
            <w:vAlign w:val="bottom"/>
            <w:hideMark/>
          </w:tcPr>
          <w:p w14:paraId="2041C331" w14:textId="77777777" w:rsidR="00C84814" w:rsidRPr="00CD5BC6" w:rsidRDefault="00C84814" w:rsidP="00C84814">
            <w:pPr>
              <w:jc w:val="center"/>
              <w:rPr>
                <w:rFonts w:cs="Calibri"/>
                <w:sz w:val="20"/>
              </w:rPr>
            </w:pPr>
          </w:p>
        </w:tc>
        <w:tc>
          <w:tcPr>
            <w:tcW w:w="1550" w:type="pct"/>
            <w:gridSpan w:val="3"/>
            <w:tcBorders>
              <w:top w:val="nil"/>
              <w:left w:val="nil"/>
              <w:bottom w:val="nil"/>
              <w:right w:val="nil"/>
            </w:tcBorders>
            <w:shd w:val="clear" w:color="auto" w:fill="auto"/>
            <w:noWrap/>
            <w:vAlign w:val="bottom"/>
            <w:hideMark/>
          </w:tcPr>
          <w:p w14:paraId="15E9FB75" w14:textId="77777777" w:rsidR="00C84814" w:rsidRPr="00CD5BC6" w:rsidRDefault="00C84814" w:rsidP="00C84814">
            <w:pPr>
              <w:rPr>
                <w:rFonts w:cs="Calibri"/>
                <w:b/>
                <w:bCs/>
                <w:sz w:val="18"/>
                <w:szCs w:val="18"/>
              </w:rPr>
            </w:pPr>
            <w:r w:rsidRPr="00CD5BC6">
              <w:rPr>
                <w:rFonts w:cs="Calibri"/>
                <w:b/>
                <w:bCs/>
                <w:sz w:val="18"/>
                <w:szCs w:val="18"/>
              </w:rPr>
              <w:t xml:space="preserve">Operační systém / počet uživatelů </w:t>
            </w:r>
          </w:p>
        </w:tc>
      </w:tr>
      <w:tr w:rsidR="00C84814" w:rsidRPr="00CD5BC6" w14:paraId="4288654D" w14:textId="77777777" w:rsidTr="00CD5BC6">
        <w:trPr>
          <w:trHeight w:val="255"/>
        </w:trPr>
        <w:tc>
          <w:tcPr>
            <w:tcW w:w="2519" w:type="pct"/>
            <w:gridSpan w:val="5"/>
            <w:tcBorders>
              <w:top w:val="nil"/>
              <w:left w:val="nil"/>
              <w:bottom w:val="nil"/>
              <w:right w:val="nil"/>
            </w:tcBorders>
            <w:shd w:val="clear" w:color="auto" w:fill="auto"/>
            <w:noWrap/>
            <w:vAlign w:val="bottom"/>
            <w:hideMark/>
          </w:tcPr>
          <w:p w14:paraId="28E99CE2" w14:textId="77777777" w:rsidR="00C84814" w:rsidRPr="00CD5BC6" w:rsidRDefault="00C84814" w:rsidP="00C84814">
            <w:pPr>
              <w:rPr>
                <w:rFonts w:cs="Calibri"/>
                <w:sz w:val="20"/>
              </w:rPr>
            </w:pPr>
            <w:r w:rsidRPr="00CD5BC6">
              <w:rPr>
                <w:rFonts w:cs="Calibri"/>
                <w:sz w:val="20"/>
              </w:rPr>
              <w:t xml:space="preserve">var. C/S s tenkým klientem </w:t>
            </w:r>
          </w:p>
        </w:tc>
        <w:tc>
          <w:tcPr>
            <w:tcW w:w="931" w:type="pct"/>
            <w:gridSpan w:val="2"/>
            <w:tcBorders>
              <w:top w:val="nil"/>
              <w:left w:val="nil"/>
              <w:bottom w:val="nil"/>
              <w:right w:val="nil"/>
            </w:tcBorders>
            <w:shd w:val="clear" w:color="auto" w:fill="auto"/>
            <w:noWrap/>
            <w:vAlign w:val="bottom"/>
            <w:hideMark/>
          </w:tcPr>
          <w:p w14:paraId="2534631E" w14:textId="77777777" w:rsidR="00C84814" w:rsidRPr="00CD5BC6" w:rsidRDefault="00C84814" w:rsidP="00C84814">
            <w:pPr>
              <w:rPr>
                <w:rFonts w:cs="Calibri"/>
                <w:b/>
                <w:bCs/>
                <w:sz w:val="18"/>
                <w:szCs w:val="18"/>
              </w:rPr>
            </w:pPr>
            <w:r w:rsidRPr="00CD5BC6">
              <w:rPr>
                <w:rFonts w:cs="Calibri"/>
                <w:b/>
                <w:bCs/>
                <w:sz w:val="18"/>
                <w:szCs w:val="18"/>
              </w:rPr>
              <w:t>Server:</w:t>
            </w:r>
            <w:r w:rsidRPr="00CD5BC6">
              <w:rPr>
                <w:rFonts w:cs="Calibri"/>
                <w:sz w:val="18"/>
                <w:szCs w:val="18"/>
              </w:rPr>
              <w:t xml:space="preserve"> </w:t>
            </w:r>
          </w:p>
        </w:tc>
        <w:tc>
          <w:tcPr>
            <w:tcW w:w="1550" w:type="pct"/>
            <w:gridSpan w:val="3"/>
            <w:tcBorders>
              <w:top w:val="nil"/>
              <w:left w:val="nil"/>
              <w:bottom w:val="nil"/>
              <w:right w:val="nil"/>
            </w:tcBorders>
            <w:shd w:val="clear" w:color="auto" w:fill="auto"/>
            <w:noWrap/>
            <w:vAlign w:val="bottom"/>
            <w:hideMark/>
          </w:tcPr>
          <w:p w14:paraId="65CB47A5" w14:textId="77777777" w:rsidR="00C84814" w:rsidRPr="00CD5BC6" w:rsidRDefault="00C84814" w:rsidP="00C84814">
            <w:pPr>
              <w:rPr>
                <w:rFonts w:cs="Calibri"/>
                <w:sz w:val="16"/>
                <w:szCs w:val="16"/>
              </w:rPr>
            </w:pPr>
            <w:r w:rsidRPr="00CD5BC6">
              <w:rPr>
                <w:rFonts w:cs="Calibri"/>
                <w:sz w:val="16"/>
                <w:szCs w:val="16"/>
              </w:rPr>
              <w:t>WINDOWS Server 2012 a vyšší / 10 uživ.</w:t>
            </w:r>
          </w:p>
        </w:tc>
      </w:tr>
      <w:tr w:rsidR="00C84814" w:rsidRPr="00CD5BC6" w14:paraId="0D755916" w14:textId="77777777" w:rsidTr="00CD5BC6">
        <w:trPr>
          <w:trHeight w:val="255"/>
        </w:trPr>
        <w:tc>
          <w:tcPr>
            <w:tcW w:w="2519" w:type="pct"/>
            <w:gridSpan w:val="5"/>
            <w:tcBorders>
              <w:top w:val="nil"/>
              <w:left w:val="nil"/>
              <w:bottom w:val="nil"/>
              <w:right w:val="nil"/>
            </w:tcBorders>
            <w:shd w:val="clear" w:color="auto" w:fill="auto"/>
            <w:noWrap/>
            <w:vAlign w:val="bottom"/>
            <w:hideMark/>
          </w:tcPr>
          <w:p w14:paraId="05A30515" w14:textId="77777777" w:rsidR="00C84814" w:rsidRPr="00CD5BC6" w:rsidRDefault="00C84814" w:rsidP="00C84814">
            <w:pPr>
              <w:rPr>
                <w:rFonts w:cs="Calibri"/>
                <w:sz w:val="20"/>
              </w:rPr>
            </w:pPr>
            <w:r w:rsidRPr="00CD5BC6">
              <w:rPr>
                <w:rFonts w:cs="Calibri"/>
                <w:sz w:val="20"/>
              </w:rPr>
              <w:t>var. DB MS SQL Server</w:t>
            </w:r>
          </w:p>
        </w:tc>
        <w:tc>
          <w:tcPr>
            <w:tcW w:w="931" w:type="pct"/>
            <w:gridSpan w:val="2"/>
            <w:tcBorders>
              <w:top w:val="nil"/>
              <w:left w:val="nil"/>
              <w:bottom w:val="nil"/>
              <w:right w:val="nil"/>
            </w:tcBorders>
            <w:shd w:val="clear" w:color="auto" w:fill="auto"/>
            <w:noWrap/>
            <w:vAlign w:val="bottom"/>
            <w:hideMark/>
          </w:tcPr>
          <w:p w14:paraId="5A069C64" w14:textId="77777777" w:rsidR="00C84814" w:rsidRPr="00CD5BC6" w:rsidRDefault="00C84814" w:rsidP="00C84814">
            <w:pPr>
              <w:rPr>
                <w:rFonts w:cs="Calibri"/>
                <w:b/>
                <w:bCs/>
                <w:sz w:val="18"/>
                <w:szCs w:val="18"/>
              </w:rPr>
            </w:pPr>
            <w:r w:rsidRPr="00CD5BC6">
              <w:rPr>
                <w:rFonts w:cs="Calibri"/>
                <w:b/>
                <w:bCs/>
                <w:sz w:val="18"/>
                <w:szCs w:val="18"/>
              </w:rPr>
              <w:t>Pracovní stanice:</w:t>
            </w:r>
            <w:r w:rsidRPr="00CD5BC6">
              <w:rPr>
                <w:rFonts w:cs="Calibri"/>
                <w:sz w:val="18"/>
                <w:szCs w:val="18"/>
              </w:rPr>
              <w:t xml:space="preserve"> </w:t>
            </w:r>
          </w:p>
        </w:tc>
        <w:tc>
          <w:tcPr>
            <w:tcW w:w="1550" w:type="pct"/>
            <w:gridSpan w:val="3"/>
            <w:tcBorders>
              <w:top w:val="nil"/>
              <w:left w:val="nil"/>
              <w:bottom w:val="nil"/>
              <w:right w:val="nil"/>
            </w:tcBorders>
            <w:shd w:val="clear" w:color="auto" w:fill="auto"/>
            <w:noWrap/>
            <w:vAlign w:val="bottom"/>
            <w:hideMark/>
          </w:tcPr>
          <w:p w14:paraId="4AAA9726" w14:textId="77777777" w:rsidR="00C84814" w:rsidRPr="00CD5BC6" w:rsidRDefault="00C84814" w:rsidP="00C84814">
            <w:pPr>
              <w:rPr>
                <w:rFonts w:cs="Calibri"/>
                <w:sz w:val="16"/>
                <w:szCs w:val="16"/>
              </w:rPr>
            </w:pPr>
            <w:r w:rsidRPr="00CD5BC6">
              <w:rPr>
                <w:rFonts w:cs="Calibri"/>
                <w:sz w:val="16"/>
                <w:szCs w:val="16"/>
              </w:rPr>
              <w:t>WINDOWS 7 a vyšší / 1 uživ.</w:t>
            </w:r>
          </w:p>
        </w:tc>
      </w:tr>
      <w:tr w:rsidR="00C84814" w:rsidRPr="00CD5BC6" w14:paraId="3A3D0806" w14:textId="77777777" w:rsidTr="00CD5BC6">
        <w:trPr>
          <w:trHeight w:val="255"/>
        </w:trPr>
        <w:tc>
          <w:tcPr>
            <w:tcW w:w="243" w:type="pct"/>
            <w:tcBorders>
              <w:top w:val="nil"/>
              <w:left w:val="nil"/>
              <w:bottom w:val="nil"/>
              <w:right w:val="nil"/>
            </w:tcBorders>
            <w:shd w:val="clear" w:color="auto" w:fill="auto"/>
            <w:noWrap/>
            <w:vAlign w:val="bottom"/>
            <w:hideMark/>
          </w:tcPr>
          <w:p w14:paraId="69E75105" w14:textId="77777777" w:rsidR="00C84814" w:rsidRPr="00CD5BC6" w:rsidRDefault="00C84814" w:rsidP="00C84814">
            <w:pPr>
              <w:rPr>
                <w:rFonts w:cs="Calibri"/>
                <w:sz w:val="16"/>
                <w:szCs w:val="16"/>
              </w:rPr>
            </w:pPr>
          </w:p>
        </w:tc>
        <w:tc>
          <w:tcPr>
            <w:tcW w:w="181" w:type="pct"/>
            <w:tcBorders>
              <w:top w:val="nil"/>
              <w:left w:val="nil"/>
              <w:bottom w:val="nil"/>
              <w:right w:val="nil"/>
            </w:tcBorders>
            <w:shd w:val="clear" w:color="auto" w:fill="auto"/>
            <w:noWrap/>
            <w:vAlign w:val="bottom"/>
            <w:hideMark/>
          </w:tcPr>
          <w:p w14:paraId="6A1C1736" w14:textId="77777777" w:rsidR="00C84814" w:rsidRPr="00CD5BC6" w:rsidRDefault="00C84814" w:rsidP="00C84814">
            <w:pPr>
              <w:rPr>
                <w:rFonts w:cs="Calibri"/>
                <w:sz w:val="20"/>
              </w:rPr>
            </w:pPr>
          </w:p>
        </w:tc>
        <w:tc>
          <w:tcPr>
            <w:tcW w:w="193" w:type="pct"/>
            <w:tcBorders>
              <w:top w:val="nil"/>
              <w:left w:val="nil"/>
              <w:bottom w:val="nil"/>
              <w:right w:val="nil"/>
            </w:tcBorders>
            <w:shd w:val="clear" w:color="auto" w:fill="auto"/>
            <w:noWrap/>
            <w:vAlign w:val="bottom"/>
            <w:hideMark/>
          </w:tcPr>
          <w:p w14:paraId="52B3701F" w14:textId="77777777" w:rsidR="00C84814" w:rsidRPr="00CD5BC6" w:rsidRDefault="00C84814" w:rsidP="00C84814">
            <w:pPr>
              <w:rPr>
                <w:rFonts w:cs="Calibri"/>
                <w:sz w:val="20"/>
              </w:rPr>
            </w:pPr>
          </w:p>
        </w:tc>
        <w:tc>
          <w:tcPr>
            <w:tcW w:w="228" w:type="pct"/>
            <w:tcBorders>
              <w:top w:val="nil"/>
              <w:left w:val="nil"/>
              <w:bottom w:val="nil"/>
              <w:right w:val="nil"/>
            </w:tcBorders>
            <w:shd w:val="clear" w:color="auto" w:fill="auto"/>
            <w:noWrap/>
            <w:vAlign w:val="bottom"/>
            <w:hideMark/>
          </w:tcPr>
          <w:p w14:paraId="48E1389E" w14:textId="77777777" w:rsidR="00C84814" w:rsidRPr="00CD5BC6" w:rsidRDefault="00C84814" w:rsidP="00C84814">
            <w:pPr>
              <w:rPr>
                <w:rFonts w:cs="Calibri"/>
                <w:sz w:val="20"/>
              </w:rPr>
            </w:pPr>
          </w:p>
        </w:tc>
        <w:tc>
          <w:tcPr>
            <w:tcW w:w="1674" w:type="pct"/>
            <w:tcBorders>
              <w:top w:val="nil"/>
              <w:left w:val="nil"/>
              <w:bottom w:val="nil"/>
              <w:right w:val="nil"/>
            </w:tcBorders>
            <w:shd w:val="clear" w:color="auto" w:fill="auto"/>
            <w:noWrap/>
            <w:vAlign w:val="bottom"/>
            <w:hideMark/>
          </w:tcPr>
          <w:p w14:paraId="0345D9B2" w14:textId="77777777" w:rsidR="00C84814" w:rsidRPr="00CD5BC6" w:rsidRDefault="00C84814" w:rsidP="00C84814">
            <w:pPr>
              <w:rPr>
                <w:rFonts w:cs="Calibri"/>
                <w:sz w:val="20"/>
              </w:rPr>
            </w:pPr>
          </w:p>
        </w:tc>
        <w:tc>
          <w:tcPr>
            <w:tcW w:w="299" w:type="pct"/>
            <w:tcBorders>
              <w:top w:val="nil"/>
              <w:left w:val="nil"/>
              <w:bottom w:val="nil"/>
              <w:right w:val="nil"/>
            </w:tcBorders>
            <w:shd w:val="clear" w:color="auto" w:fill="auto"/>
            <w:noWrap/>
            <w:vAlign w:val="bottom"/>
            <w:hideMark/>
          </w:tcPr>
          <w:p w14:paraId="29BD4267" w14:textId="77777777" w:rsidR="00C84814" w:rsidRPr="00CD5BC6" w:rsidRDefault="00C84814" w:rsidP="00C84814">
            <w:pPr>
              <w:rPr>
                <w:rFonts w:cs="Calibri"/>
                <w:sz w:val="20"/>
              </w:rPr>
            </w:pPr>
          </w:p>
        </w:tc>
        <w:tc>
          <w:tcPr>
            <w:tcW w:w="632" w:type="pct"/>
            <w:tcBorders>
              <w:top w:val="nil"/>
              <w:left w:val="nil"/>
              <w:bottom w:val="nil"/>
              <w:right w:val="nil"/>
            </w:tcBorders>
            <w:shd w:val="clear" w:color="auto" w:fill="auto"/>
            <w:noWrap/>
            <w:vAlign w:val="bottom"/>
            <w:hideMark/>
          </w:tcPr>
          <w:p w14:paraId="5CA940DC" w14:textId="77777777" w:rsidR="00C84814" w:rsidRPr="00CD5BC6" w:rsidRDefault="00C84814" w:rsidP="00C84814">
            <w:pPr>
              <w:jc w:val="center"/>
              <w:rPr>
                <w:rFonts w:cs="Calibri"/>
                <w:sz w:val="20"/>
              </w:rPr>
            </w:pPr>
          </w:p>
        </w:tc>
        <w:tc>
          <w:tcPr>
            <w:tcW w:w="261" w:type="pct"/>
            <w:tcBorders>
              <w:top w:val="nil"/>
              <w:left w:val="nil"/>
              <w:bottom w:val="nil"/>
              <w:right w:val="nil"/>
            </w:tcBorders>
            <w:shd w:val="clear" w:color="auto" w:fill="auto"/>
            <w:noWrap/>
            <w:vAlign w:val="bottom"/>
            <w:hideMark/>
          </w:tcPr>
          <w:p w14:paraId="642A27CA" w14:textId="77777777" w:rsidR="00C84814" w:rsidRPr="00CD5BC6" w:rsidRDefault="00C84814" w:rsidP="00C84814">
            <w:pPr>
              <w:rPr>
                <w:rFonts w:cs="Calibri"/>
                <w:sz w:val="20"/>
              </w:rPr>
            </w:pPr>
          </w:p>
        </w:tc>
        <w:tc>
          <w:tcPr>
            <w:tcW w:w="534" w:type="pct"/>
            <w:tcBorders>
              <w:top w:val="nil"/>
              <w:left w:val="nil"/>
              <w:bottom w:val="nil"/>
              <w:right w:val="nil"/>
            </w:tcBorders>
            <w:shd w:val="clear" w:color="auto" w:fill="auto"/>
            <w:noWrap/>
            <w:vAlign w:val="bottom"/>
            <w:hideMark/>
          </w:tcPr>
          <w:p w14:paraId="4045517D" w14:textId="77777777" w:rsidR="00C84814" w:rsidRPr="00CD5BC6" w:rsidRDefault="00C84814" w:rsidP="00C84814">
            <w:pPr>
              <w:rPr>
                <w:rFonts w:cs="Calibri"/>
                <w:sz w:val="20"/>
              </w:rPr>
            </w:pPr>
          </w:p>
        </w:tc>
        <w:tc>
          <w:tcPr>
            <w:tcW w:w="755" w:type="pct"/>
            <w:tcBorders>
              <w:top w:val="nil"/>
              <w:left w:val="nil"/>
              <w:bottom w:val="nil"/>
              <w:right w:val="nil"/>
            </w:tcBorders>
            <w:shd w:val="clear" w:color="auto" w:fill="auto"/>
            <w:noWrap/>
            <w:vAlign w:val="bottom"/>
            <w:hideMark/>
          </w:tcPr>
          <w:p w14:paraId="3E5411D6" w14:textId="77777777" w:rsidR="00C84814" w:rsidRPr="00CD5BC6" w:rsidRDefault="00C84814" w:rsidP="00C84814">
            <w:pPr>
              <w:jc w:val="right"/>
              <w:rPr>
                <w:rFonts w:cs="Calibri"/>
                <w:sz w:val="20"/>
              </w:rPr>
            </w:pPr>
          </w:p>
        </w:tc>
      </w:tr>
      <w:tr w:rsidR="00C84814" w:rsidRPr="00CD5BC6" w14:paraId="6BECACC4" w14:textId="77777777" w:rsidTr="00CD5BC6">
        <w:trPr>
          <w:trHeight w:val="255"/>
        </w:trPr>
        <w:tc>
          <w:tcPr>
            <w:tcW w:w="243" w:type="pct"/>
            <w:tcBorders>
              <w:top w:val="nil"/>
              <w:left w:val="nil"/>
              <w:bottom w:val="nil"/>
              <w:right w:val="nil"/>
            </w:tcBorders>
            <w:shd w:val="clear" w:color="auto" w:fill="auto"/>
            <w:noWrap/>
            <w:vAlign w:val="bottom"/>
            <w:hideMark/>
          </w:tcPr>
          <w:p w14:paraId="52699A62" w14:textId="77777777" w:rsidR="00C84814" w:rsidRPr="00CD5BC6" w:rsidRDefault="00C84814" w:rsidP="00C84814">
            <w:pPr>
              <w:jc w:val="center"/>
              <w:rPr>
                <w:rFonts w:cs="Calibri"/>
                <w:b/>
                <w:bCs/>
                <w:sz w:val="18"/>
                <w:szCs w:val="18"/>
              </w:rPr>
            </w:pPr>
            <w:r w:rsidRPr="00CD5BC6">
              <w:rPr>
                <w:rFonts w:cs="Calibri"/>
                <w:b/>
                <w:bCs/>
                <w:sz w:val="18"/>
                <w:szCs w:val="18"/>
              </w:rPr>
              <w:t>Sys.</w:t>
            </w:r>
          </w:p>
        </w:tc>
        <w:tc>
          <w:tcPr>
            <w:tcW w:w="181" w:type="pct"/>
            <w:tcBorders>
              <w:top w:val="nil"/>
              <w:left w:val="nil"/>
              <w:bottom w:val="nil"/>
              <w:right w:val="nil"/>
            </w:tcBorders>
            <w:shd w:val="clear" w:color="auto" w:fill="auto"/>
            <w:noWrap/>
            <w:vAlign w:val="bottom"/>
            <w:hideMark/>
          </w:tcPr>
          <w:p w14:paraId="38547107" w14:textId="77777777" w:rsidR="00C84814" w:rsidRPr="00CD5BC6" w:rsidRDefault="00C84814" w:rsidP="00C84814">
            <w:pPr>
              <w:jc w:val="center"/>
              <w:rPr>
                <w:rFonts w:cs="Calibri"/>
                <w:b/>
                <w:bCs/>
                <w:sz w:val="18"/>
                <w:szCs w:val="18"/>
              </w:rPr>
            </w:pPr>
            <w:r w:rsidRPr="00CD5BC6">
              <w:rPr>
                <w:rFonts w:cs="Calibri"/>
                <w:b/>
                <w:bCs/>
                <w:sz w:val="18"/>
                <w:szCs w:val="18"/>
              </w:rPr>
              <w:t>PS</w:t>
            </w:r>
          </w:p>
        </w:tc>
        <w:tc>
          <w:tcPr>
            <w:tcW w:w="193" w:type="pct"/>
            <w:tcBorders>
              <w:top w:val="nil"/>
              <w:left w:val="nil"/>
              <w:bottom w:val="nil"/>
              <w:right w:val="nil"/>
            </w:tcBorders>
            <w:shd w:val="clear" w:color="auto" w:fill="auto"/>
            <w:noWrap/>
            <w:vAlign w:val="bottom"/>
            <w:hideMark/>
          </w:tcPr>
          <w:p w14:paraId="1A80E1B4" w14:textId="77777777" w:rsidR="00C84814" w:rsidRPr="00CD5BC6" w:rsidRDefault="00C84814" w:rsidP="00C84814">
            <w:pPr>
              <w:jc w:val="center"/>
              <w:rPr>
                <w:rFonts w:cs="Calibri"/>
                <w:b/>
                <w:bCs/>
                <w:sz w:val="18"/>
                <w:szCs w:val="18"/>
              </w:rPr>
            </w:pPr>
            <w:r w:rsidRPr="00CD5BC6">
              <w:rPr>
                <w:rFonts w:cs="Calibri"/>
                <w:b/>
                <w:bCs/>
                <w:sz w:val="18"/>
                <w:szCs w:val="18"/>
              </w:rPr>
              <w:t>SÚ</w:t>
            </w:r>
          </w:p>
        </w:tc>
        <w:tc>
          <w:tcPr>
            <w:tcW w:w="228" w:type="pct"/>
            <w:tcBorders>
              <w:top w:val="nil"/>
              <w:left w:val="nil"/>
              <w:bottom w:val="nil"/>
              <w:right w:val="nil"/>
            </w:tcBorders>
            <w:shd w:val="clear" w:color="auto" w:fill="auto"/>
            <w:noWrap/>
            <w:vAlign w:val="bottom"/>
            <w:hideMark/>
          </w:tcPr>
          <w:p w14:paraId="5D5F66CB" w14:textId="77777777" w:rsidR="00C84814" w:rsidRPr="00CD5BC6" w:rsidRDefault="00C84814" w:rsidP="00C84814">
            <w:pPr>
              <w:jc w:val="center"/>
              <w:rPr>
                <w:rFonts w:cs="Calibri"/>
                <w:b/>
                <w:bCs/>
                <w:sz w:val="18"/>
                <w:szCs w:val="18"/>
              </w:rPr>
            </w:pPr>
            <w:r w:rsidRPr="00CD5BC6">
              <w:rPr>
                <w:rFonts w:cs="Calibri"/>
                <w:b/>
                <w:bCs/>
                <w:sz w:val="18"/>
                <w:szCs w:val="18"/>
              </w:rPr>
              <w:t>Var.</w:t>
            </w:r>
          </w:p>
        </w:tc>
        <w:tc>
          <w:tcPr>
            <w:tcW w:w="1674" w:type="pct"/>
            <w:tcBorders>
              <w:top w:val="nil"/>
              <w:left w:val="nil"/>
              <w:bottom w:val="nil"/>
              <w:right w:val="nil"/>
            </w:tcBorders>
            <w:shd w:val="clear" w:color="auto" w:fill="auto"/>
            <w:noWrap/>
            <w:vAlign w:val="bottom"/>
            <w:hideMark/>
          </w:tcPr>
          <w:p w14:paraId="2FF760A0" w14:textId="77777777" w:rsidR="00C84814" w:rsidRPr="00CD5BC6" w:rsidRDefault="00C84814" w:rsidP="00C84814">
            <w:pPr>
              <w:rPr>
                <w:rFonts w:cs="Calibri"/>
                <w:b/>
                <w:bCs/>
                <w:sz w:val="18"/>
                <w:szCs w:val="18"/>
              </w:rPr>
            </w:pPr>
            <w:r w:rsidRPr="00CD5BC6">
              <w:rPr>
                <w:rFonts w:cs="Calibri"/>
                <w:b/>
                <w:bCs/>
                <w:sz w:val="18"/>
                <w:szCs w:val="18"/>
              </w:rPr>
              <w:t>Název</w:t>
            </w:r>
          </w:p>
        </w:tc>
        <w:tc>
          <w:tcPr>
            <w:tcW w:w="299" w:type="pct"/>
            <w:tcBorders>
              <w:top w:val="nil"/>
              <w:left w:val="nil"/>
              <w:bottom w:val="nil"/>
              <w:right w:val="nil"/>
            </w:tcBorders>
            <w:shd w:val="clear" w:color="auto" w:fill="auto"/>
            <w:noWrap/>
            <w:vAlign w:val="bottom"/>
            <w:hideMark/>
          </w:tcPr>
          <w:p w14:paraId="40429CA9" w14:textId="77777777" w:rsidR="00C84814" w:rsidRPr="00CD5BC6" w:rsidRDefault="00C84814" w:rsidP="00C84814">
            <w:pPr>
              <w:jc w:val="center"/>
              <w:rPr>
                <w:rFonts w:cs="Calibri"/>
                <w:b/>
                <w:bCs/>
                <w:sz w:val="18"/>
                <w:szCs w:val="18"/>
              </w:rPr>
            </w:pPr>
            <w:r w:rsidRPr="00CD5BC6">
              <w:rPr>
                <w:rFonts w:cs="Calibri"/>
                <w:b/>
                <w:bCs/>
                <w:sz w:val="18"/>
                <w:szCs w:val="18"/>
              </w:rPr>
              <w:t>Počet</w:t>
            </w:r>
          </w:p>
        </w:tc>
        <w:tc>
          <w:tcPr>
            <w:tcW w:w="632" w:type="pct"/>
            <w:tcBorders>
              <w:top w:val="nil"/>
              <w:left w:val="nil"/>
              <w:bottom w:val="nil"/>
              <w:right w:val="nil"/>
            </w:tcBorders>
            <w:shd w:val="clear" w:color="auto" w:fill="auto"/>
            <w:noWrap/>
            <w:vAlign w:val="bottom"/>
            <w:hideMark/>
          </w:tcPr>
          <w:p w14:paraId="5680E49F" w14:textId="77777777" w:rsidR="00C84814" w:rsidRPr="00CD5BC6" w:rsidRDefault="00C84814" w:rsidP="00C84814">
            <w:pPr>
              <w:jc w:val="center"/>
              <w:rPr>
                <w:rFonts w:cs="Calibri"/>
                <w:b/>
                <w:bCs/>
                <w:sz w:val="18"/>
                <w:szCs w:val="18"/>
              </w:rPr>
            </w:pPr>
            <w:r w:rsidRPr="00CD5BC6">
              <w:rPr>
                <w:rFonts w:cs="Calibri"/>
                <w:b/>
                <w:bCs/>
                <w:sz w:val="18"/>
                <w:szCs w:val="18"/>
              </w:rPr>
              <w:t>Cena bez DPH</w:t>
            </w:r>
          </w:p>
        </w:tc>
        <w:tc>
          <w:tcPr>
            <w:tcW w:w="261" w:type="pct"/>
            <w:tcBorders>
              <w:top w:val="nil"/>
              <w:left w:val="nil"/>
              <w:bottom w:val="nil"/>
              <w:right w:val="nil"/>
            </w:tcBorders>
            <w:shd w:val="clear" w:color="auto" w:fill="auto"/>
            <w:noWrap/>
            <w:vAlign w:val="bottom"/>
          </w:tcPr>
          <w:p w14:paraId="29CF90D0" w14:textId="067B9067" w:rsidR="00C84814" w:rsidRPr="00CD5BC6" w:rsidRDefault="00C84814" w:rsidP="00C84814">
            <w:pPr>
              <w:jc w:val="center"/>
              <w:rPr>
                <w:rFonts w:cs="Calibri"/>
                <w:b/>
                <w:bCs/>
                <w:sz w:val="18"/>
                <w:szCs w:val="18"/>
              </w:rPr>
            </w:pPr>
          </w:p>
        </w:tc>
        <w:tc>
          <w:tcPr>
            <w:tcW w:w="534" w:type="pct"/>
            <w:tcBorders>
              <w:top w:val="nil"/>
              <w:left w:val="nil"/>
              <w:bottom w:val="nil"/>
              <w:right w:val="nil"/>
            </w:tcBorders>
            <w:shd w:val="clear" w:color="auto" w:fill="auto"/>
            <w:noWrap/>
            <w:vAlign w:val="bottom"/>
          </w:tcPr>
          <w:p w14:paraId="1AF3485E" w14:textId="53E154B5" w:rsidR="00C84814" w:rsidRPr="00CD5BC6" w:rsidRDefault="00C84814" w:rsidP="00C84814">
            <w:pPr>
              <w:jc w:val="center"/>
              <w:rPr>
                <w:rFonts w:cs="Calibri"/>
                <w:b/>
                <w:bCs/>
                <w:sz w:val="18"/>
                <w:szCs w:val="18"/>
              </w:rPr>
            </w:pPr>
          </w:p>
        </w:tc>
        <w:tc>
          <w:tcPr>
            <w:tcW w:w="755" w:type="pct"/>
            <w:tcBorders>
              <w:top w:val="nil"/>
              <w:left w:val="nil"/>
              <w:bottom w:val="nil"/>
              <w:right w:val="nil"/>
            </w:tcBorders>
            <w:shd w:val="clear" w:color="auto" w:fill="auto"/>
            <w:noWrap/>
            <w:vAlign w:val="bottom"/>
          </w:tcPr>
          <w:p w14:paraId="022BF899" w14:textId="3B840C86" w:rsidR="00C84814" w:rsidRPr="00CD5BC6" w:rsidRDefault="00C84814" w:rsidP="00C84814">
            <w:pPr>
              <w:jc w:val="center"/>
              <w:rPr>
                <w:rFonts w:cs="Calibri"/>
                <w:b/>
                <w:bCs/>
                <w:sz w:val="18"/>
                <w:szCs w:val="18"/>
              </w:rPr>
            </w:pPr>
          </w:p>
        </w:tc>
      </w:tr>
      <w:tr w:rsidR="00C84814" w:rsidRPr="00CD5BC6" w14:paraId="0C8ED29F" w14:textId="77777777" w:rsidTr="00CD5BC6">
        <w:trPr>
          <w:trHeight w:val="255"/>
        </w:trPr>
        <w:tc>
          <w:tcPr>
            <w:tcW w:w="243" w:type="pct"/>
            <w:tcBorders>
              <w:top w:val="nil"/>
              <w:left w:val="nil"/>
              <w:bottom w:val="single" w:sz="4" w:space="0" w:color="auto"/>
              <w:right w:val="nil"/>
            </w:tcBorders>
            <w:shd w:val="clear" w:color="auto" w:fill="auto"/>
            <w:noWrap/>
            <w:vAlign w:val="bottom"/>
            <w:hideMark/>
          </w:tcPr>
          <w:p w14:paraId="71ACDB55" w14:textId="77777777" w:rsidR="00C84814" w:rsidRPr="00CD5BC6" w:rsidRDefault="00C84814" w:rsidP="00C84814">
            <w:pPr>
              <w:rPr>
                <w:rFonts w:cs="Calibri"/>
                <w:sz w:val="18"/>
                <w:szCs w:val="18"/>
              </w:rPr>
            </w:pPr>
            <w:r w:rsidRPr="00CD5BC6">
              <w:rPr>
                <w:rFonts w:cs="Calibri"/>
                <w:sz w:val="18"/>
                <w:szCs w:val="18"/>
              </w:rPr>
              <w:t> </w:t>
            </w:r>
          </w:p>
        </w:tc>
        <w:tc>
          <w:tcPr>
            <w:tcW w:w="181" w:type="pct"/>
            <w:tcBorders>
              <w:top w:val="nil"/>
              <w:left w:val="nil"/>
              <w:bottom w:val="single" w:sz="4" w:space="0" w:color="auto"/>
              <w:right w:val="nil"/>
            </w:tcBorders>
            <w:shd w:val="clear" w:color="auto" w:fill="auto"/>
            <w:noWrap/>
            <w:vAlign w:val="bottom"/>
            <w:hideMark/>
          </w:tcPr>
          <w:p w14:paraId="0F672DAA" w14:textId="77777777" w:rsidR="00C84814" w:rsidRPr="00CD5BC6" w:rsidRDefault="00C84814" w:rsidP="00C84814">
            <w:pPr>
              <w:rPr>
                <w:rFonts w:cs="Calibri"/>
                <w:sz w:val="18"/>
                <w:szCs w:val="18"/>
              </w:rPr>
            </w:pPr>
            <w:r w:rsidRPr="00CD5BC6">
              <w:rPr>
                <w:rFonts w:cs="Calibri"/>
                <w:sz w:val="18"/>
                <w:szCs w:val="18"/>
              </w:rPr>
              <w:t> </w:t>
            </w:r>
          </w:p>
        </w:tc>
        <w:tc>
          <w:tcPr>
            <w:tcW w:w="193" w:type="pct"/>
            <w:tcBorders>
              <w:top w:val="nil"/>
              <w:left w:val="nil"/>
              <w:bottom w:val="single" w:sz="4" w:space="0" w:color="auto"/>
              <w:right w:val="nil"/>
            </w:tcBorders>
            <w:shd w:val="clear" w:color="auto" w:fill="auto"/>
            <w:noWrap/>
            <w:vAlign w:val="bottom"/>
            <w:hideMark/>
          </w:tcPr>
          <w:p w14:paraId="044F87E3" w14:textId="77777777" w:rsidR="00C84814" w:rsidRPr="00CD5BC6" w:rsidRDefault="00C84814" w:rsidP="00C84814">
            <w:pPr>
              <w:rPr>
                <w:rFonts w:cs="Calibri"/>
                <w:sz w:val="18"/>
                <w:szCs w:val="18"/>
              </w:rPr>
            </w:pPr>
            <w:r w:rsidRPr="00CD5BC6">
              <w:rPr>
                <w:rFonts w:cs="Calibri"/>
                <w:sz w:val="18"/>
                <w:szCs w:val="18"/>
              </w:rPr>
              <w:t> </w:t>
            </w:r>
          </w:p>
        </w:tc>
        <w:tc>
          <w:tcPr>
            <w:tcW w:w="228" w:type="pct"/>
            <w:tcBorders>
              <w:top w:val="nil"/>
              <w:left w:val="nil"/>
              <w:bottom w:val="single" w:sz="4" w:space="0" w:color="auto"/>
              <w:right w:val="nil"/>
            </w:tcBorders>
            <w:shd w:val="clear" w:color="auto" w:fill="auto"/>
            <w:noWrap/>
            <w:vAlign w:val="bottom"/>
            <w:hideMark/>
          </w:tcPr>
          <w:p w14:paraId="7A1CBA9F" w14:textId="77777777" w:rsidR="00C84814" w:rsidRPr="00CD5BC6" w:rsidRDefault="00C84814" w:rsidP="00C84814">
            <w:pPr>
              <w:rPr>
                <w:rFonts w:cs="Calibri"/>
                <w:sz w:val="18"/>
                <w:szCs w:val="18"/>
              </w:rPr>
            </w:pPr>
            <w:r w:rsidRPr="00CD5BC6">
              <w:rPr>
                <w:rFonts w:cs="Calibri"/>
                <w:sz w:val="18"/>
                <w:szCs w:val="18"/>
              </w:rPr>
              <w:t> </w:t>
            </w:r>
          </w:p>
        </w:tc>
        <w:tc>
          <w:tcPr>
            <w:tcW w:w="1674" w:type="pct"/>
            <w:tcBorders>
              <w:top w:val="nil"/>
              <w:left w:val="nil"/>
              <w:bottom w:val="single" w:sz="4" w:space="0" w:color="auto"/>
              <w:right w:val="nil"/>
            </w:tcBorders>
            <w:shd w:val="clear" w:color="auto" w:fill="auto"/>
            <w:noWrap/>
            <w:vAlign w:val="bottom"/>
            <w:hideMark/>
          </w:tcPr>
          <w:p w14:paraId="3B305794" w14:textId="77777777" w:rsidR="00C84814" w:rsidRPr="00CD5BC6" w:rsidRDefault="00C84814" w:rsidP="00C84814">
            <w:pPr>
              <w:rPr>
                <w:rFonts w:cs="Calibri"/>
                <w:sz w:val="18"/>
                <w:szCs w:val="18"/>
              </w:rPr>
            </w:pPr>
            <w:r w:rsidRPr="00CD5BC6">
              <w:rPr>
                <w:rFonts w:cs="Calibri"/>
                <w:sz w:val="18"/>
                <w:szCs w:val="18"/>
              </w:rPr>
              <w:t> </w:t>
            </w:r>
          </w:p>
        </w:tc>
        <w:tc>
          <w:tcPr>
            <w:tcW w:w="299" w:type="pct"/>
            <w:tcBorders>
              <w:top w:val="nil"/>
              <w:left w:val="nil"/>
              <w:bottom w:val="single" w:sz="4" w:space="0" w:color="auto"/>
              <w:right w:val="nil"/>
            </w:tcBorders>
            <w:shd w:val="clear" w:color="auto" w:fill="auto"/>
            <w:noWrap/>
            <w:vAlign w:val="bottom"/>
            <w:hideMark/>
          </w:tcPr>
          <w:p w14:paraId="489C9F4F" w14:textId="77777777" w:rsidR="00C84814" w:rsidRPr="00CD5BC6" w:rsidRDefault="00C84814" w:rsidP="00C84814">
            <w:pPr>
              <w:jc w:val="center"/>
              <w:rPr>
                <w:rFonts w:cs="Calibri"/>
                <w:b/>
                <w:bCs/>
                <w:sz w:val="18"/>
                <w:szCs w:val="18"/>
              </w:rPr>
            </w:pPr>
            <w:r w:rsidRPr="00CD5BC6">
              <w:rPr>
                <w:rFonts w:cs="Calibri"/>
                <w:b/>
                <w:bCs/>
                <w:sz w:val="18"/>
                <w:szCs w:val="18"/>
              </w:rPr>
              <w:t>lic.</w:t>
            </w:r>
          </w:p>
        </w:tc>
        <w:tc>
          <w:tcPr>
            <w:tcW w:w="632" w:type="pct"/>
            <w:tcBorders>
              <w:top w:val="nil"/>
              <w:left w:val="nil"/>
              <w:bottom w:val="single" w:sz="4" w:space="0" w:color="auto"/>
              <w:right w:val="nil"/>
            </w:tcBorders>
            <w:shd w:val="clear" w:color="auto" w:fill="auto"/>
            <w:noWrap/>
            <w:vAlign w:val="bottom"/>
            <w:hideMark/>
          </w:tcPr>
          <w:p w14:paraId="3B986BAC" w14:textId="77777777" w:rsidR="00C84814" w:rsidRPr="00CD5BC6" w:rsidRDefault="00C84814" w:rsidP="00C84814">
            <w:pPr>
              <w:jc w:val="center"/>
              <w:rPr>
                <w:rFonts w:cs="Calibri"/>
                <w:b/>
                <w:bCs/>
                <w:sz w:val="18"/>
                <w:szCs w:val="18"/>
              </w:rPr>
            </w:pPr>
            <w:r w:rsidRPr="00CD5BC6">
              <w:rPr>
                <w:rFonts w:cs="Calibri"/>
                <w:b/>
                <w:bCs/>
                <w:sz w:val="18"/>
                <w:szCs w:val="18"/>
              </w:rPr>
              <w:t>Kč</w:t>
            </w:r>
          </w:p>
        </w:tc>
        <w:tc>
          <w:tcPr>
            <w:tcW w:w="261" w:type="pct"/>
            <w:tcBorders>
              <w:top w:val="nil"/>
              <w:left w:val="nil"/>
              <w:bottom w:val="single" w:sz="4" w:space="0" w:color="auto"/>
              <w:right w:val="nil"/>
            </w:tcBorders>
            <w:shd w:val="clear" w:color="auto" w:fill="auto"/>
            <w:noWrap/>
            <w:vAlign w:val="bottom"/>
          </w:tcPr>
          <w:p w14:paraId="61677462" w14:textId="50D01276" w:rsidR="00C84814" w:rsidRPr="00CD5BC6" w:rsidRDefault="00C84814" w:rsidP="00C84814">
            <w:pPr>
              <w:jc w:val="center"/>
              <w:rPr>
                <w:rFonts w:cs="Calibri"/>
                <w:b/>
                <w:bCs/>
                <w:sz w:val="18"/>
                <w:szCs w:val="18"/>
              </w:rPr>
            </w:pPr>
          </w:p>
        </w:tc>
        <w:tc>
          <w:tcPr>
            <w:tcW w:w="534" w:type="pct"/>
            <w:tcBorders>
              <w:top w:val="nil"/>
              <w:left w:val="nil"/>
              <w:bottom w:val="single" w:sz="4" w:space="0" w:color="auto"/>
              <w:right w:val="nil"/>
            </w:tcBorders>
            <w:shd w:val="clear" w:color="auto" w:fill="auto"/>
            <w:noWrap/>
            <w:vAlign w:val="bottom"/>
          </w:tcPr>
          <w:p w14:paraId="58E8B7B4" w14:textId="63F533C6" w:rsidR="00C84814" w:rsidRPr="00CD5BC6" w:rsidRDefault="00C84814" w:rsidP="00C84814">
            <w:pPr>
              <w:jc w:val="center"/>
              <w:rPr>
                <w:rFonts w:cs="Calibri"/>
                <w:b/>
                <w:bCs/>
                <w:sz w:val="18"/>
                <w:szCs w:val="18"/>
              </w:rPr>
            </w:pPr>
          </w:p>
        </w:tc>
        <w:tc>
          <w:tcPr>
            <w:tcW w:w="755" w:type="pct"/>
            <w:tcBorders>
              <w:top w:val="nil"/>
              <w:left w:val="nil"/>
              <w:bottom w:val="single" w:sz="4" w:space="0" w:color="auto"/>
              <w:right w:val="nil"/>
            </w:tcBorders>
            <w:shd w:val="clear" w:color="auto" w:fill="auto"/>
            <w:noWrap/>
            <w:vAlign w:val="bottom"/>
          </w:tcPr>
          <w:p w14:paraId="72DC6801" w14:textId="4D5F816E" w:rsidR="00C84814" w:rsidRPr="00CD5BC6" w:rsidRDefault="00C84814" w:rsidP="00C84814">
            <w:pPr>
              <w:jc w:val="center"/>
              <w:rPr>
                <w:rFonts w:cs="Calibri"/>
                <w:b/>
                <w:bCs/>
                <w:sz w:val="18"/>
                <w:szCs w:val="18"/>
              </w:rPr>
            </w:pPr>
          </w:p>
        </w:tc>
      </w:tr>
      <w:tr w:rsidR="00C84814" w:rsidRPr="00CD5BC6" w14:paraId="171DEA3D" w14:textId="77777777" w:rsidTr="00CD5BC6">
        <w:trPr>
          <w:trHeight w:val="255"/>
        </w:trPr>
        <w:tc>
          <w:tcPr>
            <w:tcW w:w="2519" w:type="pct"/>
            <w:gridSpan w:val="5"/>
            <w:tcBorders>
              <w:top w:val="single" w:sz="4" w:space="0" w:color="auto"/>
              <w:left w:val="nil"/>
              <w:bottom w:val="nil"/>
              <w:right w:val="nil"/>
            </w:tcBorders>
            <w:shd w:val="clear" w:color="auto" w:fill="auto"/>
            <w:noWrap/>
            <w:vAlign w:val="bottom"/>
            <w:hideMark/>
          </w:tcPr>
          <w:p w14:paraId="5E32D2BC" w14:textId="77777777" w:rsidR="00C84814" w:rsidRPr="00CD5BC6" w:rsidRDefault="00C84814" w:rsidP="00C84814">
            <w:pPr>
              <w:rPr>
                <w:rFonts w:cs="Calibri"/>
                <w:b/>
                <w:bCs/>
                <w:i/>
                <w:iCs/>
                <w:sz w:val="20"/>
              </w:rPr>
            </w:pPr>
            <w:r w:rsidRPr="00CD5BC6">
              <w:rPr>
                <w:rFonts w:cs="Calibri"/>
                <w:b/>
                <w:bCs/>
                <w:i/>
                <w:iCs/>
                <w:sz w:val="20"/>
              </w:rPr>
              <w:t xml:space="preserve"> Server:  WINDOWS Server 2012 a vyšší / 10 uživ.</w:t>
            </w:r>
          </w:p>
        </w:tc>
        <w:tc>
          <w:tcPr>
            <w:tcW w:w="299" w:type="pct"/>
            <w:tcBorders>
              <w:top w:val="nil"/>
              <w:left w:val="nil"/>
              <w:bottom w:val="nil"/>
              <w:right w:val="nil"/>
            </w:tcBorders>
            <w:shd w:val="clear" w:color="auto" w:fill="auto"/>
            <w:noWrap/>
            <w:vAlign w:val="bottom"/>
            <w:hideMark/>
          </w:tcPr>
          <w:p w14:paraId="5ECB603E" w14:textId="77777777" w:rsidR="00C84814" w:rsidRPr="00CD5BC6" w:rsidRDefault="00C84814" w:rsidP="00C84814">
            <w:pPr>
              <w:rPr>
                <w:rFonts w:cs="Calibri"/>
                <w:b/>
                <w:bCs/>
                <w:i/>
                <w:iCs/>
                <w:sz w:val="20"/>
              </w:rPr>
            </w:pPr>
          </w:p>
        </w:tc>
        <w:tc>
          <w:tcPr>
            <w:tcW w:w="632" w:type="pct"/>
            <w:tcBorders>
              <w:top w:val="nil"/>
              <w:left w:val="nil"/>
              <w:bottom w:val="nil"/>
              <w:right w:val="nil"/>
            </w:tcBorders>
            <w:shd w:val="clear" w:color="auto" w:fill="auto"/>
            <w:noWrap/>
            <w:vAlign w:val="bottom"/>
            <w:hideMark/>
          </w:tcPr>
          <w:p w14:paraId="3B382495" w14:textId="77777777" w:rsidR="00C84814" w:rsidRPr="00CD5BC6" w:rsidRDefault="00C84814" w:rsidP="00C84814">
            <w:pPr>
              <w:jc w:val="center"/>
              <w:rPr>
                <w:rFonts w:cs="Calibri"/>
                <w:sz w:val="20"/>
              </w:rPr>
            </w:pPr>
          </w:p>
        </w:tc>
        <w:tc>
          <w:tcPr>
            <w:tcW w:w="261" w:type="pct"/>
            <w:tcBorders>
              <w:top w:val="nil"/>
              <w:left w:val="nil"/>
              <w:bottom w:val="nil"/>
              <w:right w:val="nil"/>
            </w:tcBorders>
            <w:shd w:val="clear" w:color="auto" w:fill="auto"/>
            <w:noWrap/>
            <w:vAlign w:val="bottom"/>
          </w:tcPr>
          <w:p w14:paraId="73E03DD8" w14:textId="77777777" w:rsidR="00C84814" w:rsidRPr="00CD5BC6" w:rsidRDefault="00C84814" w:rsidP="00C84814">
            <w:pPr>
              <w:rPr>
                <w:rFonts w:cs="Calibri"/>
                <w:sz w:val="20"/>
              </w:rPr>
            </w:pPr>
          </w:p>
        </w:tc>
        <w:tc>
          <w:tcPr>
            <w:tcW w:w="534" w:type="pct"/>
            <w:tcBorders>
              <w:top w:val="nil"/>
              <w:left w:val="nil"/>
              <w:bottom w:val="nil"/>
              <w:right w:val="nil"/>
            </w:tcBorders>
            <w:shd w:val="clear" w:color="auto" w:fill="auto"/>
            <w:noWrap/>
            <w:vAlign w:val="bottom"/>
          </w:tcPr>
          <w:p w14:paraId="7CB17FE0" w14:textId="77777777" w:rsidR="00C84814" w:rsidRPr="00CD5BC6" w:rsidRDefault="00C84814" w:rsidP="00C84814">
            <w:pPr>
              <w:rPr>
                <w:rFonts w:cs="Calibri"/>
                <w:sz w:val="20"/>
              </w:rPr>
            </w:pPr>
          </w:p>
        </w:tc>
        <w:tc>
          <w:tcPr>
            <w:tcW w:w="755" w:type="pct"/>
            <w:tcBorders>
              <w:top w:val="nil"/>
              <w:left w:val="nil"/>
              <w:bottom w:val="nil"/>
              <w:right w:val="nil"/>
            </w:tcBorders>
            <w:shd w:val="clear" w:color="auto" w:fill="auto"/>
            <w:noWrap/>
            <w:vAlign w:val="bottom"/>
          </w:tcPr>
          <w:p w14:paraId="4083B0AE" w14:textId="77777777" w:rsidR="00C84814" w:rsidRPr="00CD5BC6" w:rsidRDefault="00C84814" w:rsidP="00C84814">
            <w:pPr>
              <w:rPr>
                <w:rFonts w:cs="Calibri"/>
                <w:sz w:val="20"/>
              </w:rPr>
            </w:pPr>
          </w:p>
        </w:tc>
      </w:tr>
      <w:tr w:rsidR="00C84814" w:rsidRPr="00CD5BC6" w14:paraId="5124D524" w14:textId="77777777" w:rsidTr="00CD5BC6">
        <w:trPr>
          <w:trHeight w:val="255"/>
        </w:trPr>
        <w:tc>
          <w:tcPr>
            <w:tcW w:w="243" w:type="pct"/>
            <w:tcBorders>
              <w:top w:val="nil"/>
              <w:left w:val="nil"/>
              <w:bottom w:val="nil"/>
              <w:right w:val="nil"/>
            </w:tcBorders>
            <w:shd w:val="clear" w:color="auto" w:fill="auto"/>
            <w:noWrap/>
            <w:vAlign w:val="bottom"/>
            <w:hideMark/>
          </w:tcPr>
          <w:p w14:paraId="71AFF6A1" w14:textId="4A107ADE" w:rsidR="00C84814" w:rsidRPr="00CD5BC6" w:rsidRDefault="00C84814" w:rsidP="00C84814">
            <w:pPr>
              <w:jc w:val="center"/>
              <w:rPr>
                <w:rFonts w:cs="Calibri"/>
                <w:sz w:val="20"/>
              </w:rPr>
            </w:pPr>
            <w:r w:rsidRPr="00CD5BC6">
              <w:rPr>
                <w:rFonts w:cs="Calibri"/>
                <w:sz w:val="20"/>
              </w:rPr>
              <w:t>0</w:t>
            </w:r>
            <w:r w:rsidR="005432D4">
              <w:rPr>
                <w:rFonts w:cs="Calibri"/>
                <w:sz w:val="20"/>
              </w:rPr>
              <w:t>4</w:t>
            </w:r>
          </w:p>
        </w:tc>
        <w:tc>
          <w:tcPr>
            <w:tcW w:w="181" w:type="pct"/>
            <w:tcBorders>
              <w:top w:val="nil"/>
              <w:left w:val="nil"/>
              <w:bottom w:val="nil"/>
              <w:right w:val="nil"/>
            </w:tcBorders>
            <w:shd w:val="clear" w:color="auto" w:fill="auto"/>
            <w:noWrap/>
            <w:vAlign w:val="bottom"/>
            <w:hideMark/>
          </w:tcPr>
          <w:p w14:paraId="069581D7" w14:textId="77777777" w:rsidR="00C84814" w:rsidRPr="00CD5BC6" w:rsidRDefault="00C84814" w:rsidP="00C84814">
            <w:pPr>
              <w:jc w:val="center"/>
              <w:rPr>
                <w:rFonts w:cs="Calibri"/>
                <w:sz w:val="20"/>
              </w:rPr>
            </w:pPr>
            <w:r w:rsidRPr="00CD5BC6">
              <w:rPr>
                <w:rFonts w:cs="Calibri"/>
                <w:sz w:val="20"/>
              </w:rPr>
              <w:t>90</w:t>
            </w:r>
          </w:p>
        </w:tc>
        <w:tc>
          <w:tcPr>
            <w:tcW w:w="193" w:type="pct"/>
            <w:tcBorders>
              <w:top w:val="nil"/>
              <w:left w:val="nil"/>
              <w:bottom w:val="nil"/>
              <w:right w:val="nil"/>
            </w:tcBorders>
            <w:shd w:val="clear" w:color="auto" w:fill="auto"/>
            <w:noWrap/>
            <w:vAlign w:val="bottom"/>
            <w:hideMark/>
          </w:tcPr>
          <w:p w14:paraId="30A2D89E" w14:textId="77777777" w:rsidR="00C84814" w:rsidRPr="00CD5BC6" w:rsidRDefault="00C84814" w:rsidP="00C84814">
            <w:pPr>
              <w:jc w:val="center"/>
              <w:rPr>
                <w:rFonts w:cs="Calibri"/>
                <w:sz w:val="20"/>
              </w:rPr>
            </w:pPr>
          </w:p>
        </w:tc>
        <w:tc>
          <w:tcPr>
            <w:tcW w:w="228" w:type="pct"/>
            <w:tcBorders>
              <w:top w:val="nil"/>
              <w:left w:val="nil"/>
              <w:bottom w:val="nil"/>
              <w:right w:val="nil"/>
            </w:tcBorders>
            <w:shd w:val="clear" w:color="auto" w:fill="auto"/>
            <w:noWrap/>
            <w:vAlign w:val="bottom"/>
            <w:hideMark/>
          </w:tcPr>
          <w:p w14:paraId="725CF21F" w14:textId="77777777" w:rsidR="00C84814" w:rsidRPr="00CD5BC6" w:rsidRDefault="00C84814" w:rsidP="00C84814">
            <w:pPr>
              <w:jc w:val="center"/>
              <w:rPr>
                <w:rFonts w:cs="Calibri"/>
                <w:sz w:val="20"/>
              </w:rPr>
            </w:pPr>
          </w:p>
        </w:tc>
        <w:tc>
          <w:tcPr>
            <w:tcW w:w="1674" w:type="pct"/>
            <w:tcBorders>
              <w:top w:val="nil"/>
              <w:left w:val="nil"/>
              <w:bottom w:val="nil"/>
              <w:right w:val="nil"/>
            </w:tcBorders>
            <w:shd w:val="clear" w:color="auto" w:fill="auto"/>
            <w:noWrap/>
            <w:vAlign w:val="bottom"/>
            <w:hideMark/>
          </w:tcPr>
          <w:p w14:paraId="72C18F76" w14:textId="77777777" w:rsidR="00C84814" w:rsidRPr="00CD5BC6" w:rsidRDefault="00C84814" w:rsidP="00C84814">
            <w:pPr>
              <w:rPr>
                <w:rFonts w:cs="Calibri"/>
                <w:b/>
                <w:bCs/>
                <w:sz w:val="20"/>
              </w:rPr>
            </w:pPr>
            <w:r w:rsidRPr="00CD5BC6">
              <w:rPr>
                <w:rFonts w:cs="Calibri"/>
                <w:b/>
                <w:bCs/>
                <w:sz w:val="20"/>
              </w:rPr>
              <w:t xml:space="preserve"> KMENOVÁ DATA SYSTÉMU:</w:t>
            </w:r>
          </w:p>
        </w:tc>
        <w:tc>
          <w:tcPr>
            <w:tcW w:w="299" w:type="pct"/>
            <w:tcBorders>
              <w:top w:val="nil"/>
              <w:left w:val="nil"/>
              <w:bottom w:val="nil"/>
              <w:right w:val="nil"/>
            </w:tcBorders>
            <w:shd w:val="clear" w:color="auto" w:fill="auto"/>
            <w:noWrap/>
            <w:vAlign w:val="bottom"/>
            <w:hideMark/>
          </w:tcPr>
          <w:p w14:paraId="06A999FB" w14:textId="77777777" w:rsidR="00C84814" w:rsidRPr="00CD5BC6" w:rsidRDefault="00C84814" w:rsidP="00C84814">
            <w:pPr>
              <w:rPr>
                <w:rFonts w:cs="Calibri"/>
                <w:b/>
                <w:bCs/>
                <w:sz w:val="20"/>
              </w:rPr>
            </w:pPr>
          </w:p>
        </w:tc>
        <w:tc>
          <w:tcPr>
            <w:tcW w:w="632" w:type="pct"/>
            <w:tcBorders>
              <w:top w:val="nil"/>
              <w:left w:val="nil"/>
              <w:bottom w:val="nil"/>
              <w:right w:val="nil"/>
            </w:tcBorders>
            <w:shd w:val="clear" w:color="auto" w:fill="auto"/>
            <w:noWrap/>
            <w:vAlign w:val="bottom"/>
            <w:hideMark/>
          </w:tcPr>
          <w:p w14:paraId="3384EC41" w14:textId="77777777" w:rsidR="00C84814" w:rsidRPr="00CD5BC6" w:rsidRDefault="00C84814" w:rsidP="00C84814">
            <w:pPr>
              <w:jc w:val="center"/>
              <w:rPr>
                <w:rFonts w:cs="Calibri"/>
                <w:sz w:val="20"/>
              </w:rPr>
            </w:pPr>
          </w:p>
        </w:tc>
        <w:tc>
          <w:tcPr>
            <w:tcW w:w="261" w:type="pct"/>
            <w:tcBorders>
              <w:top w:val="nil"/>
              <w:left w:val="nil"/>
              <w:bottom w:val="nil"/>
              <w:right w:val="nil"/>
            </w:tcBorders>
            <w:shd w:val="clear" w:color="auto" w:fill="auto"/>
            <w:noWrap/>
            <w:vAlign w:val="bottom"/>
          </w:tcPr>
          <w:p w14:paraId="0D684AB0" w14:textId="77777777" w:rsidR="00C84814" w:rsidRPr="00CD5BC6" w:rsidRDefault="00C84814" w:rsidP="00C84814">
            <w:pPr>
              <w:rPr>
                <w:rFonts w:cs="Calibri"/>
                <w:sz w:val="20"/>
              </w:rPr>
            </w:pPr>
          </w:p>
        </w:tc>
        <w:tc>
          <w:tcPr>
            <w:tcW w:w="534" w:type="pct"/>
            <w:tcBorders>
              <w:top w:val="nil"/>
              <w:left w:val="nil"/>
              <w:bottom w:val="nil"/>
              <w:right w:val="nil"/>
            </w:tcBorders>
            <w:shd w:val="clear" w:color="auto" w:fill="auto"/>
            <w:noWrap/>
            <w:vAlign w:val="bottom"/>
          </w:tcPr>
          <w:p w14:paraId="750609F1" w14:textId="77777777" w:rsidR="00C84814" w:rsidRPr="00CD5BC6" w:rsidRDefault="00C84814" w:rsidP="00C84814">
            <w:pPr>
              <w:rPr>
                <w:rFonts w:cs="Calibri"/>
                <w:sz w:val="20"/>
              </w:rPr>
            </w:pPr>
          </w:p>
        </w:tc>
        <w:tc>
          <w:tcPr>
            <w:tcW w:w="755" w:type="pct"/>
            <w:tcBorders>
              <w:top w:val="nil"/>
              <w:left w:val="nil"/>
              <w:bottom w:val="nil"/>
              <w:right w:val="nil"/>
            </w:tcBorders>
            <w:shd w:val="clear" w:color="auto" w:fill="auto"/>
            <w:noWrap/>
            <w:vAlign w:val="bottom"/>
          </w:tcPr>
          <w:p w14:paraId="03B851C0" w14:textId="77777777" w:rsidR="00C84814" w:rsidRPr="00CD5BC6" w:rsidRDefault="00C84814" w:rsidP="00C84814">
            <w:pPr>
              <w:rPr>
                <w:rFonts w:cs="Calibri"/>
                <w:sz w:val="20"/>
              </w:rPr>
            </w:pPr>
          </w:p>
        </w:tc>
      </w:tr>
      <w:tr w:rsidR="00C84814" w:rsidRPr="00CD5BC6" w14:paraId="11CAA529" w14:textId="77777777" w:rsidTr="00CD5BC6">
        <w:trPr>
          <w:trHeight w:val="255"/>
        </w:trPr>
        <w:tc>
          <w:tcPr>
            <w:tcW w:w="243" w:type="pct"/>
            <w:tcBorders>
              <w:top w:val="nil"/>
              <w:left w:val="nil"/>
              <w:bottom w:val="nil"/>
              <w:right w:val="nil"/>
            </w:tcBorders>
            <w:shd w:val="clear" w:color="auto" w:fill="auto"/>
            <w:noWrap/>
            <w:vAlign w:val="bottom"/>
            <w:hideMark/>
          </w:tcPr>
          <w:p w14:paraId="0D11AE3B" w14:textId="2CD18081" w:rsidR="00C84814" w:rsidRPr="00CD5BC6" w:rsidRDefault="00C84814" w:rsidP="00C84814">
            <w:pPr>
              <w:jc w:val="center"/>
              <w:rPr>
                <w:rFonts w:cs="Calibri"/>
                <w:sz w:val="20"/>
              </w:rPr>
            </w:pPr>
            <w:r w:rsidRPr="00CD5BC6">
              <w:rPr>
                <w:rFonts w:cs="Calibri"/>
                <w:sz w:val="20"/>
              </w:rPr>
              <w:t>0</w:t>
            </w:r>
            <w:r w:rsidR="005432D4">
              <w:rPr>
                <w:rFonts w:cs="Calibri"/>
                <w:sz w:val="20"/>
              </w:rPr>
              <w:t>4</w:t>
            </w:r>
          </w:p>
        </w:tc>
        <w:tc>
          <w:tcPr>
            <w:tcW w:w="181" w:type="pct"/>
            <w:tcBorders>
              <w:top w:val="nil"/>
              <w:left w:val="nil"/>
              <w:bottom w:val="nil"/>
              <w:right w:val="nil"/>
            </w:tcBorders>
            <w:shd w:val="clear" w:color="auto" w:fill="auto"/>
            <w:noWrap/>
            <w:vAlign w:val="bottom"/>
            <w:hideMark/>
          </w:tcPr>
          <w:p w14:paraId="7A55D357" w14:textId="77777777" w:rsidR="00C84814" w:rsidRPr="00CD5BC6" w:rsidRDefault="00C84814" w:rsidP="00C84814">
            <w:pPr>
              <w:jc w:val="center"/>
              <w:rPr>
                <w:rFonts w:cs="Calibri"/>
                <w:sz w:val="20"/>
              </w:rPr>
            </w:pPr>
            <w:r w:rsidRPr="00CD5BC6">
              <w:rPr>
                <w:rFonts w:cs="Calibri"/>
                <w:sz w:val="20"/>
              </w:rPr>
              <w:t>90</w:t>
            </w:r>
          </w:p>
        </w:tc>
        <w:tc>
          <w:tcPr>
            <w:tcW w:w="193" w:type="pct"/>
            <w:tcBorders>
              <w:top w:val="nil"/>
              <w:left w:val="nil"/>
              <w:bottom w:val="nil"/>
              <w:right w:val="nil"/>
            </w:tcBorders>
            <w:shd w:val="clear" w:color="auto" w:fill="auto"/>
            <w:noWrap/>
            <w:vAlign w:val="bottom"/>
            <w:hideMark/>
          </w:tcPr>
          <w:p w14:paraId="49999C80" w14:textId="77777777" w:rsidR="00C84814" w:rsidRPr="00CD5BC6" w:rsidRDefault="00C84814" w:rsidP="00C84814">
            <w:pPr>
              <w:jc w:val="center"/>
              <w:rPr>
                <w:rFonts w:cs="Calibri"/>
                <w:sz w:val="20"/>
              </w:rPr>
            </w:pPr>
            <w:r w:rsidRPr="00CD5BC6">
              <w:rPr>
                <w:rFonts w:cs="Calibri"/>
                <w:sz w:val="20"/>
              </w:rPr>
              <w:t>O0</w:t>
            </w:r>
          </w:p>
        </w:tc>
        <w:tc>
          <w:tcPr>
            <w:tcW w:w="228" w:type="pct"/>
            <w:tcBorders>
              <w:top w:val="nil"/>
              <w:left w:val="nil"/>
              <w:bottom w:val="nil"/>
              <w:right w:val="nil"/>
            </w:tcBorders>
            <w:shd w:val="clear" w:color="auto" w:fill="auto"/>
            <w:noWrap/>
            <w:vAlign w:val="bottom"/>
            <w:hideMark/>
          </w:tcPr>
          <w:p w14:paraId="2515C9EC" w14:textId="77777777" w:rsidR="00C84814" w:rsidRPr="00CD5BC6" w:rsidRDefault="00C84814" w:rsidP="00C84814">
            <w:pPr>
              <w:jc w:val="center"/>
              <w:rPr>
                <w:rFonts w:cs="Calibri"/>
                <w:sz w:val="20"/>
              </w:rPr>
            </w:pPr>
          </w:p>
        </w:tc>
        <w:tc>
          <w:tcPr>
            <w:tcW w:w="1674" w:type="pct"/>
            <w:tcBorders>
              <w:top w:val="nil"/>
              <w:left w:val="nil"/>
              <w:bottom w:val="nil"/>
              <w:right w:val="nil"/>
            </w:tcBorders>
            <w:shd w:val="clear" w:color="auto" w:fill="auto"/>
            <w:noWrap/>
            <w:vAlign w:val="bottom"/>
            <w:hideMark/>
          </w:tcPr>
          <w:p w14:paraId="4FF01A08" w14:textId="77777777" w:rsidR="00C84814" w:rsidRPr="00CD5BC6" w:rsidRDefault="00C84814" w:rsidP="00C84814">
            <w:pPr>
              <w:rPr>
                <w:rFonts w:cs="Calibri"/>
                <w:sz w:val="20"/>
              </w:rPr>
            </w:pPr>
            <w:r w:rsidRPr="00CD5BC6">
              <w:rPr>
                <w:rFonts w:cs="Calibri"/>
                <w:sz w:val="20"/>
              </w:rPr>
              <w:t xml:space="preserve"> - Základní část</w:t>
            </w:r>
          </w:p>
        </w:tc>
        <w:tc>
          <w:tcPr>
            <w:tcW w:w="299" w:type="pct"/>
            <w:tcBorders>
              <w:top w:val="nil"/>
              <w:left w:val="nil"/>
              <w:bottom w:val="nil"/>
              <w:right w:val="nil"/>
            </w:tcBorders>
            <w:shd w:val="clear" w:color="auto" w:fill="auto"/>
            <w:noWrap/>
            <w:vAlign w:val="bottom"/>
            <w:hideMark/>
          </w:tcPr>
          <w:p w14:paraId="492380B1" w14:textId="77777777" w:rsidR="00C84814" w:rsidRPr="00CD5BC6" w:rsidRDefault="00C84814" w:rsidP="00C84814">
            <w:pPr>
              <w:jc w:val="center"/>
              <w:rPr>
                <w:rFonts w:cs="Calibri"/>
                <w:sz w:val="20"/>
              </w:rPr>
            </w:pPr>
            <w:r w:rsidRPr="00CD5BC6">
              <w:rPr>
                <w:rFonts w:cs="Calibri"/>
                <w:sz w:val="20"/>
              </w:rPr>
              <w:t>1</w:t>
            </w:r>
          </w:p>
        </w:tc>
        <w:tc>
          <w:tcPr>
            <w:tcW w:w="632" w:type="pct"/>
            <w:tcBorders>
              <w:top w:val="nil"/>
              <w:left w:val="nil"/>
              <w:bottom w:val="nil"/>
              <w:right w:val="nil"/>
            </w:tcBorders>
            <w:shd w:val="clear" w:color="auto" w:fill="auto"/>
            <w:noWrap/>
            <w:vAlign w:val="bottom"/>
            <w:hideMark/>
          </w:tcPr>
          <w:p w14:paraId="720CF3B1" w14:textId="77777777" w:rsidR="00C84814" w:rsidRPr="00CD5BC6" w:rsidRDefault="00C84814" w:rsidP="00C84814">
            <w:pPr>
              <w:jc w:val="right"/>
              <w:rPr>
                <w:rFonts w:cs="Calibri"/>
                <w:sz w:val="20"/>
              </w:rPr>
            </w:pPr>
            <w:r w:rsidRPr="00CD5BC6">
              <w:rPr>
                <w:rFonts w:cs="Calibri"/>
                <w:sz w:val="20"/>
              </w:rPr>
              <w:t>40 410,00</w:t>
            </w:r>
          </w:p>
        </w:tc>
        <w:tc>
          <w:tcPr>
            <w:tcW w:w="261" w:type="pct"/>
            <w:tcBorders>
              <w:top w:val="nil"/>
              <w:left w:val="nil"/>
              <w:bottom w:val="nil"/>
              <w:right w:val="nil"/>
            </w:tcBorders>
            <w:shd w:val="clear" w:color="auto" w:fill="auto"/>
            <w:noWrap/>
            <w:vAlign w:val="bottom"/>
          </w:tcPr>
          <w:p w14:paraId="75EDD4FE" w14:textId="77777777" w:rsidR="00C84814" w:rsidRPr="00CD5BC6" w:rsidRDefault="00C84814" w:rsidP="00C84814">
            <w:pPr>
              <w:jc w:val="right"/>
              <w:rPr>
                <w:rFonts w:cs="Calibri"/>
                <w:sz w:val="20"/>
              </w:rPr>
            </w:pPr>
          </w:p>
        </w:tc>
        <w:tc>
          <w:tcPr>
            <w:tcW w:w="534" w:type="pct"/>
            <w:tcBorders>
              <w:top w:val="nil"/>
              <w:left w:val="nil"/>
              <w:bottom w:val="nil"/>
              <w:right w:val="nil"/>
            </w:tcBorders>
            <w:shd w:val="clear" w:color="auto" w:fill="auto"/>
            <w:noWrap/>
            <w:vAlign w:val="bottom"/>
          </w:tcPr>
          <w:p w14:paraId="401112AE" w14:textId="77777777" w:rsidR="00C84814" w:rsidRPr="00CD5BC6" w:rsidRDefault="00C84814" w:rsidP="00C84814">
            <w:pPr>
              <w:rPr>
                <w:rFonts w:cs="Calibri"/>
                <w:sz w:val="20"/>
              </w:rPr>
            </w:pPr>
          </w:p>
        </w:tc>
        <w:tc>
          <w:tcPr>
            <w:tcW w:w="755" w:type="pct"/>
            <w:tcBorders>
              <w:top w:val="nil"/>
              <w:left w:val="nil"/>
              <w:bottom w:val="nil"/>
              <w:right w:val="nil"/>
            </w:tcBorders>
            <w:shd w:val="clear" w:color="auto" w:fill="auto"/>
            <w:noWrap/>
            <w:vAlign w:val="bottom"/>
          </w:tcPr>
          <w:p w14:paraId="6A06612B" w14:textId="77777777" w:rsidR="00C84814" w:rsidRPr="00CD5BC6" w:rsidRDefault="00C84814" w:rsidP="00C84814">
            <w:pPr>
              <w:rPr>
                <w:rFonts w:cs="Calibri"/>
                <w:sz w:val="20"/>
              </w:rPr>
            </w:pPr>
          </w:p>
        </w:tc>
      </w:tr>
      <w:tr w:rsidR="00C84814" w:rsidRPr="00CD5BC6" w14:paraId="4069CED6" w14:textId="77777777" w:rsidTr="00CD5BC6">
        <w:trPr>
          <w:trHeight w:val="255"/>
        </w:trPr>
        <w:tc>
          <w:tcPr>
            <w:tcW w:w="2519" w:type="pct"/>
            <w:gridSpan w:val="5"/>
            <w:tcBorders>
              <w:top w:val="single" w:sz="4" w:space="0" w:color="auto"/>
              <w:left w:val="nil"/>
              <w:bottom w:val="nil"/>
              <w:right w:val="nil"/>
            </w:tcBorders>
            <w:shd w:val="clear" w:color="auto" w:fill="auto"/>
            <w:noWrap/>
            <w:vAlign w:val="bottom"/>
            <w:hideMark/>
          </w:tcPr>
          <w:p w14:paraId="262ED702" w14:textId="77777777" w:rsidR="00C84814" w:rsidRPr="00CD5BC6" w:rsidRDefault="00C84814" w:rsidP="00C84814">
            <w:pPr>
              <w:rPr>
                <w:rFonts w:cs="Calibri"/>
                <w:sz w:val="20"/>
              </w:rPr>
            </w:pPr>
            <w:r w:rsidRPr="00CD5BC6">
              <w:rPr>
                <w:rFonts w:cs="Calibri"/>
                <w:sz w:val="20"/>
              </w:rPr>
              <w:t xml:space="preserve"> Celkem aplikační software</w:t>
            </w:r>
          </w:p>
        </w:tc>
        <w:tc>
          <w:tcPr>
            <w:tcW w:w="299" w:type="pct"/>
            <w:tcBorders>
              <w:top w:val="single" w:sz="4" w:space="0" w:color="auto"/>
              <w:left w:val="nil"/>
              <w:bottom w:val="nil"/>
              <w:right w:val="nil"/>
            </w:tcBorders>
            <w:shd w:val="clear" w:color="auto" w:fill="auto"/>
            <w:noWrap/>
            <w:vAlign w:val="bottom"/>
            <w:hideMark/>
          </w:tcPr>
          <w:p w14:paraId="6DFB3BA5" w14:textId="77777777" w:rsidR="00C84814" w:rsidRPr="00CD5BC6" w:rsidRDefault="00C84814" w:rsidP="00C84814">
            <w:pPr>
              <w:jc w:val="center"/>
              <w:rPr>
                <w:rFonts w:cs="Calibri"/>
                <w:sz w:val="20"/>
              </w:rPr>
            </w:pPr>
            <w:r w:rsidRPr="00CD5BC6">
              <w:rPr>
                <w:rFonts w:cs="Calibri"/>
                <w:sz w:val="20"/>
              </w:rPr>
              <w:t> </w:t>
            </w:r>
          </w:p>
        </w:tc>
        <w:tc>
          <w:tcPr>
            <w:tcW w:w="632" w:type="pct"/>
            <w:tcBorders>
              <w:top w:val="single" w:sz="4" w:space="0" w:color="auto"/>
              <w:left w:val="nil"/>
              <w:bottom w:val="nil"/>
              <w:right w:val="nil"/>
            </w:tcBorders>
            <w:shd w:val="clear" w:color="auto" w:fill="auto"/>
            <w:noWrap/>
            <w:vAlign w:val="bottom"/>
            <w:hideMark/>
          </w:tcPr>
          <w:p w14:paraId="5A2C1390" w14:textId="77777777" w:rsidR="00C84814" w:rsidRPr="00CD5BC6" w:rsidRDefault="00C84814" w:rsidP="00C84814">
            <w:pPr>
              <w:jc w:val="right"/>
              <w:rPr>
                <w:rFonts w:cs="Calibri"/>
                <w:sz w:val="20"/>
              </w:rPr>
            </w:pPr>
            <w:r w:rsidRPr="00CD5BC6">
              <w:rPr>
                <w:rFonts w:cs="Calibri"/>
                <w:sz w:val="20"/>
              </w:rPr>
              <w:t>40 410,00</w:t>
            </w:r>
          </w:p>
        </w:tc>
        <w:tc>
          <w:tcPr>
            <w:tcW w:w="261" w:type="pct"/>
            <w:tcBorders>
              <w:top w:val="single" w:sz="4" w:space="0" w:color="auto"/>
              <w:left w:val="nil"/>
              <w:bottom w:val="nil"/>
              <w:right w:val="nil"/>
            </w:tcBorders>
            <w:shd w:val="clear" w:color="auto" w:fill="auto"/>
            <w:noWrap/>
            <w:vAlign w:val="bottom"/>
          </w:tcPr>
          <w:p w14:paraId="67F7676F" w14:textId="313E32DC" w:rsidR="00C84814" w:rsidRPr="00CD5BC6" w:rsidRDefault="00C84814" w:rsidP="00C84814">
            <w:pPr>
              <w:jc w:val="center"/>
              <w:rPr>
                <w:rFonts w:cs="Calibri"/>
                <w:sz w:val="20"/>
              </w:rPr>
            </w:pPr>
          </w:p>
        </w:tc>
        <w:tc>
          <w:tcPr>
            <w:tcW w:w="534" w:type="pct"/>
            <w:tcBorders>
              <w:top w:val="single" w:sz="4" w:space="0" w:color="auto"/>
              <w:left w:val="nil"/>
              <w:bottom w:val="nil"/>
              <w:right w:val="nil"/>
            </w:tcBorders>
            <w:shd w:val="clear" w:color="auto" w:fill="auto"/>
            <w:noWrap/>
            <w:vAlign w:val="bottom"/>
          </w:tcPr>
          <w:p w14:paraId="1947EB49" w14:textId="7F7E743D" w:rsidR="00C84814" w:rsidRPr="00CD5BC6" w:rsidRDefault="00C84814" w:rsidP="00C84814">
            <w:pPr>
              <w:rPr>
                <w:rFonts w:cs="Calibri"/>
                <w:sz w:val="20"/>
              </w:rPr>
            </w:pPr>
          </w:p>
        </w:tc>
        <w:tc>
          <w:tcPr>
            <w:tcW w:w="755" w:type="pct"/>
            <w:tcBorders>
              <w:top w:val="single" w:sz="4" w:space="0" w:color="auto"/>
              <w:left w:val="nil"/>
              <w:bottom w:val="nil"/>
              <w:right w:val="nil"/>
            </w:tcBorders>
            <w:shd w:val="clear" w:color="auto" w:fill="auto"/>
            <w:noWrap/>
            <w:vAlign w:val="bottom"/>
          </w:tcPr>
          <w:p w14:paraId="771A20D0" w14:textId="59612969" w:rsidR="00C84814" w:rsidRPr="00CD5BC6" w:rsidRDefault="00C84814" w:rsidP="00C84814">
            <w:pPr>
              <w:rPr>
                <w:rFonts w:cs="Calibri"/>
                <w:sz w:val="20"/>
              </w:rPr>
            </w:pPr>
          </w:p>
        </w:tc>
      </w:tr>
      <w:tr w:rsidR="00C84814" w:rsidRPr="00CD5BC6" w14:paraId="14021256" w14:textId="77777777" w:rsidTr="00CD5BC6">
        <w:trPr>
          <w:trHeight w:val="255"/>
        </w:trPr>
        <w:tc>
          <w:tcPr>
            <w:tcW w:w="2519" w:type="pct"/>
            <w:gridSpan w:val="5"/>
            <w:tcBorders>
              <w:top w:val="nil"/>
              <w:left w:val="nil"/>
              <w:bottom w:val="single" w:sz="4" w:space="0" w:color="auto"/>
              <w:right w:val="nil"/>
            </w:tcBorders>
            <w:shd w:val="clear" w:color="auto" w:fill="auto"/>
            <w:noWrap/>
            <w:vAlign w:val="bottom"/>
            <w:hideMark/>
          </w:tcPr>
          <w:p w14:paraId="3630CA93" w14:textId="77777777" w:rsidR="00C84814" w:rsidRPr="00CD5BC6" w:rsidRDefault="00C84814" w:rsidP="00C84814">
            <w:pPr>
              <w:rPr>
                <w:rFonts w:cs="Calibri"/>
                <w:sz w:val="20"/>
              </w:rPr>
            </w:pPr>
            <w:r w:rsidRPr="00CD5BC6">
              <w:rPr>
                <w:rFonts w:cs="Calibri"/>
                <w:sz w:val="20"/>
              </w:rPr>
              <w:t xml:space="preserve"> Sleva</w:t>
            </w:r>
          </w:p>
        </w:tc>
        <w:tc>
          <w:tcPr>
            <w:tcW w:w="299" w:type="pct"/>
            <w:tcBorders>
              <w:top w:val="nil"/>
              <w:left w:val="nil"/>
              <w:bottom w:val="nil"/>
              <w:right w:val="nil"/>
            </w:tcBorders>
            <w:shd w:val="clear" w:color="auto" w:fill="auto"/>
            <w:noWrap/>
            <w:vAlign w:val="bottom"/>
            <w:hideMark/>
          </w:tcPr>
          <w:p w14:paraId="08D83349" w14:textId="77777777" w:rsidR="00C84814" w:rsidRPr="00CD5BC6" w:rsidRDefault="00C84814" w:rsidP="00C84814">
            <w:pPr>
              <w:rPr>
                <w:rFonts w:cs="Calibri"/>
                <w:sz w:val="20"/>
              </w:rPr>
            </w:pPr>
          </w:p>
        </w:tc>
        <w:tc>
          <w:tcPr>
            <w:tcW w:w="632" w:type="pct"/>
            <w:tcBorders>
              <w:top w:val="nil"/>
              <w:left w:val="nil"/>
              <w:bottom w:val="nil"/>
              <w:right w:val="nil"/>
            </w:tcBorders>
            <w:shd w:val="clear" w:color="auto" w:fill="auto"/>
            <w:noWrap/>
            <w:vAlign w:val="bottom"/>
            <w:hideMark/>
          </w:tcPr>
          <w:p w14:paraId="69342EBD" w14:textId="77777777" w:rsidR="00C84814" w:rsidRPr="00CD5BC6" w:rsidRDefault="00C84814" w:rsidP="00C84814">
            <w:pPr>
              <w:jc w:val="right"/>
              <w:rPr>
                <w:rFonts w:cs="Calibri"/>
                <w:sz w:val="20"/>
              </w:rPr>
            </w:pPr>
            <w:r w:rsidRPr="00CD5BC6">
              <w:rPr>
                <w:rFonts w:cs="Calibri"/>
                <w:sz w:val="20"/>
              </w:rPr>
              <w:t>-20 205,00</w:t>
            </w:r>
          </w:p>
        </w:tc>
        <w:tc>
          <w:tcPr>
            <w:tcW w:w="261" w:type="pct"/>
            <w:tcBorders>
              <w:top w:val="nil"/>
              <w:left w:val="nil"/>
              <w:bottom w:val="nil"/>
              <w:right w:val="nil"/>
            </w:tcBorders>
            <w:shd w:val="clear" w:color="auto" w:fill="auto"/>
            <w:noWrap/>
            <w:vAlign w:val="bottom"/>
          </w:tcPr>
          <w:p w14:paraId="11F203D8" w14:textId="77777777" w:rsidR="00C84814" w:rsidRPr="00CD5BC6" w:rsidRDefault="00C84814" w:rsidP="00C84814">
            <w:pPr>
              <w:jc w:val="right"/>
              <w:rPr>
                <w:rFonts w:cs="Calibri"/>
                <w:sz w:val="20"/>
              </w:rPr>
            </w:pPr>
          </w:p>
        </w:tc>
        <w:tc>
          <w:tcPr>
            <w:tcW w:w="534" w:type="pct"/>
            <w:tcBorders>
              <w:top w:val="nil"/>
              <w:left w:val="nil"/>
              <w:bottom w:val="single" w:sz="4" w:space="0" w:color="auto"/>
              <w:right w:val="nil"/>
            </w:tcBorders>
            <w:shd w:val="clear" w:color="auto" w:fill="auto"/>
            <w:noWrap/>
            <w:vAlign w:val="bottom"/>
          </w:tcPr>
          <w:p w14:paraId="0C8A40A0" w14:textId="3A31EE93" w:rsidR="00C84814" w:rsidRPr="00CD5BC6" w:rsidRDefault="00C84814" w:rsidP="00C84814">
            <w:pPr>
              <w:rPr>
                <w:rFonts w:cs="Calibri"/>
                <w:sz w:val="20"/>
              </w:rPr>
            </w:pPr>
          </w:p>
        </w:tc>
        <w:tc>
          <w:tcPr>
            <w:tcW w:w="755" w:type="pct"/>
            <w:tcBorders>
              <w:top w:val="nil"/>
              <w:left w:val="nil"/>
              <w:bottom w:val="nil"/>
              <w:right w:val="nil"/>
            </w:tcBorders>
            <w:shd w:val="clear" w:color="auto" w:fill="auto"/>
            <w:noWrap/>
            <w:vAlign w:val="bottom"/>
          </w:tcPr>
          <w:p w14:paraId="2EDDF4B8" w14:textId="77777777" w:rsidR="00C84814" w:rsidRPr="00CD5BC6" w:rsidRDefault="00C84814" w:rsidP="00C84814">
            <w:pPr>
              <w:rPr>
                <w:rFonts w:cs="Calibri"/>
                <w:sz w:val="20"/>
              </w:rPr>
            </w:pPr>
          </w:p>
        </w:tc>
      </w:tr>
      <w:tr w:rsidR="00C84814" w:rsidRPr="00CD5BC6" w14:paraId="731A6911" w14:textId="77777777" w:rsidTr="00CD5BC6">
        <w:trPr>
          <w:trHeight w:val="255"/>
        </w:trPr>
        <w:tc>
          <w:tcPr>
            <w:tcW w:w="2519" w:type="pct"/>
            <w:gridSpan w:val="5"/>
            <w:tcBorders>
              <w:top w:val="single" w:sz="4" w:space="0" w:color="auto"/>
              <w:left w:val="nil"/>
              <w:bottom w:val="nil"/>
              <w:right w:val="nil"/>
            </w:tcBorders>
            <w:shd w:val="clear" w:color="000000" w:fill="C0C0C0"/>
            <w:noWrap/>
            <w:vAlign w:val="bottom"/>
            <w:hideMark/>
          </w:tcPr>
          <w:p w14:paraId="2E861867" w14:textId="77777777" w:rsidR="00C84814" w:rsidRPr="00CD5BC6" w:rsidRDefault="00C84814" w:rsidP="00C84814">
            <w:pPr>
              <w:rPr>
                <w:rFonts w:cs="Calibri"/>
                <w:b/>
                <w:bCs/>
                <w:sz w:val="20"/>
              </w:rPr>
            </w:pPr>
            <w:r w:rsidRPr="00CD5BC6">
              <w:rPr>
                <w:rFonts w:cs="Calibri"/>
                <w:b/>
                <w:bCs/>
                <w:sz w:val="20"/>
              </w:rPr>
              <w:t xml:space="preserve"> Celkem Kč</w:t>
            </w:r>
          </w:p>
        </w:tc>
        <w:tc>
          <w:tcPr>
            <w:tcW w:w="299" w:type="pct"/>
            <w:tcBorders>
              <w:top w:val="single" w:sz="4" w:space="0" w:color="auto"/>
              <w:left w:val="nil"/>
              <w:bottom w:val="nil"/>
              <w:right w:val="nil"/>
            </w:tcBorders>
            <w:shd w:val="clear" w:color="000000" w:fill="C0C0C0"/>
            <w:noWrap/>
            <w:vAlign w:val="bottom"/>
            <w:hideMark/>
          </w:tcPr>
          <w:p w14:paraId="6962F2DE" w14:textId="77777777" w:rsidR="00C84814" w:rsidRPr="00CD5BC6" w:rsidRDefault="00C84814" w:rsidP="00C84814">
            <w:pPr>
              <w:jc w:val="center"/>
              <w:rPr>
                <w:rFonts w:cs="Calibri"/>
                <w:b/>
                <w:bCs/>
                <w:sz w:val="20"/>
              </w:rPr>
            </w:pPr>
            <w:r w:rsidRPr="00CD5BC6">
              <w:rPr>
                <w:rFonts w:cs="Calibri"/>
                <w:b/>
                <w:bCs/>
                <w:sz w:val="20"/>
              </w:rPr>
              <w:t> </w:t>
            </w:r>
          </w:p>
        </w:tc>
        <w:tc>
          <w:tcPr>
            <w:tcW w:w="632" w:type="pct"/>
            <w:tcBorders>
              <w:top w:val="single" w:sz="4" w:space="0" w:color="auto"/>
              <w:left w:val="nil"/>
              <w:bottom w:val="nil"/>
              <w:right w:val="nil"/>
            </w:tcBorders>
            <w:shd w:val="clear" w:color="000000" w:fill="C0C0C0"/>
            <w:noWrap/>
            <w:vAlign w:val="bottom"/>
            <w:hideMark/>
          </w:tcPr>
          <w:p w14:paraId="140C2B7B" w14:textId="77777777" w:rsidR="00C84814" w:rsidRPr="00CD5BC6" w:rsidRDefault="00C84814" w:rsidP="00C84814">
            <w:pPr>
              <w:jc w:val="right"/>
              <w:rPr>
                <w:rFonts w:cs="Calibri"/>
                <w:b/>
                <w:bCs/>
                <w:sz w:val="20"/>
              </w:rPr>
            </w:pPr>
            <w:r w:rsidRPr="00CD5BC6">
              <w:rPr>
                <w:rFonts w:cs="Calibri"/>
                <w:b/>
                <w:bCs/>
                <w:sz w:val="20"/>
              </w:rPr>
              <w:t>20 205,00</w:t>
            </w:r>
          </w:p>
        </w:tc>
        <w:tc>
          <w:tcPr>
            <w:tcW w:w="261" w:type="pct"/>
            <w:tcBorders>
              <w:top w:val="single" w:sz="4" w:space="0" w:color="auto"/>
              <w:left w:val="nil"/>
              <w:bottom w:val="nil"/>
              <w:right w:val="nil"/>
            </w:tcBorders>
            <w:shd w:val="clear" w:color="000000" w:fill="C0C0C0"/>
            <w:noWrap/>
            <w:vAlign w:val="bottom"/>
          </w:tcPr>
          <w:p w14:paraId="31ECD8B0" w14:textId="67195AB8" w:rsidR="00C84814" w:rsidRPr="00CD5BC6" w:rsidRDefault="00C84814" w:rsidP="00C84814">
            <w:pPr>
              <w:jc w:val="center"/>
              <w:rPr>
                <w:rFonts w:cs="Calibri"/>
                <w:b/>
                <w:bCs/>
                <w:sz w:val="20"/>
              </w:rPr>
            </w:pPr>
          </w:p>
        </w:tc>
        <w:tc>
          <w:tcPr>
            <w:tcW w:w="534" w:type="pct"/>
            <w:tcBorders>
              <w:top w:val="nil"/>
              <w:left w:val="nil"/>
              <w:bottom w:val="nil"/>
              <w:right w:val="nil"/>
            </w:tcBorders>
            <w:shd w:val="clear" w:color="000000" w:fill="C0C0C0"/>
            <w:noWrap/>
            <w:vAlign w:val="bottom"/>
          </w:tcPr>
          <w:p w14:paraId="6641AAF5" w14:textId="43066339" w:rsidR="00C84814" w:rsidRPr="00CD5BC6" w:rsidRDefault="00C84814" w:rsidP="00C84814">
            <w:pPr>
              <w:jc w:val="right"/>
              <w:rPr>
                <w:rFonts w:cs="Calibri"/>
                <w:b/>
                <w:bCs/>
                <w:sz w:val="20"/>
              </w:rPr>
            </w:pPr>
          </w:p>
        </w:tc>
        <w:tc>
          <w:tcPr>
            <w:tcW w:w="755" w:type="pct"/>
            <w:tcBorders>
              <w:top w:val="single" w:sz="4" w:space="0" w:color="auto"/>
              <w:left w:val="nil"/>
              <w:bottom w:val="nil"/>
              <w:right w:val="nil"/>
            </w:tcBorders>
            <w:shd w:val="clear" w:color="000000" w:fill="C0C0C0"/>
            <w:noWrap/>
            <w:vAlign w:val="bottom"/>
          </w:tcPr>
          <w:p w14:paraId="00485CBD" w14:textId="289A5046" w:rsidR="00C84814" w:rsidRPr="00CD5BC6" w:rsidRDefault="00C84814" w:rsidP="00C84814">
            <w:pPr>
              <w:jc w:val="right"/>
              <w:rPr>
                <w:rFonts w:cs="Calibri"/>
                <w:b/>
                <w:bCs/>
                <w:sz w:val="20"/>
              </w:rPr>
            </w:pPr>
          </w:p>
        </w:tc>
      </w:tr>
    </w:tbl>
    <w:p w14:paraId="5E64E534" w14:textId="5FB9DCD9" w:rsidR="00C84814" w:rsidRDefault="00C84814" w:rsidP="00135431">
      <w:pPr>
        <w:pStyle w:val="Odstavecseseznamem"/>
        <w:ind w:left="786"/>
        <w:rPr>
          <w:rFonts w:ascii="Cambria" w:hAnsi="Cambria"/>
          <w:b/>
          <w:bCs/>
        </w:rPr>
      </w:pPr>
    </w:p>
    <w:p w14:paraId="785A4C51" w14:textId="3B2EB750" w:rsidR="00C84814" w:rsidRDefault="00C84814" w:rsidP="00135431">
      <w:pPr>
        <w:pStyle w:val="Odstavecseseznamem"/>
        <w:ind w:left="786"/>
        <w:rPr>
          <w:rFonts w:ascii="Cambria" w:hAnsi="Cambria"/>
          <w:b/>
          <w:bCs/>
        </w:rPr>
      </w:pPr>
    </w:p>
    <w:p w14:paraId="1C1CFC2B" w14:textId="77777777" w:rsidR="00135431" w:rsidRDefault="00135431" w:rsidP="00135431">
      <w:pPr>
        <w:pStyle w:val="Odstavecseseznamem"/>
        <w:numPr>
          <w:ilvl w:val="1"/>
          <w:numId w:val="7"/>
        </w:numPr>
        <w:spacing w:after="200" w:line="276" w:lineRule="auto"/>
        <w:rPr>
          <w:rFonts w:ascii="Cambria" w:hAnsi="Cambria"/>
          <w:b/>
          <w:bCs/>
          <w:sz w:val="22"/>
          <w:szCs w:val="22"/>
        </w:rPr>
      </w:pPr>
      <w:r>
        <w:rPr>
          <w:rFonts w:ascii="Cambria" w:hAnsi="Cambria"/>
          <w:b/>
          <w:bCs/>
          <w:sz w:val="22"/>
          <w:szCs w:val="22"/>
        </w:rPr>
        <w:t>Základní software</w:t>
      </w:r>
    </w:p>
    <w:p w14:paraId="1C1CFC2C" w14:textId="635ECDDE" w:rsidR="00135431" w:rsidRDefault="00135431" w:rsidP="00135431">
      <w:pPr>
        <w:pStyle w:val="Odstavecseseznamem"/>
        <w:rPr>
          <w:rFonts w:ascii="Cambria" w:hAnsi="Cambria"/>
          <w:b/>
          <w:bCs/>
          <w:sz w:val="22"/>
          <w:szCs w:val="22"/>
        </w:rPr>
      </w:pPr>
    </w:p>
    <w:tbl>
      <w:tblPr>
        <w:tblW w:w="5000" w:type="pct"/>
        <w:tblCellMar>
          <w:left w:w="70" w:type="dxa"/>
          <w:right w:w="70" w:type="dxa"/>
        </w:tblCellMar>
        <w:tblLook w:val="04A0" w:firstRow="1" w:lastRow="0" w:firstColumn="1" w:lastColumn="0" w:noHBand="0" w:noVBand="1"/>
      </w:tblPr>
      <w:tblGrid>
        <w:gridCol w:w="4406"/>
        <w:gridCol w:w="412"/>
        <w:gridCol w:w="412"/>
        <w:gridCol w:w="413"/>
        <w:gridCol w:w="413"/>
        <w:gridCol w:w="561"/>
        <w:gridCol w:w="1175"/>
        <w:gridCol w:w="464"/>
        <w:gridCol w:w="1123"/>
        <w:gridCol w:w="1227"/>
      </w:tblGrid>
      <w:tr w:rsidR="00DD0422" w:rsidRPr="00DD0422" w14:paraId="4CF329D8" w14:textId="77777777" w:rsidTr="00606717">
        <w:trPr>
          <w:trHeight w:val="255"/>
        </w:trPr>
        <w:tc>
          <w:tcPr>
            <w:tcW w:w="2866" w:type="pct"/>
            <w:gridSpan w:val="5"/>
            <w:tcBorders>
              <w:top w:val="nil"/>
              <w:left w:val="nil"/>
              <w:bottom w:val="nil"/>
              <w:right w:val="nil"/>
            </w:tcBorders>
            <w:shd w:val="clear" w:color="auto" w:fill="auto"/>
            <w:noWrap/>
            <w:vAlign w:val="bottom"/>
            <w:hideMark/>
          </w:tcPr>
          <w:p w14:paraId="26ACEFB5" w14:textId="77777777" w:rsidR="00DD0422" w:rsidRPr="00DD0422" w:rsidRDefault="00DD0422" w:rsidP="00DD0422">
            <w:pPr>
              <w:rPr>
                <w:rFonts w:cs="Calibri"/>
                <w:b/>
                <w:bCs/>
                <w:sz w:val="18"/>
                <w:szCs w:val="18"/>
              </w:rPr>
            </w:pPr>
            <w:r w:rsidRPr="00DD0422">
              <w:rPr>
                <w:rFonts w:cs="Calibri"/>
                <w:b/>
                <w:bCs/>
                <w:sz w:val="18"/>
                <w:szCs w:val="18"/>
              </w:rPr>
              <w:t>Název</w:t>
            </w:r>
          </w:p>
        </w:tc>
        <w:tc>
          <w:tcPr>
            <w:tcW w:w="258" w:type="pct"/>
            <w:tcBorders>
              <w:top w:val="nil"/>
              <w:left w:val="nil"/>
              <w:bottom w:val="nil"/>
              <w:right w:val="nil"/>
            </w:tcBorders>
            <w:shd w:val="clear" w:color="auto" w:fill="auto"/>
            <w:noWrap/>
            <w:vAlign w:val="bottom"/>
            <w:hideMark/>
          </w:tcPr>
          <w:p w14:paraId="5374BEE1" w14:textId="77777777" w:rsidR="00DD0422" w:rsidRPr="00DD0422" w:rsidRDefault="00DD0422" w:rsidP="00DD0422">
            <w:pPr>
              <w:jc w:val="center"/>
              <w:rPr>
                <w:rFonts w:cs="Calibri"/>
                <w:b/>
                <w:bCs/>
                <w:sz w:val="18"/>
                <w:szCs w:val="18"/>
              </w:rPr>
            </w:pPr>
            <w:r w:rsidRPr="00DD0422">
              <w:rPr>
                <w:rFonts w:cs="Calibri"/>
                <w:b/>
                <w:bCs/>
                <w:sz w:val="18"/>
                <w:szCs w:val="18"/>
              </w:rPr>
              <w:t>Počet</w:t>
            </w:r>
          </w:p>
        </w:tc>
        <w:tc>
          <w:tcPr>
            <w:tcW w:w="540" w:type="pct"/>
            <w:tcBorders>
              <w:top w:val="nil"/>
              <w:left w:val="nil"/>
              <w:bottom w:val="nil"/>
              <w:right w:val="nil"/>
            </w:tcBorders>
            <w:shd w:val="clear" w:color="auto" w:fill="auto"/>
            <w:noWrap/>
            <w:vAlign w:val="bottom"/>
            <w:hideMark/>
          </w:tcPr>
          <w:p w14:paraId="40CBAC8F" w14:textId="309EA1C0" w:rsidR="00DD0422" w:rsidRPr="00DD0422" w:rsidRDefault="00DD0422" w:rsidP="00DD0422">
            <w:pPr>
              <w:jc w:val="center"/>
              <w:rPr>
                <w:rFonts w:cs="Calibri"/>
                <w:b/>
                <w:bCs/>
                <w:sz w:val="18"/>
                <w:szCs w:val="18"/>
              </w:rPr>
            </w:pPr>
            <w:r w:rsidRPr="00DD0422">
              <w:rPr>
                <w:rFonts w:cs="Calibri"/>
                <w:b/>
                <w:bCs/>
                <w:sz w:val="18"/>
                <w:szCs w:val="18"/>
              </w:rPr>
              <w:t>Cena</w:t>
            </w:r>
            <w:r w:rsidR="008056FA">
              <w:rPr>
                <w:rFonts w:cs="Calibri"/>
                <w:b/>
                <w:bCs/>
                <w:sz w:val="18"/>
                <w:szCs w:val="18"/>
              </w:rPr>
              <w:t xml:space="preserve"> bez DPH</w:t>
            </w:r>
          </w:p>
        </w:tc>
        <w:tc>
          <w:tcPr>
            <w:tcW w:w="221" w:type="pct"/>
            <w:tcBorders>
              <w:top w:val="nil"/>
              <w:left w:val="nil"/>
              <w:bottom w:val="nil"/>
              <w:right w:val="nil"/>
            </w:tcBorders>
            <w:shd w:val="clear" w:color="auto" w:fill="auto"/>
            <w:noWrap/>
            <w:vAlign w:val="bottom"/>
          </w:tcPr>
          <w:p w14:paraId="60A7B639" w14:textId="0DE15A9A" w:rsidR="00DD0422" w:rsidRPr="00DD0422" w:rsidRDefault="00DD0422" w:rsidP="00DD0422">
            <w:pPr>
              <w:jc w:val="center"/>
              <w:rPr>
                <w:rFonts w:cs="Calibri"/>
                <w:b/>
                <w:bCs/>
                <w:sz w:val="18"/>
                <w:szCs w:val="18"/>
              </w:rPr>
            </w:pPr>
          </w:p>
        </w:tc>
        <w:tc>
          <w:tcPr>
            <w:tcW w:w="532" w:type="pct"/>
            <w:tcBorders>
              <w:top w:val="nil"/>
              <w:left w:val="nil"/>
              <w:bottom w:val="nil"/>
              <w:right w:val="nil"/>
            </w:tcBorders>
            <w:shd w:val="clear" w:color="auto" w:fill="auto"/>
            <w:noWrap/>
            <w:vAlign w:val="bottom"/>
          </w:tcPr>
          <w:p w14:paraId="1D06A577" w14:textId="50CE1AA7" w:rsidR="00DD0422" w:rsidRPr="00DD0422" w:rsidRDefault="00DD0422" w:rsidP="00DD0422">
            <w:pPr>
              <w:jc w:val="center"/>
              <w:rPr>
                <w:rFonts w:cs="Calibri"/>
                <w:b/>
                <w:bCs/>
                <w:sz w:val="18"/>
                <w:szCs w:val="18"/>
              </w:rPr>
            </w:pPr>
          </w:p>
        </w:tc>
        <w:tc>
          <w:tcPr>
            <w:tcW w:w="581" w:type="pct"/>
            <w:tcBorders>
              <w:top w:val="nil"/>
              <w:left w:val="nil"/>
              <w:bottom w:val="nil"/>
              <w:right w:val="nil"/>
            </w:tcBorders>
            <w:shd w:val="clear" w:color="auto" w:fill="auto"/>
            <w:noWrap/>
            <w:vAlign w:val="bottom"/>
          </w:tcPr>
          <w:p w14:paraId="23068A44" w14:textId="7C43D1A1" w:rsidR="00DD0422" w:rsidRPr="00DD0422" w:rsidRDefault="00DD0422" w:rsidP="00DD0422">
            <w:pPr>
              <w:jc w:val="center"/>
              <w:rPr>
                <w:rFonts w:cs="Calibri"/>
                <w:b/>
                <w:bCs/>
                <w:sz w:val="18"/>
                <w:szCs w:val="18"/>
              </w:rPr>
            </w:pPr>
          </w:p>
        </w:tc>
      </w:tr>
      <w:tr w:rsidR="00DD0422" w:rsidRPr="00DD0422" w14:paraId="43A37505" w14:textId="77777777" w:rsidTr="00606717">
        <w:trPr>
          <w:trHeight w:val="255"/>
        </w:trPr>
        <w:tc>
          <w:tcPr>
            <w:tcW w:w="2080" w:type="pct"/>
            <w:tcBorders>
              <w:top w:val="nil"/>
              <w:left w:val="nil"/>
              <w:bottom w:val="single" w:sz="4" w:space="0" w:color="auto"/>
              <w:right w:val="nil"/>
            </w:tcBorders>
            <w:shd w:val="clear" w:color="auto" w:fill="auto"/>
            <w:noWrap/>
            <w:vAlign w:val="bottom"/>
            <w:hideMark/>
          </w:tcPr>
          <w:p w14:paraId="279926D3" w14:textId="77777777" w:rsidR="00DD0422" w:rsidRPr="00DD0422" w:rsidRDefault="00DD0422" w:rsidP="00DD0422">
            <w:pPr>
              <w:rPr>
                <w:rFonts w:cs="Calibri"/>
                <w:sz w:val="18"/>
                <w:szCs w:val="18"/>
              </w:rPr>
            </w:pPr>
            <w:r w:rsidRPr="00DD0422">
              <w:rPr>
                <w:rFonts w:cs="Calibri"/>
                <w:sz w:val="18"/>
                <w:szCs w:val="18"/>
              </w:rPr>
              <w:t> </w:t>
            </w:r>
          </w:p>
        </w:tc>
        <w:tc>
          <w:tcPr>
            <w:tcW w:w="197" w:type="pct"/>
            <w:tcBorders>
              <w:top w:val="nil"/>
              <w:left w:val="nil"/>
              <w:bottom w:val="single" w:sz="4" w:space="0" w:color="auto"/>
              <w:right w:val="nil"/>
            </w:tcBorders>
            <w:shd w:val="clear" w:color="auto" w:fill="auto"/>
            <w:noWrap/>
            <w:vAlign w:val="bottom"/>
            <w:hideMark/>
          </w:tcPr>
          <w:p w14:paraId="397340F3" w14:textId="77777777" w:rsidR="00DD0422" w:rsidRPr="00DD0422" w:rsidRDefault="00DD0422" w:rsidP="00DD0422">
            <w:pPr>
              <w:rPr>
                <w:rFonts w:cs="Calibri"/>
                <w:sz w:val="18"/>
                <w:szCs w:val="18"/>
              </w:rPr>
            </w:pPr>
            <w:r w:rsidRPr="00DD0422">
              <w:rPr>
                <w:rFonts w:cs="Calibri"/>
                <w:sz w:val="18"/>
                <w:szCs w:val="18"/>
              </w:rPr>
              <w:t> </w:t>
            </w:r>
          </w:p>
        </w:tc>
        <w:tc>
          <w:tcPr>
            <w:tcW w:w="197" w:type="pct"/>
            <w:tcBorders>
              <w:top w:val="nil"/>
              <w:left w:val="nil"/>
              <w:bottom w:val="single" w:sz="4" w:space="0" w:color="auto"/>
              <w:right w:val="nil"/>
            </w:tcBorders>
            <w:shd w:val="clear" w:color="auto" w:fill="auto"/>
            <w:noWrap/>
            <w:vAlign w:val="bottom"/>
            <w:hideMark/>
          </w:tcPr>
          <w:p w14:paraId="158F6B05" w14:textId="77777777" w:rsidR="00DD0422" w:rsidRPr="00DD0422" w:rsidRDefault="00DD0422" w:rsidP="00DD0422">
            <w:pPr>
              <w:rPr>
                <w:rFonts w:cs="Calibri"/>
                <w:sz w:val="18"/>
                <w:szCs w:val="18"/>
              </w:rPr>
            </w:pPr>
            <w:r w:rsidRPr="00DD0422">
              <w:rPr>
                <w:rFonts w:cs="Calibri"/>
                <w:sz w:val="18"/>
                <w:szCs w:val="18"/>
              </w:rPr>
              <w:t> </w:t>
            </w:r>
          </w:p>
        </w:tc>
        <w:tc>
          <w:tcPr>
            <w:tcW w:w="197" w:type="pct"/>
            <w:tcBorders>
              <w:top w:val="nil"/>
              <w:left w:val="nil"/>
              <w:bottom w:val="single" w:sz="4" w:space="0" w:color="auto"/>
              <w:right w:val="nil"/>
            </w:tcBorders>
            <w:shd w:val="clear" w:color="auto" w:fill="auto"/>
            <w:noWrap/>
            <w:vAlign w:val="bottom"/>
            <w:hideMark/>
          </w:tcPr>
          <w:p w14:paraId="3A094FE5" w14:textId="77777777" w:rsidR="00DD0422" w:rsidRPr="00DD0422" w:rsidRDefault="00DD0422" w:rsidP="00DD0422">
            <w:pPr>
              <w:rPr>
                <w:rFonts w:cs="Calibri"/>
                <w:sz w:val="18"/>
                <w:szCs w:val="18"/>
              </w:rPr>
            </w:pPr>
            <w:r w:rsidRPr="00DD0422">
              <w:rPr>
                <w:rFonts w:cs="Calibri"/>
                <w:sz w:val="18"/>
                <w:szCs w:val="18"/>
              </w:rPr>
              <w:t> </w:t>
            </w:r>
          </w:p>
        </w:tc>
        <w:tc>
          <w:tcPr>
            <w:tcW w:w="197" w:type="pct"/>
            <w:tcBorders>
              <w:top w:val="nil"/>
              <w:left w:val="nil"/>
              <w:bottom w:val="single" w:sz="4" w:space="0" w:color="auto"/>
              <w:right w:val="nil"/>
            </w:tcBorders>
            <w:shd w:val="clear" w:color="auto" w:fill="auto"/>
            <w:noWrap/>
            <w:vAlign w:val="bottom"/>
            <w:hideMark/>
          </w:tcPr>
          <w:p w14:paraId="124ADD0F" w14:textId="77777777" w:rsidR="00DD0422" w:rsidRPr="00DD0422" w:rsidRDefault="00DD0422" w:rsidP="00DD0422">
            <w:pPr>
              <w:rPr>
                <w:rFonts w:cs="Calibri"/>
                <w:sz w:val="18"/>
                <w:szCs w:val="18"/>
              </w:rPr>
            </w:pPr>
            <w:r w:rsidRPr="00DD0422">
              <w:rPr>
                <w:rFonts w:cs="Calibri"/>
                <w:sz w:val="18"/>
                <w:szCs w:val="18"/>
              </w:rPr>
              <w:t> </w:t>
            </w:r>
          </w:p>
        </w:tc>
        <w:tc>
          <w:tcPr>
            <w:tcW w:w="258" w:type="pct"/>
            <w:tcBorders>
              <w:top w:val="nil"/>
              <w:left w:val="nil"/>
              <w:bottom w:val="single" w:sz="4" w:space="0" w:color="auto"/>
              <w:right w:val="nil"/>
            </w:tcBorders>
            <w:shd w:val="clear" w:color="auto" w:fill="auto"/>
            <w:noWrap/>
            <w:vAlign w:val="bottom"/>
            <w:hideMark/>
          </w:tcPr>
          <w:p w14:paraId="5D0F4C42" w14:textId="77777777" w:rsidR="00DD0422" w:rsidRPr="00DD0422" w:rsidRDefault="00DD0422" w:rsidP="00DD0422">
            <w:pPr>
              <w:jc w:val="center"/>
              <w:rPr>
                <w:rFonts w:cs="Calibri"/>
                <w:b/>
                <w:bCs/>
                <w:sz w:val="18"/>
                <w:szCs w:val="18"/>
              </w:rPr>
            </w:pPr>
            <w:r w:rsidRPr="00DD0422">
              <w:rPr>
                <w:rFonts w:cs="Calibri"/>
                <w:b/>
                <w:bCs/>
                <w:sz w:val="18"/>
                <w:szCs w:val="18"/>
              </w:rPr>
              <w:t>lic.</w:t>
            </w:r>
          </w:p>
        </w:tc>
        <w:tc>
          <w:tcPr>
            <w:tcW w:w="540" w:type="pct"/>
            <w:tcBorders>
              <w:top w:val="nil"/>
              <w:left w:val="nil"/>
              <w:bottom w:val="single" w:sz="4" w:space="0" w:color="auto"/>
              <w:right w:val="nil"/>
            </w:tcBorders>
            <w:shd w:val="clear" w:color="auto" w:fill="auto"/>
            <w:noWrap/>
            <w:vAlign w:val="bottom"/>
            <w:hideMark/>
          </w:tcPr>
          <w:p w14:paraId="2EED6894" w14:textId="77777777" w:rsidR="00DD0422" w:rsidRPr="00DD0422" w:rsidRDefault="00DD0422" w:rsidP="00DD0422">
            <w:pPr>
              <w:jc w:val="center"/>
              <w:rPr>
                <w:rFonts w:cs="Calibri"/>
                <w:b/>
                <w:bCs/>
                <w:sz w:val="18"/>
                <w:szCs w:val="18"/>
              </w:rPr>
            </w:pPr>
            <w:r w:rsidRPr="00DD0422">
              <w:rPr>
                <w:rFonts w:cs="Calibri"/>
                <w:b/>
                <w:bCs/>
                <w:sz w:val="18"/>
                <w:szCs w:val="18"/>
              </w:rPr>
              <w:t>Kč</w:t>
            </w:r>
          </w:p>
        </w:tc>
        <w:tc>
          <w:tcPr>
            <w:tcW w:w="221" w:type="pct"/>
            <w:tcBorders>
              <w:top w:val="nil"/>
              <w:left w:val="nil"/>
              <w:bottom w:val="single" w:sz="4" w:space="0" w:color="auto"/>
              <w:right w:val="nil"/>
            </w:tcBorders>
            <w:shd w:val="clear" w:color="auto" w:fill="auto"/>
            <w:noWrap/>
            <w:vAlign w:val="bottom"/>
          </w:tcPr>
          <w:p w14:paraId="64D1BF1E" w14:textId="21613E0A" w:rsidR="00DD0422" w:rsidRPr="00DD0422" w:rsidRDefault="00DD0422" w:rsidP="00DD0422">
            <w:pPr>
              <w:jc w:val="center"/>
              <w:rPr>
                <w:rFonts w:cs="Calibri"/>
                <w:b/>
                <w:bCs/>
                <w:sz w:val="18"/>
                <w:szCs w:val="18"/>
              </w:rPr>
            </w:pPr>
          </w:p>
        </w:tc>
        <w:tc>
          <w:tcPr>
            <w:tcW w:w="532" w:type="pct"/>
            <w:tcBorders>
              <w:top w:val="nil"/>
              <w:left w:val="nil"/>
              <w:bottom w:val="single" w:sz="4" w:space="0" w:color="auto"/>
              <w:right w:val="nil"/>
            </w:tcBorders>
            <w:shd w:val="clear" w:color="auto" w:fill="auto"/>
            <w:noWrap/>
            <w:vAlign w:val="bottom"/>
          </w:tcPr>
          <w:p w14:paraId="5D9DDB6E" w14:textId="345AFB23" w:rsidR="00DD0422" w:rsidRPr="00DD0422" w:rsidRDefault="00DD0422" w:rsidP="00DD0422">
            <w:pPr>
              <w:jc w:val="center"/>
              <w:rPr>
                <w:rFonts w:cs="Calibri"/>
                <w:b/>
                <w:bCs/>
                <w:sz w:val="18"/>
                <w:szCs w:val="18"/>
              </w:rPr>
            </w:pPr>
          </w:p>
        </w:tc>
        <w:tc>
          <w:tcPr>
            <w:tcW w:w="581" w:type="pct"/>
            <w:tcBorders>
              <w:top w:val="nil"/>
              <w:left w:val="nil"/>
              <w:bottom w:val="single" w:sz="4" w:space="0" w:color="auto"/>
              <w:right w:val="nil"/>
            </w:tcBorders>
            <w:shd w:val="clear" w:color="auto" w:fill="auto"/>
            <w:noWrap/>
            <w:vAlign w:val="bottom"/>
          </w:tcPr>
          <w:p w14:paraId="0BF7FCA1" w14:textId="195D88EF" w:rsidR="00DD0422" w:rsidRPr="00DD0422" w:rsidRDefault="00DD0422" w:rsidP="00DD0422">
            <w:pPr>
              <w:jc w:val="center"/>
              <w:rPr>
                <w:rFonts w:cs="Calibri"/>
                <w:b/>
                <w:bCs/>
                <w:sz w:val="18"/>
                <w:szCs w:val="18"/>
              </w:rPr>
            </w:pPr>
          </w:p>
        </w:tc>
      </w:tr>
      <w:tr w:rsidR="00DD0422" w:rsidRPr="00DD0422" w14:paraId="4CEDA3AB" w14:textId="77777777" w:rsidTr="00606717">
        <w:trPr>
          <w:trHeight w:val="255"/>
        </w:trPr>
        <w:tc>
          <w:tcPr>
            <w:tcW w:w="2866" w:type="pct"/>
            <w:gridSpan w:val="5"/>
            <w:tcBorders>
              <w:top w:val="single" w:sz="4" w:space="0" w:color="auto"/>
              <w:left w:val="nil"/>
              <w:bottom w:val="nil"/>
              <w:right w:val="nil"/>
            </w:tcBorders>
            <w:shd w:val="clear" w:color="auto" w:fill="auto"/>
            <w:noWrap/>
            <w:vAlign w:val="bottom"/>
            <w:hideMark/>
          </w:tcPr>
          <w:p w14:paraId="70CD140F" w14:textId="77777777" w:rsidR="00DD0422" w:rsidRPr="00DD0422" w:rsidRDefault="00DD0422" w:rsidP="00DD0422">
            <w:pPr>
              <w:rPr>
                <w:rFonts w:cs="Calibri"/>
                <w:b/>
                <w:bCs/>
                <w:sz w:val="20"/>
              </w:rPr>
            </w:pPr>
            <w:r w:rsidRPr="00DD0422">
              <w:rPr>
                <w:rFonts w:cs="Calibri"/>
                <w:b/>
                <w:bCs/>
                <w:sz w:val="20"/>
              </w:rPr>
              <w:t xml:space="preserve"> Provozní licence Micro Focus</w:t>
            </w:r>
          </w:p>
        </w:tc>
        <w:tc>
          <w:tcPr>
            <w:tcW w:w="258" w:type="pct"/>
            <w:tcBorders>
              <w:top w:val="nil"/>
              <w:left w:val="nil"/>
              <w:bottom w:val="nil"/>
              <w:right w:val="nil"/>
            </w:tcBorders>
            <w:shd w:val="clear" w:color="auto" w:fill="auto"/>
            <w:noWrap/>
            <w:vAlign w:val="bottom"/>
            <w:hideMark/>
          </w:tcPr>
          <w:p w14:paraId="06877C16" w14:textId="77777777" w:rsidR="00DD0422" w:rsidRPr="00DD0422" w:rsidRDefault="00DD0422" w:rsidP="00DD0422">
            <w:pPr>
              <w:rPr>
                <w:rFonts w:cs="Calibri"/>
                <w:b/>
                <w:bCs/>
                <w:sz w:val="20"/>
              </w:rPr>
            </w:pPr>
          </w:p>
        </w:tc>
        <w:tc>
          <w:tcPr>
            <w:tcW w:w="540" w:type="pct"/>
            <w:tcBorders>
              <w:top w:val="nil"/>
              <w:left w:val="nil"/>
              <w:bottom w:val="nil"/>
              <w:right w:val="nil"/>
            </w:tcBorders>
            <w:shd w:val="clear" w:color="auto" w:fill="auto"/>
            <w:noWrap/>
            <w:vAlign w:val="bottom"/>
            <w:hideMark/>
          </w:tcPr>
          <w:p w14:paraId="16B01C8E" w14:textId="77777777" w:rsidR="00DD0422" w:rsidRPr="00DD0422" w:rsidRDefault="00DD0422" w:rsidP="00DD0422">
            <w:pPr>
              <w:jc w:val="center"/>
              <w:rPr>
                <w:rFonts w:cs="Calibri"/>
                <w:sz w:val="20"/>
              </w:rPr>
            </w:pPr>
          </w:p>
        </w:tc>
        <w:tc>
          <w:tcPr>
            <w:tcW w:w="221" w:type="pct"/>
            <w:tcBorders>
              <w:top w:val="nil"/>
              <w:left w:val="nil"/>
              <w:bottom w:val="nil"/>
              <w:right w:val="nil"/>
            </w:tcBorders>
            <w:shd w:val="clear" w:color="auto" w:fill="auto"/>
            <w:noWrap/>
            <w:vAlign w:val="bottom"/>
          </w:tcPr>
          <w:p w14:paraId="7D442EC7" w14:textId="77777777" w:rsidR="00DD0422" w:rsidRPr="00DD0422" w:rsidRDefault="00DD0422" w:rsidP="00DD0422">
            <w:pPr>
              <w:rPr>
                <w:rFonts w:cs="Calibri"/>
                <w:sz w:val="20"/>
              </w:rPr>
            </w:pPr>
          </w:p>
        </w:tc>
        <w:tc>
          <w:tcPr>
            <w:tcW w:w="532" w:type="pct"/>
            <w:tcBorders>
              <w:top w:val="nil"/>
              <w:left w:val="nil"/>
              <w:bottom w:val="nil"/>
              <w:right w:val="nil"/>
            </w:tcBorders>
            <w:shd w:val="clear" w:color="auto" w:fill="auto"/>
            <w:noWrap/>
            <w:vAlign w:val="bottom"/>
          </w:tcPr>
          <w:p w14:paraId="3BC3752A" w14:textId="77777777" w:rsidR="00DD0422" w:rsidRPr="00DD0422" w:rsidRDefault="00DD0422" w:rsidP="00DD0422">
            <w:pPr>
              <w:rPr>
                <w:rFonts w:cs="Calibri"/>
                <w:sz w:val="20"/>
              </w:rPr>
            </w:pPr>
          </w:p>
        </w:tc>
        <w:tc>
          <w:tcPr>
            <w:tcW w:w="581" w:type="pct"/>
            <w:tcBorders>
              <w:top w:val="nil"/>
              <w:left w:val="nil"/>
              <w:bottom w:val="nil"/>
              <w:right w:val="nil"/>
            </w:tcBorders>
            <w:shd w:val="clear" w:color="auto" w:fill="auto"/>
            <w:noWrap/>
            <w:vAlign w:val="bottom"/>
          </w:tcPr>
          <w:p w14:paraId="5472A340" w14:textId="77777777" w:rsidR="00DD0422" w:rsidRPr="00DD0422" w:rsidRDefault="00DD0422" w:rsidP="00DD0422">
            <w:pPr>
              <w:rPr>
                <w:rFonts w:cs="Calibri"/>
                <w:sz w:val="20"/>
              </w:rPr>
            </w:pPr>
          </w:p>
        </w:tc>
      </w:tr>
      <w:tr w:rsidR="00DD0422" w:rsidRPr="00DD0422" w14:paraId="6E3135D4" w14:textId="77777777" w:rsidTr="00606717">
        <w:trPr>
          <w:trHeight w:val="255"/>
        </w:trPr>
        <w:tc>
          <w:tcPr>
            <w:tcW w:w="2866" w:type="pct"/>
            <w:gridSpan w:val="5"/>
            <w:tcBorders>
              <w:top w:val="nil"/>
              <w:left w:val="nil"/>
              <w:bottom w:val="single" w:sz="4" w:space="0" w:color="auto"/>
              <w:right w:val="nil"/>
            </w:tcBorders>
            <w:shd w:val="clear" w:color="auto" w:fill="auto"/>
            <w:noWrap/>
            <w:vAlign w:val="bottom"/>
            <w:hideMark/>
          </w:tcPr>
          <w:p w14:paraId="53ACB3A8" w14:textId="77777777" w:rsidR="00DD0422" w:rsidRPr="00DD0422" w:rsidRDefault="00DD0422" w:rsidP="00DD0422">
            <w:pPr>
              <w:rPr>
                <w:rFonts w:cs="Calibri"/>
                <w:sz w:val="20"/>
              </w:rPr>
            </w:pPr>
            <w:r w:rsidRPr="00DD0422">
              <w:rPr>
                <w:rFonts w:cs="Calibri"/>
                <w:sz w:val="20"/>
              </w:rPr>
              <w:t xml:space="preserve"> MF Server 5 (5 už.)</w:t>
            </w:r>
          </w:p>
        </w:tc>
        <w:tc>
          <w:tcPr>
            <w:tcW w:w="258" w:type="pct"/>
            <w:tcBorders>
              <w:top w:val="nil"/>
              <w:left w:val="nil"/>
              <w:bottom w:val="single" w:sz="4" w:space="0" w:color="auto"/>
              <w:right w:val="nil"/>
            </w:tcBorders>
            <w:shd w:val="clear" w:color="auto" w:fill="auto"/>
            <w:noWrap/>
            <w:vAlign w:val="bottom"/>
            <w:hideMark/>
          </w:tcPr>
          <w:p w14:paraId="23751A63" w14:textId="77777777" w:rsidR="00DD0422" w:rsidRPr="00DD0422" w:rsidRDefault="00DD0422" w:rsidP="00DD0422">
            <w:pPr>
              <w:jc w:val="center"/>
              <w:rPr>
                <w:rFonts w:cs="Calibri"/>
                <w:sz w:val="20"/>
              </w:rPr>
            </w:pPr>
            <w:r w:rsidRPr="00DD0422">
              <w:rPr>
                <w:rFonts w:cs="Calibri"/>
                <w:sz w:val="20"/>
              </w:rPr>
              <w:t>1</w:t>
            </w:r>
          </w:p>
        </w:tc>
        <w:tc>
          <w:tcPr>
            <w:tcW w:w="540" w:type="pct"/>
            <w:tcBorders>
              <w:top w:val="nil"/>
              <w:left w:val="nil"/>
              <w:bottom w:val="single" w:sz="4" w:space="0" w:color="auto"/>
              <w:right w:val="nil"/>
            </w:tcBorders>
            <w:shd w:val="clear" w:color="auto" w:fill="auto"/>
            <w:noWrap/>
            <w:vAlign w:val="bottom"/>
            <w:hideMark/>
          </w:tcPr>
          <w:p w14:paraId="5E820016" w14:textId="77777777" w:rsidR="00DD0422" w:rsidRPr="00DD0422" w:rsidRDefault="00DD0422" w:rsidP="00DD0422">
            <w:pPr>
              <w:jc w:val="right"/>
              <w:rPr>
                <w:rFonts w:cs="Calibri"/>
                <w:sz w:val="20"/>
              </w:rPr>
            </w:pPr>
            <w:r w:rsidRPr="00DD0422">
              <w:rPr>
                <w:rFonts w:cs="Calibri"/>
                <w:sz w:val="20"/>
              </w:rPr>
              <w:t>12 000,00</w:t>
            </w:r>
          </w:p>
        </w:tc>
        <w:tc>
          <w:tcPr>
            <w:tcW w:w="221" w:type="pct"/>
            <w:tcBorders>
              <w:top w:val="nil"/>
              <w:left w:val="nil"/>
              <w:bottom w:val="single" w:sz="4" w:space="0" w:color="auto"/>
              <w:right w:val="nil"/>
            </w:tcBorders>
            <w:shd w:val="clear" w:color="auto" w:fill="auto"/>
            <w:noWrap/>
            <w:vAlign w:val="bottom"/>
          </w:tcPr>
          <w:p w14:paraId="3C4A27B4" w14:textId="7C28C79E" w:rsidR="00DD0422" w:rsidRPr="00DD0422" w:rsidRDefault="00DD0422" w:rsidP="00DD0422">
            <w:pPr>
              <w:rPr>
                <w:rFonts w:cs="Calibri"/>
                <w:sz w:val="20"/>
              </w:rPr>
            </w:pPr>
          </w:p>
        </w:tc>
        <w:tc>
          <w:tcPr>
            <w:tcW w:w="532" w:type="pct"/>
            <w:tcBorders>
              <w:top w:val="nil"/>
              <w:left w:val="nil"/>
              <w:bottom w:val="single" w:sz="4" w:space="0" w:color="auto"/>
              <w:right w:val="nil"/>
            </w:tcBorders>
            <w:shd w:val="clear" w:color="auto" w:fill="auto"/>
            <w:noWrap/>
            <w:vAlign w:val="bottom"/>
          </w:tcPr>
          <w:p w14:paraId="03E20AD2" w14:textId="510D0940" w:rsidR="00DD0422" w:rsidRPr="00DD0422" w:rsidRDefault="00DD0422" w:rsidP="00DD0422">
            <w:pPr>
              <w:rPr>
                <w:rFonts w:cs="Calibri"/>
                <w:sz w:val="20"/>
              </w:rPr>
            </w:pPr>
          </w:p>
        </w:tc>
        <w:tc>
          <w:tcPr>
            <w:tcW w:w="581" w:type="pct"/>
            <w:tcBorders>
              <w:top w:val="nil"/>
              <w:left w:val="nil"/>
              <w:bottom w:val="single" w:sz="4" w:space="0" w:color="auto"/>
              <w:right w:val="nil"/>
            </w:tcBorders>
            <w:shd w:val="clear" w:color="auto" w:fill="auto"/>
            <w:noWrap/>
            <w:vAlign w:val="bottom"/>
          </w:tcPr>
          <w:p w14:paraId="11C5D962" w14:textId="2A95D4AF" w:rsidR="00DD0422" w:rsidRPr="00DD0422" w:rsidRDefault="00DD0422" w:rsidP="00DD0422">
            <w:pPr>
              <w:rPr>
                <w:rFonts w:cs="Calibri"/>
                <w:sz w:val="20"/>
              </w:rPr>
            </w:pPr>
          </w:p>
        </w:tc>
      </w:tr>
      <w:tr w:rsidR="00DD0422" w:rsidRPr="00DD0422" w14:paraId="105ED6EE" w14:textId="77777777" w:rsidTr="00606717">
        <w:trPr>
          <w:trHeight w:val="255"/>
        </w:trPr>
        <w:tc>
          <w:tcPr>
            <w:tcW w:w="2866" w:type="pct"/>
            <w:gridSpan w:val="5"/>
            <w:tcBorders>
              <w:top w:val="single" w:sz="4" w:space="0" w:color="auto"/>
              <w:left w:val="nil"/>
              <w:bottom w:val="nil"/>
              <w:right w:val="nil"/>
            </w:tcBorders>
            <w:shd w:val="clear" w:color="000000" w:fill="C0C0C0"/>
            <w:noWrap/>
            <w:vAlign w:val="bottom"/>
            <w:hideMark/>
          </w:tcPr>
          <w:p w14:paraId="70EAECD1" w14:textId="77777777" w:rsidR="00DD0422" w:rsidRPr="00DD0422" w:rsidRDefault="00DD0422" w:rsidP="00DD0422">
            <w:pPr>
              <w:rPr>
                <w:rFonts w:cs="Calibri"/>
                <w:b/>
                <w:bCs/>
                <w:sz w:val="20"/>
              </w:rPr>
            </w:pPr>
            <w:r w:rsidRPr="00DD0422">
              <w:rPr>
                <w:rFonts w:cs="Calibri"/>
                <w:b/>
                <w:bCs/>
                <w:sz w:val="20"/>
              </w:rPr>
              <w:t xml:space="preserve"> Celkem Kč</w:t>
            </w:r>
          </w:p>
        </w:tc>
        <w:tc>
          <w:tcPr>
            <w:tcW w:w="258" w:type="pct"/>
            <w:tcBorders>
              <w:top w:val="nil"/>
              <w:left w:val="nil"/>
              <w:bottom w:val="nil"/>
              <w:right w:val="nil"/>
            </w:tcBorders>
            <w:shd w:val="clear" w:color="000000" w:fill="C0C0C0"/>
            <w:noWrap/>
            <w:vAlign w:val="bottom"/>
            <w:hideMark/>
          </w:tcPr>
          <w:p w14:paraId="7F8BEFDA" w14:textId="77777777" w:rsidR="00DD0422" w:rsidRPr="00DD0422" w:rsidRDefault="00DD0422" w:rsidP="00DD0422">
            <w:pPr>
              <w:jc w:val="center"/>
              <w:rPr>
                <w:rFonts w:cs="Calibri"/>
                <w:b/>
                <w:bCs/>
                <w:sz w:val="20"/>
              </w:rPr>
            </w:pPr>
            <w:r w:rsidRPr="00DD0422">
              <w:rPr>
                <w:rFonts w:cs="Calibri"/>
                <w:b/>
                <w:bCs/>
                <w:sz w:val="20"/>
              </w:rPr>
              <w:t> </w:t>
            </w:r>
          </w:p>
        </w:tc>
        <w:tc>
          <w:tcPr>
            <w:tcW w:w="540" w:type="pct"/>
            <w:tcBorders>
              <w:top w:val="nil"/>
              <w:left w:val="nil"/>
              <w:bottom w:val="nil"/>
              <w:right w:val="nil"/>
            </w:tcBorders>
            <w:shd w:val="clear" w:color="000000" w:fill="C0C0C0"/>
            <w:noWrap/>
            <w:vAlign w:val="bottom"/>
            <w:hideMark/>
          </w:tcPr>
          <w:p w14:paraId="367D8DFC" w14:textId="77777777" w:rsidR="00DD0422" w:rsidRPr="00DD0422" w:rsidRDefault="00DD0422" w:rsidP="00DD0422">
            <w:pPr>
              <w:jc w:val="right"/>
              <w:rPr>
                <w:rFonts w:cs="Calibri"/>
                <w:b/>
                <w:bCs/>
                <w:sz w:val="20"/>
              </w:rPr>
            </w:pPr>
            <w:r w:rsidRPr="00DD0422">
              <w:rPr>
                <w:rFonts w:cs="Calibri"/>
                <w:b/>
                <w:bCs/>
                <w:sz w:val="20"/>
              </w:rPr>
              <w:t>12 000,00</w:t>
            </w:r>
          </w:p>
        </w:tc>
        <w:tc>
          <w:tcPr>
            <w:tcW w:w="221" w:type="pct"/>
            <w:tcBorders>
              <w:top w:val="nil"/>
              <w:left w:val="nil"/>
              <w:bottom w:val="nil"/>
              <w:right w:val="nil"/>
            </w:tcBorders>
            <w:shd w:val="clear" w:color="000000" w:fill="C0C0C0"/>
            <w:noWrap/>
            <w:vAlign w:val="bottom"/>
          </w:tcPr>
          <w:p w14:paraId="09BCC5E8" w14:textId="3DF1117F" w:rsidR="00DD0422" w:rsidRPr="00DD0422" w:rsidRDefault="00DD0422" w:rsidP="00DD0422">
            <w:pPr>
              <w:jc w:val="center"/>
              <w:rPr>
                <w:rFonts w:cs="Calibri"/>
                <w:b/>
                <w:bCs/>
                <w:sz w:val="20"/>
              </w:rPr>
            </w:pPr>
          </w:p>
        </w:tc>
        <w:tc>
          <w:tcPr>
            <w:tcW w:w="532" w:type="pct"/>
            <w:tcBorders>
              <w:top w:val="nil"/>
              <w:left w:val="nil"/>
              <w:bottom w:val="nil"/>
              <w:right w:val="nil"/>
            </w:tcBorders>
            <w:shd w:val="clear" w:color="000000" w:fill="C0C0C0"/>
            <w:noWrap/>
            <w:vAlign w:val="bottom"/>
          </w:tcPr>
          <w:p w14:paraId="2A010217" w14:textId="7AC04A58" w:rsidR="00DD0422" w:rsidRPr="00DD0422" w:rsidRDefault="00DD0422" w:rsidP="00DD0422">
            <w:pPr>
              <w:jc w:val="right"/>
              <w:rPr>
                <w:rFonts w:cs="Calibri"/>
                <w:b/>
                <w:bCs/>
                <w:sz w:val="20"/>
              </w:rPr>
            </w:pPr>
          </w:p>
        </w:tc>
        <w:tc>
          <w:tcPr>
            <w:tcW w:w="581" w:type="pct"/>
            <w:tcBorders>
              <w:top w:val="nil"/>
              <w:left w:val="nil"/>
              <w:bottom w:val="nil"/>
              <w:right w:val="nil"/>
            </w:tcBorders>
            <w:shd w:val="clear" w:color="000000" w:fill="C0C0C0"/>
            <w:noWrap/>
            <w:vAlign w:val="bottom"/>
          </w:tcPr>
          <w:p w14:paraId="03B9F7AA" w14:textId="437F03C4" w:rsidR="00DD0422" w:rsidRPr="00DD0422" w:rsidRDefault="00DD0422" w:rsidP="00DD0422">
            <w:pPr>
              <w:jc w:val="right"/>
              <w:rPr>
                <w:rFonts w:cs="Calibri"/>
                <w:b/>
                <w:bCs/>
                <w:sz w:val="20"/>
              </w:rPr>
            </w:pPr>
          </w:p>
        </w:tc>
      </w:tr>
    </w:tbl>
    <w:p w14:paraId="470C9983" w14:textId="496A0497" w:rsidR="00DD0422" w:rsidRDefault="00DD0422" w:rsidP="00135431">
      <w:pPr>
        <w:pStyle w:val="Odstavecseseznamem"/>
        <w:rPr>
          <w:rFonts w:ascii="Cambria" w:hAnsi="Cambria"/>
          <w:b/>
          <w:bCs/>
          <w:sz w:val="22"/>
          <w:szCs w:val="22"/>
        </w:rPr>
      </w:pPr>
    </w:p>
    <w:p w14:paraId="07E4EC00" w14:textId="09B3D8EA" w:rsidR="00214C1E" w:rsidRDefault="00214C1E" w:rsidP="00214C1E">
      <w:pPr>
        <w:tabs>
          <w:tab w:val="left" w:pos="-306"/>
          <w:tab w:val="left" w:pos="284"/>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rFonts w:cs="Calibri"/>
          <w:sz w:val="20"/>
        </w:rPr>
      </w:pPr>
      <w:r w:rsidRPr="00486D33">
        <w:rPr>
          <w:rFonts w:cs="Calibri"/>
          <w:sz w:val="20"/>
        </w:rPr>
        <w:t>Pozn.:</w:t>
      </w:r>
    </w:p>
    <w:p w14:paraId="78EF0BBB" w14:textId="20B73DBF" w:rsidR="00C47CB8" w:rsidRPr="00214C1E" w:rsidRDefault="00214C1E" w:rsidP="00214C1E">
      <w:pPr>
        <w:tabs>
          <w:tab w:val="left" w:pos="-306"/>
          <w:tab w:val="left" w:pos="284"/>
          <w:tab w:val="left" w:pos="709"/>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rFonts w:cs="Calibri"/>
          <w:sz w:val="20"/>
        </w:rPr>
      </w:pPr>
      <w:r>
        <w:rPr>
          <w:rFonts w:cs="Calibri"/>
          <w:sz w:val="20"/>
        </w:rPr>
        <w:tab/>
        <w:t>1.</w:t>
      </w:r>
      <w:r>
        <w:rPr>
          <w:rFonts w:cs="Calibri"/>
          <w:sz w:val="20"/>
        </w:rPr>
        <w:tab/>
        <w:t>V uvedené ceně je zahrnuta roční uživatelská podpora.</w:t>
      </w:r>
    </w:p>
    <w:p w14:paraId="585D2DD3" w14:textId="37951C81" w:rsidR="00214C1E" w:rsidRDefault="00214C1E" w:rsidP="00214C1E">
      <w:pPr>
        <w:pStyle w:val="Odstavecseseznamem"/>
        <w:rPr>
          <w:rFonts w:ascii="Cambria" w:hAnsi="Cambria"/>
          <w:b/>
          <w:bCs/>
          <w:sz w:val="22"/>
          <w:szCs w:val="22"/>
        </w:rPr>
      </w:pPr>
    </w:p>
    <w:p w14:paraId="6E734160" w14:textId="77777777" w:rsidR="00CD5BC6" w:rsidRDefault="00CD5BC6" w:rsidP="00214C1E">
      <w:pPr>
        <w:pStyle w:val="Odstavecseseznamem"/>
        <w:rPr>
          <w:rFonts w:ascii="Cambria" w:hAnsi="Cambria"/>
          <w:b/>
          <w:bCs/>
          <w:sz w:val="22"/>
          <w:szCs w:val="22"/>
        </w:rPr>
      </w:pPr>
    </w:p>
    <w:p w14:paraId="6DD3B398" w14:textId="2F54A95A" w:rsidR="00C47CB8" w:rsidRDefault="00C47CB8" w:rsidP="00C47CB8">
      <w:pPr>
        <w:pStyle w:val="Odstavecseseznamem"/>
        <w:numPr>
          <w:ilvl w:val="1"/>
          <w:numId w:val="7"/>
        </w:numPr>
        <w:spacing w:after="200" w:line="276" w:lineRule="auto"/>
        <w:rPr>
          <w:rFonts w:ascii="Cambria" w:hAnsi="Cambria"/>
          <w:b/>
          <w:bCs/>
          <w:sz w:val="22"/>
          <w:szCs w:val="22"/>
        </w:rPr>
      </w:pPr>
      <w:r>
        <w:rPr>
          <w:rFonts w:ascii="Cambria" w:hAnsi="Cambria"/>
          <w:b/>
          <w:bCs/>
          <w:sz w:val="22"/>
          <w:szCs w:val="22"/>
        </w:rPr>
        <w:t>Rozšiřující software</w:t>
      </w:r>
      <w:r w:rsidR="00E36A3E">
        <w:rPr>
          <w:rFonts w:ascii="Cambria" w:hAnsi="Cambria"/>
          <w:b/>
          <w:bCs/>
          <w:sz w:val="22"/>
          <w:szCs w:val="22"/>
        </w:rPr>
        <w:t xml:space="preserve"> DB MS SQL Server - „vázaná licence“</w:t>
      </w:r>
    </w:p>
    <w:p w14:paraId="4851F602" w14:textId="0B57859E" w:rsidR="008056FA" w:rsidRDefault="008056FA" w:rsidP="00135431">
      <w:pPr>
        <w:pStyle w:val="Odstavecseseznamem"/>
        <w:rPr>
          <w:rFonts w:ascii="Cambria" w:hAnsi="Cambria"/>
          <w:b/>
          <w:bCs/>
          <w:sz w:val="22"/>
          <w:szCs w:val="22"/>
        </w:rPr>
      </w:pPr>
    </w:p>
    <w:tbl>
      <w:tblPr>
        <w:tblW w:w="5000" w:type="pct"/>
        <w:tblCellMar>
          <w:left w:w="70" w:type="dxa"/>
          <w:right w:w="70" w:type="dxa"/>
        </w:tblCellMar>
        <w:tblLook w:val="04A0" w:firstRow="1" w:lastRow="0" w:firstColumn="1" w:lastColumn="0" w:noHBand="0" w:noVBand="1"/>
      </w:tblPr>
      <w:tblGrid>
        <w:gridCol w:w="6079"/>
        <w:gridCol w:w="561"/>
        <w:gridCol w:w="1143"/>
        <w:gridCol w:w="467"/>
        <w:gridCol w:w="1126"/>
        <w:gridCol w:w="1230"/>
      </w:tblGrid>
      <w:tr w:rsidR="008056FA" w:rsidRPr="008056FA" w14:paraId="3EB5065F" w14:textId="77777777" w:rsidTr="00606717">
        <w:trPr>
          <w:trHeight w:val="255"/>
        </w:trPr>
        <w:tc>
          <w:tcPr>
            <w:tcW w:w="2866" w:type="pct"/>
            <w:tcBorders>
              <w:top w:val="nil"/>
              <w:left w:val="nil"/>
              <w:bottom w:val="nil"/>
              <w:right w:val="nil"/>
            </w:tcBorders>
            <w:shd w:val="clear" w:color="auto" w:fill="auto"/>
            <w:noWrap/>
            <w:vAlign w:val="bottom"/>
            <w:hideMark/>
          </w:tcPr>
          <w:p w14:paraId="1CD84D37" w14:textId="77777777" w:rsidR="008056FA" w:rsidRPr="008056FA" w:rsidRDefault="008056FA" w:rsidP="008056FA">
            <w:pPr>
              <w:rPr>
                <w:rFonts w:cs="Calibri"/>
                <w:b/>
                <w:bCs/>
                <w:sz w:val="18"/>
                <w:szCs w:val="18"/>
              </w:rPr>
            </w:pPr>
            <w:r w:rsidRPr="008056FA">
              <w:rPr>
                <w:rFonts w:cs="Calibri"/>
                <w:b/>
                <w:bCs/>
                <w:sz w:val="18"/>
                <w:szCs w:val="18"/>
              </w:rPr>
              <w:t>Název</w:t>
            </w:r>
          </w:p>
        </w:tc>
        <w:tc>
          <w:tcPr>
            <w:tcW w:w="258" w:type="pct"/>
            <w:tcBorders>
              <w:top w:val="nil"/>
              <w:left w:val="nil"/>
              <w:bottom w:val="nil"/>
              <w:right w:val="nil"/>
            </w:tcBorders>
            <w:shd w:val="clear" w:color="auto" w:fill="auto"/>
            <w:noWrap/>
            <w:vAlign w:val="bottom"/>
            <w:hideMark/>
          </w:tcPr>
          <w:p w14:paraId="3116E969" w14:textId="77777777" w:rsidR="008056FA" w:rsidRPr="008056FA" w:rsidRDefault="008056FA" w:rsidP="008056FA">
            <w:pPr>
              <w:jc w:val="center"/>
              <w:rPr>
                <w:rFonts w:cs="Calibri"/>
                <w:b/>
                <w:bCs/>
                <w:sz w:val="18"/>
                <w:szCs w:val="18"/>
              </w:rPr>
            </w:pPr>
            <w:r w:rsidRPr="008056FA">
              <w:rPr>
                <w:rFonts w:cs="Calibri"/>
                <w:b/>
                <w:bCs/>
                <w:sz w:val="18"/>
                <w:szCs w:val="18"/>
              </w:rPr>
              <w:t>Počet</w:t>
            </w:r>
          </w:p>
        </w:tc>
        <w:tc>
          <w:tcPr>
            <w:tcW w:w="540" w:type="pct"/>
            <w:tcBorders>
              <w:top w:val="nil"/>
              <w:left w:val="nil"/>
              <w:bottom w:val="nil"/>
              <w:right w:val="nil"/>
            </w:tcBorders>
            <w:shd w:val="clear" w:color="auto" w:fill="auto"/>
            <w:noWrap/>
            <w:vAlign w:val="bottom"/>
            <w:hideMark/>
          </w:tcPr>
          <w:p w14:paraId="57051DFC" w14:textId="77777777" w:rsidR="008056FA" w:rsidRPr="008056FA" w:rsidRDefault="008056FA" w:rsidP="008056FA">
            <w:pPr>
              <w:jc w:val="center"/>
              <w:rPr>
                <w:rFonts w:cs="Calibri"/>
                <w:b/>
                <w:bCs/>
                <w:sz w:val="18"/>
                <w:szCs w:val="18"/>
              </w:rPr>
            </w:pPr>
            <w:r w:rsidRPr="008056FA">
              <w:rPr>
                <w:rFonts w:cs="Calibri"/>
                <w:b/>
                <w:bCs/>
                <w:sz w:val="18"/>
                <w:szCs w:val="18"/>
              </w:rPr>
              <w:t>Cena</w:t>
            </w:r>
          </w:p>
        </w:tc>
        <w:tc>
          <w:tcPr>
            <w:tcW w:w="221" w:type="pct"/>
            <w:tcBorders>
              <w:top w:val="nil"/>
              <w:left w:val="nil"/>
              <w:bottom w:val="nil"/>
              <w:right w:val="nil"/>
            </w:tcBorders>
            <w:shd w:val="clear" w:color="auto" w:fill="auto"/>
            <w:noWrap/>
            <w:vAlign w:val="bottom"/>
          </w:tcPr>
          <w:p w14:paraId="7A5C3944" w14:textId="4F57656B" w:rsidR="008056FA" w:rsidRPr="008056FA" w:rsidRDefault="008056FA" w:rsidP="008056FA">
            <w:pPr>
              <w:jc w:val="center"/>
              <w:rPr>
                <w:rFonts w:cs="Calibri"/>
                <w:b/>
                <w:bCs/>
                <w:sz w:val="18"/>
                <w:szCs w:val="18"/>
              </w:rPr>
            </w:pPr>
          </w:p>
        </w:tc>
        <w:tc>
          <w:tcPr>
            <w:tcW w:w="532" w:type="pct"/>
            <w:tcBorders>
              <w:top w:val="nil"/>
              <w:left w:val="nil"/>
              <w:bottom w:val="nil"/>
              <w:right w:val="nil"/>
            </w:tcBorders>
            <w:shd w:val="clear" w:color="auto" w:fill="auto"/>
            <w:noWrap/>
            <w:vAlign w:val="bottom"/>
          </w:tcPr>
          <w:p w14:paraId="3F0DD50C" w14:textId="753D64F8" w:rsidR="008056FA" w:rsidRPr="008056FA" w:rsidRDefault="008056FA" w:rsidP="008056FA">
            <w:pPr>
              <w:jc w:val="center"/>
              <w:rPr>
                <w:rFonts w:cs="Calibri"/>
                <w:b/>
                <w:bCs/>
                <w:sz w:val="18"/>
                <w:szCs w:val="18"/>
              </w:rPr>
            </w:pPr>
          </w:p>
        </w:tc>
        <w:tc>
          <w:tcPr>
            <w:tcW w:w="581" w:type="pct"/>
            <w:tcBorders>
              <w:top w:val="nil"/>
              <w:left w:val="nil"/>
              <w:bottom w:val="nil"/>
              <w:right w:val="nil"/>
            </w:tcBorders>
            <w:shd w:val="clear" w:color="auto" w:fill="auto"/>
            <w:noWrap/>
            <w:vAlign w:val="bottom"/>
          </w:tcPr>
          <w:p w14:paraId="10B30434" w14:textId="65EAA15D" w:rsidR="008056FA" w:rsidRPr="008056FA" w:rsidRDefault="008056FA" w:rsidP="008056FA">
            <w:pPr>
              <w:jc w:val="center"/>
              <w:rPr>
                <w:rFonts w:cs="Calibri"/>
                <w:b/>
                <w:bCs/>
                <w:sz w:val="18"/>
                <w:szCs w:val="18"/>
              </w:rPr>
            </w:pPr>
          </w:p>
        </w:tc>
      </w:tr>
      <w:tr w:rsidR="008056FA" w:rsidRPr="008056FA" w14:paraId="5BEC6B95" w14:textId="77777777" w:rsidTr="00606717">
        <w:trPr>
          <w:trHeight w:val="255"/>
        </w:trPr>
        <w:tc>
          <w:tcPr>
            <w:tcW w:w="2866" w:type="pct"/>
            <w:tcBorders>
              <w:top w:val="nil"/>
              <w:left w:val="nil"/>
              <w:bottom w:val="single" w:sz="4" w:space="0" w:color="auto"/>
              <w:right w:val="nil"/>
            </w:tcBorders>
            <w:shd w:val="clear" w:color="auto" w:fill="auto"/>
            <w:noWrap/>
            <w:vAlign w:val="bottom"/>
            <w:hideMark/>
          </w:tcPr>
          <w:p w14:paraId="41C24F4A" w14:textId="77777777" w:rsidR="008056FA" w:rsidRPr="008056FA" w:rsidRDefault="008056FA" w:rsidP="008056FA">
            <w:pPr>
              <w:rPr>
                <w:rFonts w:cs="Calibri"/>
                <w:b/>
                <w:bCs/>
                <w:sz w:val="18"/>
                <w:szCs w:val="18"/>
              </w:rPr>
            </w:pPr>
            <w:r w:rsidRPr="008056FA">
              <w:rPr>
                <w:rFonts w:cs="Calibri"/>
                <w:b/>
                <w:bCs/>
                <w:sz w:val="18"/>
                <w:szCs w:val="18"/>
              </w:rPr>
              <w:t> </w:t>
            </w:r>
          </w:p>
        </w:tc>
        <w:tc>
          <w:tcPr>
            <w:tcW w:w="258" w:type="pct"/>
            <w:tcBorders>
              <w:top w:val="nil"/>
              <w:left w:val="nil"/>
              <w:bottom w:val="single" w:sz="4" w:space="0" w:color="auto"/>
              <w:right w:val="nil"/>
            </w:tcBorders>
            <w:shd w:val="clear" w:color="auto" w:fill="auto"/>
            <w:noWrap/>
            <w:vAlign w:val="bottom"/>
            <w:hideMark/>
          </w:tcPr>
          <w:p w14:paraId="5668AF7C" w14:textId="77777777" w:rsidR="008056FA" w:rsidRPr="008056FA" w:rsidRDefault="008056FA" w:rsidP="008056FA">
            <w:pPr>
              <w:jc w:val="center"/>
              <w:rPr>
                <w:rFonts w:cs="Calibri"/>
                <w:b/>
                <w:bCs/>
                <w:sz w:val="18"/>
                <w:szCs w:val="18"/>
              </w:rPr>
            </w:pPr>
            <w:r w:rsidRPr="008056FA">
              <w:rPr>
                <w:rFonts w:cs="Calibri"/>
                <w:b/>
                <w:bCs/>
                <w:sz w:val="18"/>
                <w:szCs w:val="18"/>
              </w:rPr>
              <w:t>lic.</w:t>
            </w:r>
          </w:p>
        </w:tc>
        <w:tc>
          <w:tcPr>
            <w:tcW w:w="540" w:type="pct"/>
            <w:tcBorders>
              <w:top w:val="nil"/>
              <w:left w:val="nil"/>
              <w:bottom w:val="single" w:sz="4" w:space="0" w:color="auto"/>
              <w:right w:val="nil"/>
            </w:tcBorders>
            <w:shd w:val="clear" w:color="auto" w:fill="auto"/>
            <w:noWrap/>
            <w:vAlign w:val="bottom"/>
            <w:hideMark/>
          </w:tcPr>
          <w:p w14:paraId="09210D94" w14:textId="77777777" w:rsidR="008056FA" w:rsidRPr="008056FA" w:rsidRDefault="008056FA" w:rsidP="008056FA">
            <w:pPr>
              <w:jc w:val="center"/>
              <w:rPr>
                <w:rFonts w:cs="Calibri"/>
                <w:b/>
                <w:bCs/>
                <w:sz w:val="18"/>
                <w:szCs w:val="18"/>
              </w:rPr>
            </w:pPr>
            <w:r w:rsidRPr="008056FA">
              <w:rPr>
                <w:rFonts w:cs="Calibri"/>
                <w:b/>
                <w:bCs/>
                <w:sz w:val="18"/>
                <w:szCs w:val="18"/>
              </w:rPr>
              <w:t>Kč</w:t>
            </w:r>
          </w:p>
        </w:tc>
        <w:tc>
          <w:tcPr>
            <w:tcW w:w="221" w:type="pct"/>
            <w:tcBorders>
              <w:top w:val="nil"/>
              <w:left w:val="nil"/>
              <w:bottom w:val="single" w:sz="4" w:space="0" w:color="auto"/>
              <w:right w:val="nil"/>
            </w:tcBorders>
            <w:shd w:val="clear" w:color="auto" w:fill="auto"/>
            <w:noWrap/>
            <w:vAlign w:val="bottom"/>
          </w:tcPr>
          <w:p w14:paraId="54129EF6" w14:textId="0D8079A9" w:rsidR="008056FA" w:rsidRPr="008056FA" w:rsidRDefault="008056FA" w:rsidP="008056FA">
            <w:pPr>
              <w:jc w:val="center"/>
              <w:rPr>
                <w:rFonts w:cs="Calibri"/>
                <w:b/>
                <w:bCs/>
                <w:sz w:val="18"/>
                <w:szCs w:val="18"/>
              </w:rPr>
            </w:pPr>
          </w:p>
        </w:tc>
        <w:tc>
          <w:tcPr>
            <w:tcW w:w="532" w:type="pct"/>
            <w:tcBorders>
              <w:top w:val="nil"/>
              <w:left w:val="nil"/>
              <w:bottom w:val="single" w:sz="4" w:space="0" w:color="auto"/>
              <w:right w:val="nil"/>
            </w:tcBorders>
            <w:shd w:val="clear" w:color="auto" w:fill="auto"/>
            <w:noWrap/>
            <w:vAlign w:val="bottom"/>
          </w:tcPr>
          <w:p w14:paraId="6969260C" w14:textId="6D2A5EB7" w:rsidR="008056FA" w:rsidRPr="008056FA" w:rsidRDefault="008056FA" w:rsidP="008056FA">
            <w:pPr>
              <w:jc w:val="center"/>
              <w:rPr>
                <w:rFonts w:cs="Calibri"/>
                <w:b/>
                <w:bCs/>
                <w:sz w:val="18"/>
                <w:szCs w:val="18"/>
              </w:rPr>
            </w:pPr>
          </w:p>
        </w:tc>
        <w:tc>
          <w:tcPr>
            <w:tcW w:w="581" w:type="pct"/>
            <w:tcBorders>
              <w:top w:val="nil"/>
              <w:left w:val="nil"/>
              <w:bottom w:val="single" w:sz="4" w:space="0" w:color="auto"/>
              <w:right w:val="nil"/>
            </w:tcBorders>
            <w:shd w:val="clear" w:color="auto" w:fill="auto"/>
            <w:noWrap/>
            <w:vAlign w:val="bottom"/>
          </w:tcPr>
          <w:p w14:paraId="01E57CAB" w14:textId="66DAA64A" w:rsidR="008056FA" w:rsidRPr="008056FA" w:rsidRDefault="008056FA" w:rsidP="008056FA">
            <w:pPr>
              <w:jc w:val="center"/>
              <w:rPr>
                <w:rFonts w:cs="Calibri"/>
                <w:b/>
                <w:bCs/>
                <w:sz w:val="18"/>
                <w:szCs w:val="18"/>
              </w:rPr>
            </w:pPr>
          </w:p>
        </w:tc>
      </w:tr>
      <w:tr w:rsidR="008056FA" w:rsidRPr="008056FA" w14:paraId="5FC28BEE" w14:textId="77777777" w:rsidTr="00606717">
        <w:trPr>
          <w:trHeight w:val="255"/>
        </w:trPr>
        <w:tc>
          <w:tcPr>
            <w:tcW w:w="2866" w:type="pct"/>
            <w:tcBorders>
              <w:top w:val="single" w:sz="4" w:space="0" w:color="auto"/>
              <w:left w:val="nil"/>
              <w:bottom w:val="nil"/>
              <w:right w:val="nil"/>
            </w:tcBorders>
            <w:shd w:val="clear" w:color="auto" w:fill="auto"/>
            <w:noWrap/>
            <w:vAlign w:val="bottom"/>
            <w:hideMark/>
          </w:tcPr>
          <w:p w14:paraId="17E82D91" w14:textId="3D18F16E" w:rsidR="008056FA" w:rsidRPr="008056FA" w:rsidRDefault="008056FA" w:rsidP="008056FA">
            <w:pPr>
              <w:rPr>
                <w:rFonts w:cs="Calibri"/>
                <w:b/>
                <w:bCs/>
                <w:sz w:val="20"/>
              </w:rPr>
            </w:pPr>
            <w:r w:rsidRPr="008056FA">
              <w:rPr>
                <w:rFonts w:cs="Calibri"/>
                <w:b/>
                <w:bCs/>
                <w:sz w:val="20"/>
              </w:rPr>
              <w:t xml:space="preserve">DB MS SQL Server </w:t>
            </w:r>
            <w:r w:rsidR="003F036E" w:rsidRPr="008056FA">
              <w:rPr>
                <w:rFonts w:cs="Calibri"/>
                <w:b/>
                <w:bCs/>
                <w:sz w:val="20"/>
              </w:rPr>
              <w:t>201</w:t>
            </w:r>
            <w:r w:rsidR="003F036E">
              <w:rPr>
                <w:rFonts w:cs="Calibri"/>
                <w:b/>
                <w:bCs/>
                <w:sz w:val="20"/>
              </w:rPr>
              <w:t>9</w:t>
            </w:r>
          </w:p>
        </w:tc>
        <w:tc>
          <w:tcPr>
            <w:tcW w:w="258" w:type="pct"/>
            <w:tcBorders>
              <w:top w:val="nil"/>
              <w:left w:val="nil"/>
              <w:bottom w:val="nil"/>
              <w:right w:val="nil"/>
            </w:tcBorders>
            <w:shd w:val="clear" w:color="auto" w:fill="auto"/>
            <w:noWrap/>
            <w:vAlign w:val="bottom"/>
            <w:hideMark/>
          </w:tcPr>
          <w:p w14:paraId="4128D683" w14:textId="77777777" w:rsidR="008056FA" w:rsidRPr="008056FA" w:rsidRDefault="008056FA" w:rsidP="008056FA">
            <w:pPr>
              <w:rPr>
                <w:rFonts w:cs="Calibri"/>
                <w:b/>
                <w:bCs/>
                <w:sz w:val="20"/>
              </w:rPr>
            </w:pPr>
          </w:p>
        </w:tc>
        <w:tc>
          <w:tcPr>
            <w:tcW w:w="540" w:type="pct"/>
            <w:tcBorders>
              <w:top w:val="nil"/>
              <w:left w:val="nil"/>
              <w:bottom w:val="nil"/>
              <w:right w:val="nil"/>
            </w:tcBorders>
            <w:shd w:val="clear" w:color="auto" w:fill="auto"/>
            <w:noWrap/>
            <w:vAlign w:val="bottom"/>
            <w:hideMark/>
          </w:tcPr>
          <w:p w14:paraId="56BA3A54" w14:textId="77777777" w:rsidR="008056FA" w:rsidRPr="008056FA" w:rsidRDefault="008056FA" w:rsidP="008056FA">
            <w:pPr>
              <w:jc w:val="center"/>
              <w:rPr>
                <w:rFonts w:cs="Calibri"/>
                <w:sz w:val="20"/>
              </w:rPr>
            </w:pPr>
          </w:p>
        </w:tc>
        <w:tc>
          <w:tcPr>
            <w:tcW w:w="221" w:type="pct"/>
            <w:tcBorders>
              <w:top w:val="nil"/>
              <w:left w:val="nil"/>
              <w:bottom w:val="nil"/>
              <w:right w:val="nil"/>
            </w:tcBorders>
            <w:shd w:val="clear" w:color="auto" w:fill="auto"/>
            <w:noWrap/>
            <w:vAlign w:val="bottom"/>
          </w:tcPr>
          <w:p w14:paraId="415C8115" w14:textId="77777777" w:rsidR="008056FA" w:rsidRPr="008056FA" w:rsidRDefault="008056FA" w:rsidP="008056FA">
            <w:pPr>
              <w:rPr>
                <w:rFonts w:cs="Calibri"/>
                <w:sz w:val="20"/>
              </w:rPr>
            </w:pPr>
          </w:p>
        </w:tc>
        <w:tc>
          <w:tcPr>
            <w:tcW w:w="532" w:type="pct"/>
            <w:tcBorders>
              <w:top w:val="nil"/>
              <w:left w:val="nil"/>
              <w:bottom w:val="nil"/>
              <w:right w:val="nil"/>
            </w:tcBorders>
            <w:shd w:val="clear" w:color="auto" w:fill="auto"/>
            <w:noWrap/>
            <w:vAlign w:val="bottom"/>
          </w:tcPr>
          <w:p w14:paraId="14D0D0EF" w14:textId="77777777" w:rsidR="008056FA" w:rsidRPr="008056FA" w:rsidRDefault="008056FA" w:rsidP="008056FA">
            <w:pPr>
              <w:rPr>
                <w:rFonts w:cs="Calibri"/>
                <w:sz w:val="20"/>
              </w:rPr>
            </w:pPr>
          </w:p>
        </w:tc>
        <w:tc>
          <w:tcPr>
            <w:tcW w:w="581" w:type="pct"/>
            <w:tcBorders>
              <w:top w:val="nil"/>
              <w:left w:val="nil"/>
              <w:bottom w:val="nil"/>
              <w:right w:val="nil"/>
            </w:tcBorders>
            <w:shd w:val="clear" w:color="auto" w:fill="auto"/>
            <w:noWrap/>
            <w:vAlign w:val="bottom"/>
          </w:tcPr>
          <w:p w14:paraId="29EC0D2F" w14:textId="77777777" w:rsidR="008056FA" w:rsidRPr="008056FA" w:rsidRDefault="008056FA" w:rsidP="008056FA">
            <w:pPr>
              <w:rPr>
                <w:rFonts w:cs="Calibri"/>
                <w:sz w:val="20"/>
              </w:rPr>
            </w:pPr>
          </w:p>
        </w:tc>
      </w:tr>
      <w:tr w:rsidR="008056FA" w:rsidRPr="008056FA" w14:paraId="53F03A0E" w14:textId="77777777" w:rsidTr="00606717">
        <w:trPr>
          <w:trHeight w:val="255"/>
        </w:trPr>
        <w:tc>
          <w:tcPr>
            <w:tcW w:w="2866" w:type="pct"/>
            <w:tcBorders>
              <w:top w:val="nil"/>
              <w:left w:val="nil"/>
              <w:bottom w:val="nil"/>
              <w:right w:val="nil"/>
            </w:tcBorders>
            <w:shd w:val="clear" w:color="auto" w:fill="auto"/>
            <w:noWrap/>
            <w:vAlign w:val="bottom"/>
            <w:hideMark/>
          </w:tcPr>
          <w:p w14:paraId="457F0AB8" w14:textId="00F2E1AE" w:rsidR="008056FA" w:rsidRPr="008056FA" w:rsidRDefault="008056FA" w:rsidP="008056FA">
            <w:pPr>
              <w:rPr>
                <w:rFonts w:cs="Calibri"/>
                <w:sz w:val="20"/>
              </w:rPr>
            </w:pPr>
            <w:r w:rsidRPr="008056FA">
              <w:rPr>
                <w:rFonts w:cs="Calibri"/>
                <w:sz w:val="20"/>
              </w:rPr>
              <w:t xml:space="preserve">SQLSvrStdRuntime </w:t>
            </w:r>
            <w:r w:rsidR="003F036E" w:rsidRPr="008056FA">
              <w:rPr>
                <w:rFonts w:cs="Calibri"/>
                <w:sz w:val="20"/>
              </w:rPr>
              <w:t>201</w:t>
            </w:r>
            <w:r w:rsidR="003F036E">
              <w:rPr>
                <w:rFonts w:cs="Calibri"/>
                <w:sz w:val="20"/>
              </w:rPr>
              <w:t>9</w:t>
            </w:r>
            <w:r w:rsidR="003F036E" w:rsidRPr="008056FA">
              <w:rPr>
                <w:rFonts w:cs="Calibri"/>
                <w:sz w:val="20"/>
              </w:rPr>
              <w:t xml:space="preserve"> </w:t>
            </w:r>
            <w:r w:rsidRPr="008056FA">
              <w:rPr>
                <w:rFonts w:cs="Calibri"/>
                <w:sz w:val="20"/>
              </w:rPr>
              <w:t>ALNG Emb MVL 1Clt</w:t>
            </w:r>
          </w:p>
        </w:tc>
        <w:tc>
          <w:tcPr>
            <w:tcW w:w="258" w:type="pct"/>
            <w:tcBorders>
              <w:top w:val="nil"/>
              <w:left w:val="nil"/>
              <w:bottom w:val="nil"/>
              <w:right w:val="nil"/>
            </w:tcBorders>
            <w:shd w:val="clear" w:color="auto" w:fill="auto"/>
            <w:noWrap/>
            <w:vAlign w:val="bottom"/>
            <w:hideMark/>
          </w:tcPr>
          <w:p w14:paraId="35CB05D8" w14:textId="77777777" w:rsidR="008056FA" w:rsidRPr="008056FA" w:rsidRDefault="008056FA" w:rsidP="008056FA">
            <w:pPr>
              <w:jc w:val="center"/>
              <w:rPr>
                <w:rFonts w:cs="Calibri"/>
                <w:sz w:val="20"/>
              </w:rPr>
            </w:pPr>
            <w:r w:rsidRPr="008056FA">
              <w:rPr>
                <w:rFonts w:cs="Calibri"/>
                <w:sz w:val="20"/>
              </w:rPr>
              <w:t>1</w:t>
            </w:r>
          </w:p>
        </w:tc>
        <w:tc>
          <w:tcPr>
            <w:tcW w:w="540" w:type="pct"/>
            <w:tcBorders>
              <w:top w:val="nil"/>
              <w:left w:val="nil"/>
              <w:bottom w:val="nil"/>
              <w:right w:val="nil"/>
            </w:tcBorders>
            <w:shd w:val="clear" w:color="auto" w:fill="auto"/>
            <w:noWrap/>
            <w:vAlign w:val="bottom"/>
            <w:hideMark/>
          </w:tcPr>
          <w:p w14:paraId="48ABF082" w14:textId="77777777" w:rsidR="008056FA" w:rsidRPr="008056FA" w:rsidRDefault="008056FA" w:rsidP="008056FA">
            <w:pPr>
              <w:jc w:val="right"/>
              <w:rPr>
                <w:rFonts w:cs="Calibri"/>
                <w:sz w:val="20"/>
              </w:rPr>
            </w:pPr>
            <w:r w:rsidRPr="008056FA">
              <w:rPr>
                <w:rFonts w:cs="Calibri"/>
                <w:sz w:val="20"/>
              </w:rPr>
              <w:t>2 864,00</w:t>
            </w:r>
          </w:p>
        </w:tc>
        <w:tc>
          <w:tcPr>
            <w:tcW w:w="221" w:type="pct"/>
            <w:tcBorders>
              <w:top w:val="nil"/>
              <w:left w:val="nil"/>
              <w:bottom w:val="nil"/>
              <w:right w:val="nil"/>
            </w:tcBorders>
            <w:shd w:val="clear" w:color="auto" w:fill="auto"/>
            <w:noWrap/>
            <w:vAlign w:val="bottom"/>
          </w:tcPr>
          <w:p w14:paraId="0736782F" w14:textId="77777777" w:rsidR="008056FA" w:rsidRPr="008056FA" w:rsidRDefault="008056FA" w:rsidP="008056FA">
            <w:pPr>
              <w:jc w:val="right"/>
              <w:rPr>
                <w:rFonts w:cs="Calibri"/>
                <w:sz w:val="20"/>
              </w:rPr>
            </w:pPr>
          </w:p>
        </w:tc>
        <w:tc>
          <w:tcPr>
            <w:tcW w:w="532" w:type="pct"/>
            <w:tcBorders>
              <w:top w:val="nil"/>
              <w:left w:val="nil"/>
              <w:bottom w:val="nil"/>
              <w:right w:val="nil"/>
            </w:tcBorders>
            <w:shd w:val="clear" w:color="auto" w:fill="auto"/>
            <w:noWrap/>
            <w:vAlign w:val="bottom"/>
          </w:tcPr>
          <w:p w14:paraId="4FAD4517" w14:textId="77777777" w:rsidR="008056FA" w:rsidRPr="008056FA" w:rsidRDefault="008056FA" w:rsidP="008056FA">
            <w:pPr>
              <w:rPr>
                <w:rFonts w:cs="Calibri"/>
                <w:sz w:val="20"/>
              </w:rPr>
            </w:pPr>
          </w:p>
        </w:tc>
        <w:tc>
          <w:tcPr>
            <w:tcW w:w="581" w:type="pct"/>
            <w:tcBorders>
              <w:top w:val="nil"/>
              <w:left w:val="nil"/>
              <w:bottom w:val="nil"/>
              <w:right w:val="nil"/>
            </w:tcBorders>
            <w:shd w:val="clear" w:color="auto" w:fill="auto"/>
            <w:noWrap/>
            <w:vAlign w:val="bottom"/>
          </w:tcPr>
          <w:p w14:paraId="45406F07" w14:textId="77777777" w:rsidR="008056FA" w:rsidRPr="008056FA" w:rsidRDefault="008056FA" w:rsidP="008056FA">
            <w:pPr>
              <w:rPr>
                <w:rFonts w:cs="Calibri"/>
                <w:sz w:val="20"/>
              </w:rPr>
            </w:pPr>
          </w:p>
        </w:tc>
      </w:tr>
      <w:tr w:rsidR="008056FA" w:rsidRPr="008056FA" w14:paraId="64E734E7" w14:textId="77777777" w:rsidTr="00606717">
        <w:trPr>
          <w:trHeight w:val="255"/>
        </w:trPr>
        <w:tc>
          <w:tcPr>
            <w:tcW w:w="2866" w:type="pct"/>
            <w:tcBorders>
              <w:top w:val="nil"/>
              <w:left w:val="nil"/>
              <w:bottom w:val="nil"/>
              <w:right w:val="nil"/>
            </w:tcBorders>
            <w:shd w:val="clear" w:color="auto" w:fill="auto"/>
            <w:noWrap/>
            <w:vAlign w:val="bottom"/>
            <w:hideMark/>
          </w:tcPr>
          <w:p w14:paraId="41F0151C" w14:textId="00C88617" w:rsidR="008056FA" w:rsidRPr="008056FA" w:rsidRDefault="008056FA" w:rsidP="008056FA">
            <w:pPr>
              <w:rPr>
                <w:rFonts w:cs="Calibri"/>
                <w:sz w:val="20"/>
              </w:rPr>
            </w:pPr>
            <w:r w:rsidRPr="008056FA">
              <w:rPr>
                <w:rFonts w:cs="Calibri"/>
                <w:sz w:val="20"/>
              </w:rPr>
              <w:t xml:space="preserve">SQLCALRuntime </w:t>
            </w:r>
            <w:r w:rsidR="003F036E" w:rsidRPr="008056FA">
              <w:rPr>
                <w:rFonts w:cs="Calibri"/>
                <w:sz w:val="20"/>
              </w:rPr>
              <w:t>201</w:t>
            </w:r>
            <w:r w:rsidR="003F036E">
              <w:rPr>
                <w:rFonts w:cs="Calibri"/>
                <w:sz w:val="20"/>
              </w:rPr>
              <w:t>9</w:t>
            </w:r>
            <w:r w:rsidR="003F036E" w:rsidRPr="008056FA">
              <w:rPr>
                <w:rFonts w:cs="Calibri"/>
                <w:sz w:val="20"/>
              </w:rPr>
              <w:t xml:space="preserve"> </w:t>
            </w:r>
            <w:r w:rsidRPr="008056FA">
              <w:rPr>
                <w:rFonts w:cs="Calibri"/>
                <w:sz w:val="20"/>
              </w:rPr>
              <w:t>ALNG Emb MVL Std</w:t>
            </w:r>
          </w:p>
        </w:tc>
        <w:tc>
          <w:tcPr>
            <w:tcW w:w="258" w:type="pct"/>
            <w:tcBorders>
              <w:top w:val="nil"/>
              <w:left w:val="nil"/>
              <w:bottom w:val="nil"/>
              <w:right w:val="nil"/>
            </w:tcBorders>
            <w:shd w:val="clear" w:color="auto" w:fill="auto"/>
            <w:noWrap/>
            <w:vAlign w:val="bottom"/>
            <w:hideMark/>
          </w:tcPr>
          <w:p w14:paraId="3266ADD6" w14:textId="77777777" w:rsidR="008056FA" w:rsidRPr="008056FA" w:rsidRDefault="008056FA" w:rsidP="008056FA">
            <w:pPr>
              <w:jc w:val="center"/>
              <w:rPr>
                <w:rFonts w:cs="Calibri"/>
                <w:sz w:val="20"/>
              </w:rPr>
            </w:pPr>
            <w:r w:rsidRPr="008056FA">
              <w:rPr>
                <w:rFonts w:cs="Calibri"/>
                <w:sz w:val="20"/>
              </w:rPr>
              <w:t>9</w:t>
            </w:r>
          </w:p>
        </w:tc>
        <w:tc>
          <w:tcPr>
            <w:tcW w:w="540" w:type="pct"/>
            <w:tcBorders>
              <w:top w:val="nil"/>
              <w:left w:val="nil"/>
              <w:bottom w:val="nil"/>
              <w:right w:val="nil"/>
            </w:tcBorders>
            <w:shd w:val="clear" w:color="auto" w:fill="auto"/>
            <w:noWrap/>
            <w:vAlign w:val="bottom"/>
            <w:hideMark/>
          </w:tcPr>
          <w:p w14:paraId="2827BC57" w14:textId="77777777" w:rsidR="008056FA" w:rsidRPr="008056FA" w:rsidRDefault="008056FA" w:rsidP="008056FA">
            <w:pPr>
              <w:jc w:val="right"/>
              <w:rPr>
                <w:rFonts w:cs="Calibri"/>
                <w:sz w:val="20"/>
              </w:rPr>
            </w:pPr>
            <w:r w:rsidRPr="008056FA">
              <w:rPr>
                <w:rFonts w:cs="Calibri"/>
                <w:sz w:val="20"/>
              </w:rPr>
              <w:t>25 772,00</w:t>
            </w:r>
          </w:p>
        </w:tc>
        <w:tc>
          <w:tcPr>
            <w:tcW w:w="221" w:type="pct"/>
            <w:tcBorders>
              <w:top w:val="nil"/>
              <w:left w:val="nil"/>
              <w:bottom w:val="nil"/>
              <w:right w:val="nil"/>
            </w:tcBorders>
            <w:shd w:val="clear" w:color="auto" w:fill="auto"/>
            <w:noWrap/>
            <w:vAlign w:val="bottom"/>
          </w:tcPr>
          <w:p w14:paraId="17712808" w14:textId="77777777" w:rsidR="008056FA" w:rsidRPr="008056FA" w:rsidRDefault="008056FA" w:rsidP="008056FA">
            <w:pPr>
              <w:jc w:val="right"/>
              <w:rPr>
                <w:rFonts w:cs="Calibri"/>
                <w:sz w:val="20"/>
              </w:rPr>
            </w:pPr>
          </w:p>
        </w:tc>
        <w:tc>
          <w:tcPr>
            <w:tcW w:w="532" w:type="pct"/>
            <w:tcBorders>
              <w:top w:val="nil"/>
              <w:left w:val="nil"/>
              <w:bottom w:val="nil"/>
              <w:right w:val="nil"/>
            </w:tcBorders>
            <w:shd w:val="clear" w:color="auto" w:fill="auto"/>
            <w:noWrap/>
            <w:vAlign w:val="bottom"/>
          </w:tcPr>
          <w:p w14:paraId="6B1966E3" w14:textId="77777777" w:rsidR="008056FA" w:rsidRPr="008056FA" w:rsidRDefault="008056FA" w:rsidP="008056FA">
            <w:pPr>
              <w:rPr>
                <w:rFonts w:cs="Calibri"/>
                <w:sz w:val="20"/>
              </w:rPr>
            </w:pPr>
          </w:p>
        </w:tc>
        <w:tc>
          <w:tcPr>
            <w:tcW w:w="581" w:type="pct"/>
            <w:tcBorders>
              <w:top w:val="nil"/>
              <w:left w:val="nil"/>
              <w:bottom w:val="nil"/>
              <w:right w:val="nil"/>
            </w:tcBorders>
            <w:shd w:val="clear" w:color="auto" w:fill="auto"/>
            <w:noWrap/>
            <w:vAlign w:val="bottom"/>
          </w:tcPr>
          <w:p w14:paraId="488D0435" w14:textId="77777777" w:rsidR="008056FA" w:rsidRPr="008056FA" w:rsidRDefault="008056FA" w:rsidP="008056FA">
            <w:pPr>
              <w:rPr>
                <w:rFonts w:cs="Calibri"/>
                <w:sz w:val="20"/>
              </w:rPr>
            </w:pPr>
          </w:p>
        </w:tc>
      </w:tr>
      <w:tr w:rsidR="008056FA" w:rsidRPr="008056FA" w14:paraId="010CE4D6" w14:textId="77777777" w:rsidTr="00606717">
        <w:trPr>
          <w:trHeight w:val="255"/>
        </w:trPr>
        <w:tc>
          <w:tcPr>
            <w:tcW w:w="2866" w:type="pct"/>
            <w:tcBorders>
              <w:top w:val="nil"/>
              <w:left w:val="nil"/>
              <w:bottom w:val="nil"/>
              <w:right w:val="nil"/>
            </w:tcBorders>
            <w:shd w:val="clear" w:color="auto" w:fill="auto"/>
            <w:noWrap/>
            <w:vAlign w:val="bottom"/>
            <w:hideMark/>
          </w:tcPr>
          <w:p w14:paraId="14E55EFB" w14:textId="27CCC479" w:rsidR="008056FA" w:rsidRPr="008056FA" w:rsidRDefault="008056FA" w:rsidP="008056FA">
            <w:pPr>
              <w:rPr>
                <w:rFonts w:cs="Calibri"/>
                <w:sz w:val="20"/>
              </w:rPr>
            </w:pPr>
            <w:r w:rsidRPr="008056FA">
              <w:rPr>
                <w:rFonts w:cs="Calibri"/>
                <w:sz w:val="20"/>
              </w:rPr>
              <w:t xml:space="preserve">SQLSvrStdRuntime </w:t>
            </w:r>
            <w:r w:rsidR="003F036E" w:rsidRPr="008056FA">
              <w:rPr>
                <w:rFonts w:cs="Calibri"/>
                <w:sz w:val="20"/>
              </w:rPr>
              <w:t>201</w:t>
            </w:r>
            <w:r w:rsidR="003F036E">
              <w:rPr>
                <w:rFonts w:cs="Calibri"/>
                <w:sz w:val="20"/>
              </w:rPr>
              <w:t>9</w:t>
            </w:r>
            <w:r w:rsidR="003F036E" w:rsidRPr="008056FA">
              <w:rPr>
                <w:rFonts w:cs="Calibri"/>
                <w:sz w:val="20"/>
              </w:rPr>
              <w:t xml:space="preserve"> </w:t>
            </w:r>
            <w:r w:rsidRPr="008056FA">
              <w:rPr>
                <w:rFonts w:cs="Calibri"/>
                <w:sz w:val="20"/>
              </w:rPr>
              <w:t>ALNG EmbMntnnce MVL 1Clt</w:t>
            </w:r>
          </w:p>
        </w:tc>
        <w:tc>
          <w:tcPr>
            <w:tcW w:w="258" w:type="pct"/>
            <w:tcBorders>
              <w:top w:val="nil"/>
              <w:left w:val="nil"/>
              <w:bottom w:val="nil"/>
              <w:right w:val="nil"/>
            </w:tcBorders>
            <w:shd w:val="clear" w:color="auto" w:fill="auto"/>
            <w:noWrap/>
            <w:vAlign w:val="bottom"/>
            <w:hideMark/>
          </w:tcPr>
          <w:p w14:paraId="3E798D96" w14:textId="77777777" w:rsidR="008056FA" w:rsidRPr="008056FA" w:rsidRDefault="008056FA" w:rsidP="008056FA">
            <w:pPr>
              <w:jc w:val="center"/>
              <w:rPr>
                <w:rFonts w:cs="Calibri"/>
                <w:sz w:val="20"/>
              </w:rPr>
            </w:pPr>
            <w:r w:rsidRPr="008056FA">
              <w:rPr>
                <w:rFonts w:cs="Calibri"/>
                <w:sz w:val="20"/>
              </w:rPr>
              <w:t>1</w:t>
            </w:r>
          </w:p>
        </w:tc>
        <w:tc>
          <w:tcPr>
            <w:tcW w:w="540" w:type="pct"/>
            <w:tcBorders>
              <w:top w:val="nil"/>
              <w:left w:val="nil"/>
              <w:bottom w:val="nil"/>
              <w:right w:val="nil"/>
            </w:tcBorders>
            <w:shd w:val="clear" w:color="auto" w:fill="auto"/>
            <w:noWrap/>
            <w:vAlign w:val="bottom"/>
            <w:hideMark/>
          </w:tcPr>
          <w:p w14:paraId="58399B7E" w14:textId="77777777" w:rsidR="008056FA" w:rsidRPr="008056FA" w:rsidRDefault="008056FA" w:rsidP="008056FA">
            <w:pPr>
              <w:jc w:val="right"/>
              <w:rPr>
                <w:rFonts w:cs="Calibri"/>
                <w:sz w:val="20"/>
              </w:rPr>
            </w:pPr>
            <w:r w:rsidRPr="008056FA">
              <w:rPr>
                <w:rFonts w:cs="Calibri"/>
                <w:sz w:val="20"/>
              </w:rPr>
              <w:t>573,00</w:t>
            </w:r>
          </w:p>
        </w:tc>
        <w:tc>
          <w:tcPr>
            <w:tcW w:w="221" w:type="pct"/>
            <w:tcBorders>
              <w:top w:val="nil"/>
              <w:left w:val="nil"/>
              <w:bottom w:val="nil"/>
              <w:right w:val="nil"/>
            </w:tcBorders>
            <w:shd w:val="clear" w:color="auto" w:fill="auto"/>
            <w:noWrap/>
            <w:vAlign w:val="bottom"/>
          </w:tcPr>
          <w:p w14:paraId="350F0F1C" w14:textId="77777777" w:rsidR="008056FA" w:rsidRPr="008056FA" w:rsidRDefault="008056FA" w:rsidP="008056FA">
            <w:pPr>
              <w:jc w:val="right"/>
              <w:rPr>
                <w:rFonts w:cs="Calibri"/>
                <w:sz w:val="20"/>
              </w:rPr>
            </w:pPr>
          </w:p>
        </w:tc>
        <w:tc>
          <w:tcPr>
            <w:tcW w:w="532" w:type="pct"/>
            <w:tcBorders>
              <w:top w:val="nil"/>
              <w:left w:val="nil"/>
              <w:bottom w:val="nil"/>
              <w:right w:val="nil"/>
            </w:tcBorders>
            <w:shd w:val="clear" w:color="auto" w:fill="auto"/>
            <w:noWrap/>
            <w:vAlign w:val="bottom"/>
          </w:tcPr>
          <w:p w14:paraId="1DC372F3" w14:textId="77777777" w:rsidR="008056FA" w:rsidRPr="008056FA" w:rsidRDefault="008056FA" w:rsidP="008056FA">
            <w:pPr>
              <w:rPr>
                <w:rFonts w:cs="Calibri"/>
                <w:sz w:val="20"/>
              </w:rPr>
            </w:pPr>
          </w:p>
        </w:tc>
        <w:tc>
          <w:tcPr>
            <w:tcW w:w="581" w:type="pct"/>
            <w:tcBorders>
              <w:top w:val="nil"/>
              <w:left w:val="nil"/>
              <w:bottom w:val="nil"/>
              <w:right w:val="nil"/>
            </w:tcBorders>
            <w:shd w:val="clear" w:color="auto" w:fill="auto"/>
            <w:noWrap/>
            <w:vAlign w:val="bottom"/>
          </w:tcPr>
          <w:p w14:paraId="6E1D9C95" w14:textId="77777777" w:rsidR="008056FA" w:rsidRPr="008056FA" w:rsidRDefault="008056FA" w:rsidP="008056FA">
            <w:pPr>
              <w:rPr>
                <w:rFonts w:cs="Calibri"/>
                <w:sz w:val="20"/>
              </w:rPr>
            </w:pPr>
          </w:p>
        </w:tc>
      </w:tr>
      <w:tr w:rsidR="008056FA" w:rsidRPr="008056FA" w14:paraId="1543400F" w14:textId="77777777" w:rsidTr="00606717">
        <w:trPr>
          <w:trHeight w:val="255"/>
        </w:trPr>
        <w:tc>
          <w:tcPr>
            <w:tcW w:w="2866" w:type="pct"/>
            <w:tcBorders>
              <w:top w:val="nil"/>
              <w:left w:val="nil"/>
              <w:bottom w:val="nil"/>
              <w:right w:val="nil"/>
            </w:tcBorders>
            <w:shd w:val="clear" w:color="auto" w:fill="auto"/>
            <w:noWrap/>
            <w:vAlign w:val="bottom"/>
            <w:hideMark/>
          </w:tcPr>
          <w:p w14:paraId="66B39E03" w14:textId="759A2A0F" w:rsidR="008056FA" w:rsidRPr="008056FA" w:rsidRDefault="008056FA" w:rsidP="008056FA">
            <w:pPr>
              <w:rPr>
                <w:rFonts w:cs="Calibri"/>
                <w:sz w:val="20"/>
              </w:rPr>
            </w:pPr>
            <w:r w:rsidRPr="008056FA">
              <w:rPr>
                <w:rFonts w:cs="Calibri"/>
                <w:sz w:val="20"/>
              </w:rPr>
              <w:t xml:space="preserve">SQLCALRuntime </w:t>
            </w:r>
            <w:r w:rsidR="003F036E" w:rsidRPr="008056FA">
              <w:rPr>
                <w:rFonts w:cs="Calibri"/>
                <w:sz w:val="20"/>
              </w:rPr>
              <w:t>201</w:t>
            </w:r>
            <w:r w:rsidR="003F036E">
              <w:rPr>
                <w:rFonts w:cs="Calibri"/>
                <w:sz w:val="20"/>
              </w:rPr>
              <w:t>9</w:t>
            </w:r>
            <w:r w:rsidR="003F036E" w:rsidRPr="008056FA">
              <w:rPr>
                <w:rFonts w:cs="Calibri"/>
                <w:sz w:val="20"/>
              </w:rPr>
              <w:t xml:space="preserve"> </w:t>
            </w:r>
            <w:r w:rsidRPr="008056FA">
              <w:rPr>
                <w:rFonts w:cs="Calibri"/>
                <w:sz w:val="20"/>
              </w:rPr>
              <w:t>ALNG EmbMntnnce MVL</w:t>
            </w:r>
          </w:p>
        </w:tc>
        <w:tc>
          <w:tcPr>
            <w:tcW w:w="258" w:type="pct"/>
            <w:tcBorders>
              <w:top w:val="nil"/>
              <w:left w:val="nil"/>
              <w:bottom w:val="single" w:sz="4" w:space="0" w:color="auto"/>
              <w:right w:val="nil"/>
            </w:tcBorders>
            <w:shd w:val="clear" w:color="auto" w:fill="auto"/>
            <w:noWrap/>
            <w:vAlign w:val="bottom"/>
            <w:hideMark/>
          </w:tcPr>
          <w:p w14:paraId="13C1C2BE" w14:textId="77777777" w:rsidR="008056FA" w:rsidRPr="008056FA" w:rsidRDefault="008056FA" w:rsidP="008056FA">
            <w:pPr>
              <w:jc w:val="center"/>
              <w:rPr>
                <w:rFonts w:cs="Calibri"/>
                <w:sz w:val="20"/>
              </w:rPr>
            </w:pPr>
            <w:r w:rsidRPr="008056FA">
              <w:rPr>
                <w:rFonts w:cs="Calibri"/>
                <w:sz w:val="20"/>
              </w:rPr>
              <w:t>9</w:t>
            </w:r>
          </w:p>
        </w:tc>
        <w:tc>
          <w:tcPr>
            <w:tcW w:w="540" w:type="pct"/>
            <w:tcBorders>
              <w:top w:val="nil"/>
              <w:left w:val="nil"/>
              <w:bottom w:val="single" w:sz="4" w:space="0" w:color="auto"/>
              <w:right w:val="nil"/>
            </w:tcBorders>
            <w:shd w:val="clear" w:color="auto" w:fill="auto"/>
            <w:noWrap/>
            <w:vAlign w:val="bottom"/>
            <w:hideMark/>
          </w:tcPr>
          <w:p w14:paraId="0B58B650" w14:textId="77777777" w:rsidR="008056FA" w:rsidRPr="008056FA" w:rsidRDefault="008056FA" w:rsidP="008056FA">
            <w:pPr>
              <w:jc w:val="right"/>
              <w:rPr>
                <w:rFonts w:cs="Calibri"/>
                <w:sz w:val="20"/>
              </w:rPr>
            </w:pPr>
            <w:r w:rsidRPr="008056FA">
              <w:rPr>
                <w:rFonts w:cs="Calibri"/>
                <w:sz w:val="20"/>
              </w:rPr>
              <w:t>5 154,00</w:t>
            </w:r>
          </w:p>
        </w:tc>
        <w:tc>
          <w:tcPr>
            <w:tcW w:w="221" w:type="pct"/>
            <w:tcBorders>
              <w:top w:val="nil"/>
              <w:left w:val="nil"/>
              <w:bottom w:val="nil"/>
              <w:right w:val="nil"/>
            </w:tcBorders>
            <w:shd w:val="clear" w:color="auto" w:fill="auto"/>
            <w:noWrap/>
            <w:vAlign w:val="bottom"/>
          </w:tcPr>
          <w:p w14:paraId="6556D2E2" w14:textId="77777777" w:rsidR="008056FA" w:rsidRPr="008056FA" w:rsidRDefault="008056FA" w:rsidP="008056FA">
            <w:pPr>
              <w:jc w:val="right"/>
              <w:rPr>
                <w:rFonts w:cs="Calibri"/>
                <w:sz w:val="20"/>
              </w:rPr>
            </w:pPr>
          </w:p>
        </w:tc>
        <w:tc>
          <w:tcPr>
            <w:tcW w:w="532" w:type="pct"/>
            <w:tcBorders>
              <w:top w:val="nil"/>
              <w:left w:val="nil"/>
              <w:bottom w:val="nil"/>
              <w:right w:val="nil"/>
            </w:tcBorders>
            <w:shd w:val="clear" w:color="auto" w:fill="auto"/>
            <w:noWrap/>
            <w:vAlign w:val="bottom"/>
          </w:tcPr>
          <w:p w14:paraId="4EE50E4E" w14:textId="77777777" w:rsidR="008056FA" w:rsidRPr="008056FA" w:rsidRDefault="008056FA" w:rsidP="008056FA">
            <w:pPr>
              <w:rPr>
                <w:rFonts w:cs="Calibri"/>
                <w:sz w:val="20"/>
              </w:rPr>
            </w:pPr>
          </w:p>
        </w:tc>
        <w:tc>
          <w:tcPr>
            <w:tcW w:w="581" w:type="pct"/>
            <w:tcBorders>
              <w:top w:val="nil"/>
              <w:left w:val="nil"/>
              <w:bottom w:val="single" w:sz="4" w:space="0" w:color="auto"/>
              <w:right w:val="nil"/>
            </w:tcBorders>
            <w:shd w:val="clear" w:color="auto" w:fill="auto"/>
            <w:noWrap/>
            <w:vAlign w:val="bottom"/>
          </w:tcPr>
          <w:p w14:paraId="446296E2" w14:textId="14C80085" w:rsidR="008056FA" w:rsidRPr="008056FA" w:rsidRDefault="008056FA" w:rsidP="008056FA">
            <w:pPr>
              <w:rPr>
                <w:rFonts w:cs="Calibri"/>
                <w:sz w:val="20"/>
              </w:rPr>
            </w:pPr>
          </w:p>
        </w:tc>
      </w:tr>
      <w:tr w:rsidR="008056FA" w:rsidRPr="008056FA" w14:paraId="7CDD29CA" w14:textId="77777777" w:rsidTr="00606717">
        <w:trPr>
          <w:trHeight w:val="255"/>
        </w:trPr>
        <w:tc>
          <w:tcPr>
            <w:tcW w:w="2866" w:type="pct"/>
            <w:tcBorders>
              <w:top w:val="single" w:sz="4" w:space="0" w:color="auto"/>
              <w:left w:val="nil"/>
              <w:bottom w:val="nil"/>
              <w:right w:val="nil"/>
            </w:tcBorders>
            <w:shd w:val="clear" w:color="000000" w:fill="C0C0C0"/>
            <w:noWrap/>
            <w:vAlign w:val="bottom"/>
            <w:hideMark/>
          </w:tcPr>
          <w:p w14:paraId="4FFD3EC3" w14:textId="77777777" w:rsidR="008056FA" w:rsidRPr="008056FA" w:rsidRDefault="008056FA" w:rsidP="008056FA">
            <w:pPr>
              <w:rPr>
                <w:rFonts w:cs="Calibri"/>
                <w:b/>
                <w:bCs/>
                <w:sz w:val="20"/>
              </w:rPr>
            </w:pPr>
            <w:r w:rsidRPr="008056FA">
              <w:rPr>
                <w:rFonts w:cs="Calibri"/>
                <w:b/>
                <w:bCs/>
                <w:sz w:val="20"/>
              </w:rPr>
              <w:t xml:space="preserve"> Celkem Kč</w:t>
            </w:r>
          </w:p>
        </w:tc>
        <w:tc>
          <w:tcPr>
            <w:tcW w:w="258" w:type="pct"/>
            <w:tcBorders>
              <w:top w:val="nil"/>
              <w:left w:val="nil"/>
              <w:bottom w:val="nil"/>
              <w:right w:val="nil"/>
            </w:tcBorders>
            <w:shd w:val="clear" w:color="000000" w:fill="C0C0C0"/>
            <w:noWrap/>
            <w:vAlign w:val="bottom"/>
            <w:hideMark/>
          </w:tcPr>
          <w:p w14:paraId="415DAB56" w14:textId="77777777" w:rsidR="008056FA" w:rsidRPr="008056FA" w:rsidRDefault="008056FA" w:rsidP="008056FA">
            <w:pPr>
              <w:jc w:val="center"/>
              <w:rPr>
                <w:rFonts w:cs="Calibri"/>
                <w:b/>
                <w:bCs/>
                <w:sz w:val="20"/>
              </w:rPr>
            </w:pPr>
            <w:r w:rsidRPr="008056FA">
              <w:rPr>
                <w:rFonts w:cs="Calibri"/>
                <w:b/>
                <w:bCs/>
                <w:sz w:val="20"/>
              </w:rPr>
              <w:t> </w:t>
            </w:r>
          </w:p>
        </w:tc>
        <w:tc>
          <w:tcPr>
            <w:tcW w:w="540" w:type="pct"/>
            <w:tcBorders>
              <w:top w:val="nil"/>
              <w:left w:val="nil"/>
              <w:bottom w:val="nil"/>
              <w:right w:val="nil"/>
            </w:tcBorders>
            <w:shd w:val="clear" w:color="000000" w:fill="C0C0C0"/>
            <w:noWrap/>
            <w:vAlign w:val="bottom"/>
            <w:hideMark/>
          </w:tcPr>
          <w:p w14:paraId="4182DCAE" w14:textId="77777777" w:rsidR="008056FA" w:rsidRPr="008056FA" w:rsidRDefault="008056FA" w:rsidP="008056FA">
            <w:pPr>
              <w:jc w:val="right"/>
              <w:rPr>
                <w:rFonts w:cs="Calibri"/>
                <w:b/>
                <w:bCs/>
                <w:sz w:val="20"/>
              </w:rPr>
            </w:pPr>
            <w:r w:rsidRPr="008056FA">
              <w:rPr>
                <w:rFonts w:cs="Calibri"/>
                <w:b/>
                <w:bCs/>
                <w:sz w:val="20"/>
              </w:rPr>
              <w:t>34 363,00</w:t>
            </w:r>
          </w:p>
        </w:tc>
        <w:tc>
          <w:tcPr>
            <w:tcW w:w="221" w:type="pct"/>
            <w:tcBorders>
              <w:top w:val="single" w:sz="4" w:space="0" w:color="auto"/>
              <w:left w:val="nil"/>
              <w:bottom w:val="nil"/>
              <w:right w:val="nil"/>
            </w:tcBorders>
            <w:shd w:val="clear" w:color="000000" w:fill="C0C0C0"/>
            <w:noWrap/>
            <w:vAlign w:val="bottom"/>
          </w:tcPr>
          <w:p w14:paraId="5458E244" w14:textId="5423CB87" w:rsidR="008056FA" w:rsidRPr="008056FA" w:rsidRDefault="008056FA" w:rsidP="008056FA">
            <w:pPr>
              <w:jc w:val="center"/>
              <w:rPr>
                <w:rFonts w:cs="Calibri"/>
                <w:b/>
                <w:bCs/>
                <w:sz w:val="20"/>
              </w:rPr>
            </w:pPr>
          </w:p>
        </w:tc>
        <w:tc>
          <w:tcPr>
            <w:tcW w:w="532" w:type="pct"/>
            <w:tcBorders>
              <w:top w:val="single" w:sz="4" w:space="0" w:color="auto"/>
              <w:left w:val="nil"/>
              <w:bottom w:val="nil"/>
              <w:right w:val="nil"/>
            </w:tcBorders>
            <w:shd w:val="clear" w:color="000000" w:fill="C0C0C0"/>
            <w:noWrap/>
            <w:vAlign w:val="bottom"/>
          </w:tcPr>
          <w:p w14:paraId="70ED297C" w14:textId="473B972F" w:rsidR="008056FA" w:rsidRPr="008056FA" w:rsidRDefault="008056FA" w:rsidP="008056FA">
            <w:pPr>
              <w:jc w:val="right"/>
              <w:rPr>
                <w:rFonts w:cs="Calibri"/>
                <w:b/>
                <w:bCs/>
                <w:sz w:val="20"/>
              </w:rPr>
            </w:pPr>
          </w:p>
        </w:tc>
        <w:tc>
          <w:tcPr>
            <w:tcW w:w="581" w:type="pct"/>
            <w:tcBorders>
              <w:top w:val="nil"/>
              <w:left w:val="nil"/>
              <w:bottom w:val="nil"/>
              <w:right w:val="nil"/>
            </w:tcBorders>
            <w:shd w:val="clear" w:color="000000" w:fill="C0C0C0"/>
            <w:noWrap/>
            <w:vAlign w:val="bottom"/>
          </w:tcPr>
          <w:p w14:paraId="555D71A2" w14:textId="57C8A3AA" w:rsidR="008056FA" w:rsidRPr="008056FA" w:rsidRDefault="008056FA" w:rsidP="008056FA">
            <w:pPr>
              <w:jc w:val="right"/>
              <w:rPr>
                <w:rFonts w:cs="Calibri"/>
                <w:b/>
                <w:bCs/>
                <w:sz w:val="20"/>
              </w:rPr>
            </w:pPr>
          </w:p>
        </w:tc>
      </w:tr>
    </w:tbl>
    <w:p w14:paraId="37ADBE8A" w14:textId="1F737A31" w:rsidR="008056FA" w:rsidRDefault="008056FA" w:rsidP="00135431">
      <w:pPr>
        <w:pStyle w:val="Odstavecseseznamem"/>
        <w:rPr>
          <w:rFonts w:ascii="Cambria" w:hAnsi="Cambria"/>
          <w:b/>
          <w:bCs/>
          <w:sz w:val="22"/>
          <w:szCs w:val="22"/>
        </w:rPr>
      </w:pPr>
    </w:p>
    <w:p w14:paraId="54DED52E" w14:textId="77777777" w:rsidR="00214C1E" w:rsidRPr="00486D33" w:rsidRDefault="00214C1E" w:rsidP="00214C1E">
      <w:pPr>
        <w:tabs>
          <w:tab w:val="left" w:pos="-306"/>
          <w:tab w:val="left" w:pos="284"/>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rFonts w:cs="Calibri"/>
          <w:sz w:val="20"/>
        </w:rPr>
      </w:pPr>
      <w:r w:rsidRPr="00486D33">
        <w:rPr>
          <w:rFonts w:cs="Calibri"/>
          <w:sz w:val="20"/>
        </w:rPr>
        <w:t>Pozn.:</w:t>
      </w:r>
    </w:p>
    <w:p w14:paraId="03A52181" w14:textId="77777777" w:rsidR="00214C1E" w:rsidRPr="00486D33" w:rsidRDefault="00214C1E" w:rsidP="00214C1E">
      <w:pPr>
        <w:numPr>
          <w:ilvl w:val="0"/>
          <w:numId w:val="30"/>
        </w:numPr>
        <w:tabs>
          <w:tab w:val="left" w:pos="-306"/>
          <w:tab w:val="left" w:pos="0"/>
          <w:tab w:val="left" w:pos="260"/>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cs="Calibri"/>
          <w:sz w:val="20"/>
        </w:rPr>
      </w:pPr>
      <w:r w:rsidRPr="00486D33">
        <w:rPr>
          <w:rFonts w:cs="Calibri"/>
          <w:sz w:val="20"/>
        </w:rPr>
        <w:t xml:space="preserve">Uvedená cena platí pro použití MS SQL Server jen s IS Orsoft – jde o tzv. „Runtime-Restricted Use Software“ licenci vázanou s konkrétní aplikací na základě smlouvy ISV Royalty, uzavřenou mezi poskytovatelem a společností MICROSOFT. </w:t>
      </w:r>
    </w:p>
    <w:p w14:paraId="7102F288" w14:textId="2F986AA9" w:rsidR="00214C1E" w:rsidRDefault="00214C1E" w:rsidP="00214C1E">
      <w:pPr>
        <w:numPr>
          <w:ilvl w:val="0"/>
          <w:numId w:val="30"/>
        </w:numPr>
        <w:tabs>
          <w:tab w:val="left" w:pos="-306"/>
          <w:tab w:val="left" w:pos="0"/>
          <w:tab w:val="left" w:pos="260"/>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cs="Calibri"/>
          <w:sz w:val="20"/>
        </w:rPr>
      </w:pPr>
      <w:r w:rsidRPr="00486D33">
        <w:rPr>
          <w:rFonts w:cs="Calibri"/>
          <w:sz w:val="20"/>
        </w:rPr>
        <w:t>Licenci MS SQL Server lze provozovat na serveru s max. počtem 4 CPU.</w:t>
      </w:r>
    </w:p>
    <w:p w14:paraId="1B47DCB9" w14:textId="77777777" w:rsidR="00214C1E" w:rsidRPr="00214C1E" w:rsidRDefault="00214C1E" w:rsidP="00214C1E">
      <w:pPr>
        <w:pStyle w:val="Odstavecseseznamem"/>
        <w:numPr>
          <w:ilvl w:val="0"/>
          <w:numId w:val="30"/>
        </w:numPr>
        <w:tabs>
          <w:tab w:val="left" w:pos="-306"/>
          <w:tab w:val="left" w:pos="284"/>
          <w:tab w:val="left" w:pos="709"/>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rFonts w:cs="Calibri"/>
          <w:sz w:val="20"/>
        </w:rPr>
      </w:pPr>
      <w:r w:rsidRPr="00214C1E">
        <w:rPr>
          <w:rFonts w:cs="Calibri"/>
          <w:sz w:val="20"/>
        </w:rPr>
        <w:t>V uvedené ceně je zahrnuta roční uživatelská podpora.</w:t>
      </w:r>
    </w:p>
    <w:p w14:paraId="191F2CBE" w14:textId="77777777" w:rsidR="00214C1E" w:rsidRPr="00486D33" w:rsidRDefault="00214C1E" w:rsidP="00214C1E">
      <w:pPr>
        <w:numPr>
          <w:ilvl w:val="0"/>
          <w:numId w:val="30"/>
        </w:numPr>
        <w:tabs>
          <w:tab w:val="left" w:pos="-306"/>
          <w:tab w:val="left" w:pos="0"/>
          <w:tab w:val="left" w:pos="260"/>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cs="Calibri"/>
          <w:sz w:val="20"/>
        </w:rPr>
      </w:pPr>
      <w:r w:rsidRPr="00486D33">
        <w:rPr>
          <w:rFonts w:cs="Calibri"/>
          <w:sz w:val="20"/>
        </w:rPr>
        <w:t xml:space="preserve">Poskytovatel upozorňuje, že podmínkou pro provozování software je dodržení licenční politiky dodavatele relační databáze. </w:t>
      </w:r>
    </w:p>
    <w:p w14:paraId="6170C8C5" w14:textId="3ED31977" w:rsidR="00214C1E" w:rsidRDefault="00214C1E" w:rsidP="00135431">
      <w:pPr>
        <w:pStyle w:val="Odstavecseseznamem"/>
        <w:rPr>
          <w:rFonts w:ascii="Cambria" w:hAnsi="Cambria"/>
          <w:b/>
          <w:bCs/>
          <w:sz w:val="22"/>
          <w:szCs w:val="22"/>
        </w:rPr>
      </w:pPr>
    </w:p>
    <w:p w14:paraId="4384B349" w14:textId="72E3F1EF" w:rsidR="00214C1E" w:rsidRDefault="00214C1E" w:rsidP="00135431">
      <w:pPr>
        <w:pStyle w:val="Odstavecseseznamem"/>
        <w:rPr>
          <w:rFonts w:ascii="Cambria" w:hAnsi="Cambria"/>
          <w:b/>
          <w:bCs/>
          <w:sz w:val="22"/>
          <w:szCs w:val="22"/>
        </w:rPr>
      </w:pPr>
    </w:p>
    <w:p w14:paraId="32B2D3F6" w14:textId="117A59B7" w:rsidR="00214C1E" w:rsidRDefault="00214C1E" w:rsidP="00135431">
      <w:pPr>
        <w:pStyle w:val="Odstavecseseznamem"/>
        <w:rPr>
          <w:rFonts w:ascii="Cambria" w:hAnsi="Cambria"/>
          <w:b/>
          <w:bCs/>
          <w:sz w:val="22"/>
          <w:szCs w:val="22"/>
        </w:rPr>
      </w:pPr>
    </w:p>
    <w:p w14:paraId="1DD070B0" w14:textId="77777777" w:rsidR="00214C1E" w:rsidRDefault="00214C1E" w:rsidP="00135431">
      <w:pPr>
        <w:pStyle w:val="Odstavecseseznamem"/>
        <w:rPr>
          <w:rFonts w:ascii="Cambria" w:hAnsi="Cambria"/>
          <w:b/>
          <w:bCs/>
          <w:sz w:val="22"/>
          <w:szCs w:val="22"/>
        </w:rPr>
      </w:pPr>
    </w:p>
    <w:p w14:paraId="762B2A3A" w14:textId="623D6038" w:rsidR="00516E63" w:rsidRDefault="00516E63" w:rsidP="00214C1E">
      <w:pPr>
        <w:spacing w:after="200" w:line="276" w:lineRule="auto"/>
        <w:ind w:left="426"/>
        <w:rPr>
          <w:rFonts w:ascii="Cambria" w:hAnsi="Cambria"/>
          <w:b/>
          <w:bCs/>
          <w:sz w:val="22"/>
          <w:szCs w:val="22"/>
        </w:rPr>
      </w:pPr>
      <w:r>
        <w:rPr>
          <w:rFonts w:ascii="Cambria" w:hAnsi="Cambria"/>
          <w:b/>
          <w:bCs/>
          <w:sz w:val="22"/>
          <w:szCs w:val="22"/>
        </w:rPr>
        <w:t xml:space="preserve">1.4 </w:t>
      </w:r>
      <w:r w:rsidR="00214C1E">
        <w:rPr>
          <w:rFonts w:ascii="Cambria" w:hAnsi="Cambria"/>
          <w:b/>
          <w:bCs/>
          <w:sz w:val="22"/>
          <w:szCs w:val="22"/>
        </w:rPr>
        <w:t>Hardware</w:t>
      </w:r>
    </w:p>
    <w:tbl>
      <w:tblPr>
        <w:tblW w:w="5000" w:type="pct"/>
        <w:tblCellMar>
          <w:left w:w="70" w:type="dxa"/>
          <w:right w:w="70" w:type="dxa"/>
        </w:tblCellMar>
        <w:tblLook w:val="04A0" w:firstRow="1" w:lastRow="0" w:firstColumn="1" w:lastColumn="0" w:noHBand="0" w:noVBand="1"/>
      </w:tblPr>
      <w:tblGrid>
        <w:gridCol w:w="4406"/>
        <w:gridCol w:w="412"/>
        <w:gridCol w:w="412"/>
        <w:gridCol w:w="413"/>
        <w:gridCol w:w="413"/>
        <w:gridCol w:w="561"/>
        <w:gridCol w:w="1175"/>
        <w:gridCol w:w="464"/>
        <w:gridCol w:w="1123"/>
        <w:gridCol w:w="1227"/>
      </w:tblGrid>
      <w:tr w:rsidR="00214C1E" w:rsidRPr="00F10165" w14:paraId="107D9A4A" w14:textId="77777777" w:rsidTr="00606717">
        <w:trPr>
          <w:trHeight w:val="255"/>
        </w:trPr>
        <w:tc>
          <w:tcPr>
            <w:tcW w:w="2866" w:type="pct"/>
            <w:gridSpan w:val="5"/>
            <w:tcBorders>
              <w:top w:val="nil"/>
              <w:left w:val="nil"/>
              <w:bottom w:val="nil"/>
              <w:right w:val="nil"/>
            </w:tcBorders>
            <w:shd w:val="clear" w:color="auto" w:fill="auto"/>
            <w:noWrap/>
            <w:vAlign w:val="bottom"/>
            <w:hideMark/>
          </w:tcPr>
          <w:p w14:paraId="663CFCA1" w14:textId="77777777" w:rsidR="00214C1E" w:rsidRPr="00D6741D" w:rsidRDefault="00214C1E" w:rsidP="00214C1E">
            <w:pPr>
              <w:rPr>
                <w:rFonts w:cs="Calibri"/>
                <w:b/>
                <w:bCs/>
                <w:sz w:val="18"/>
                <w:szCs w:val="18"/>
              </w:rPr>
            </w:pPr>
            <w:r w:rsidRPr="00D6741D">
              <w:rPr>
                <w:rFonts w:cs="Calibri"/>
                <w:b/>
                <w:bCs/>
                <w:sz w:val="18"/>
                <w:szCs w:val="18"/>
              </w:rPr>
              <w:t>Název</w:t>
            </w:r>
          </w:p>
        </w:tc>
        <w:tc>
          <w:tcPr>
            <w:tcW w:w="258" w:type="pct"/>
            <w:tcBorders>
              <w:top w:val="nil"/>
              <w:left w:val="nil"/>
              <w:bottom w:val="nil"/>
              <w:right w:val="nil"/>
            </w:tcBorders>
            <w:shd w:val="clear" w:color="auto" w:fill="auto"/>
            <w:noWrap/>
            <w:vAlign w:val="bottom"/>
            <w:hideMark/>
          </w:tcPr>
          <w:p w14:paraId="4CB49922" w14:textId="77777777" w:rsidR="00214C1E" w:rsidRPr="00D6741D" w:rsidRDefault="00214C1E" w:rsidP="00214C1E">
            <w:pPr>
              <w:jc w:val="center"/>
              <w:rPr>
                <w:rFonts w:cs="Calibri"/>
                <w:b/>
                <w:bCs/>
                <w:sz w:val="18"/>
                <w:szCs w:val="18"/>
              </w:rPr>
            </w:pPr>
            <w:r w:rsidRPr="00D6741D">
              <w:rPr>
                <w:rFonts w:cs="Calibri"/>
                <w:b/>
                <w:bCs/>
                <w:sz w:val="18"/>
                <w:szCs w:val="18"/>
              </w:rPr>
              <w:t>Počet</w:t>
            </w:r>
          </w:p>
        </w:tc>
        <w:tc>
          <w:tcPr>
            <w:tcW w:w="540" w:type="pct"/>
            <w:tcBorders>
              <w:top w:val="nil"/>
              <w:left w:val="nil"/>
              <w:bottom w:val="nil"/>
              <w:right w:val="nil"/>
            </w:tcBorders>
            <w:shd w:val="clear" w:color="auto" w:fill="auto"/>
            <w:noWrap/>
            <w:vAlign w:val="bottom"/>
            <w:hideMark/>
          </w:tcPr>
          <w:p w14:paraId="476395BA" w14:textId="77777777" w:rsidR="00214C1E" w:rsidRPr="00D6741D" w:rsidRDefault="00214C1E" w:rsidP="00214C1E">
            <w:pPr>
              <w:jc w:val="center"/>
              <w:rPr>
                <w:rFonts w:cs="Calibri"/>
                <w:b/>
                <w:bCs/>
                <w:sz w:val="18"/>
                <w:szCs w:val="18"/>
              </w:rPr>
            </w:pPr>
            <w:r w:rsidRPr="00D6741D">
              <w:rPr>
                <w:rFonts w:cs="Calibri"/>
                <w:b/>
                <w:bCs/>
                <w:sz w:val="18"/>
                <w:szCs w:val="18"/>
              </w:rPr>
              <w:t>Cena bez DPH</w:t>
            </w:r>
          </w:p>
        </w:tc>
        <w:tc>
          <w:tcPr>
            <w:tcW w:w="221" w:type="pct"/>
            <w:tcBorders>
              <w:top w:val="nil"/>
              <w:left w:val="nil"/>
              <w:bottom w:val="nil"/>
              <w:right w:val="nil"/>
            </w:tcBorders>
            <w:shd w:val="clear" w:color="auto" w:fill="auto"/>
            <w:noWrap/>
            <w:vAlign w:val="bottom"/>
          </w:tcPr>
          <w:p w14:paraId="5273DB62" w14:textId="49EE5C7D" w:rsidR="00214C1E" w:rsidRPr="00D6741D" w:rsidRDefault="00214C1E" w:rsidP="00214C1E">
            <w:pPr>
              <w:jc w:val="center"/>
              <w:rPr>
                <w:rFonts w:cs="Calibri"/>
                <w:b/>
                <w:bCs/>
                <w:sz w:val="18"/>
                <w:szCs w:val="18"/>
              </w:rPr>
            </w:pPr>
          </w:p>
        </w:tc>
        <w:tc>
          <w:tcPr>
            <w:tcW w:w="532" w:type="pct"/>
            <w:tcBorders>
              <w:top w:val="nil"/>
              <w:left w:val="nil"/>
              <w:bottom w:val="nil"/>
              <w:right w:val="nil"/>
            </w:tcBorders>
            <w:shd w:val="clear" w:color="auto" w:fill="auto"/>
            <w:noWrap/>
            <w:vAlign w:val="bottom"/>
          </w:tcPr>
          <w:p w14:paraId="41B41E23" w14:textId="54AB47CD" w:rsidR="00214C1E" w:rsidRPr="00F10165" w:rsidRDefault="00214C1E" w:rsidP="00214C1E">
            <w:pPr>
              <w:jc w:val="center"/>
              <w:rPr>
                <w:rFonts w:cs="Calibri"/>
                <w:b/>
                <w:bCs/>
                <w:sz w:val="18"/>
                <w:szCs w:val="18"/>
                <w:highlight w:val="yellow"/>
              </w:rPr>
            </w:pPr>
          </w:p>
        </w:tc>
        <w:tc>
          <w:tcPr>
            <w:tcW w:w="581" w:type="pct"/>
            <w:tcBorders>
              <w:top w:val="nil"/>
              <w:left w:val="nil"/>
              <w:bottom w:val="nil"/>
              <w:right w:val="nil"/>
            </w:tcBorders>
            <w:shd w:val="clear" w:color="auto" w:fill="auto"/>
            <w:noWrap/>
            <w:vAlign w:val="bottom"/>
          </w:tcPr>
          <w:p w14:paraId="35F4EEE5" w14:textId="46D0D5EA" w:rsidR="00214C1E" w:rsidRPr="00F10165" w:rsidRDefault="00214C1E" w:rsidP="00214C1E">
            <w:pPr>
              <w:jc w:val="center"/>
              <w:rPr>
                <w:rFonts w:cs="Calibri"/>
                <w:b/>
                <w:bCs/>
                <w:sz w:val="18"/>
                <w:szCs w:val="18"/>
                <w:highlight w:val="yellow"/>
              </w:rPr>
            </w:pPr>
          </w:p>
        </w:tc>
      </w:tr>
      <w:tr w:rsidR="00214C1E" w:rsidRPr="00F10165" w14:paraId="62D1F252" w14:textId="77777777" w:rsidTr="00606717">
        <w:trPr>
          <w:trHeight w:val="255"/>
        </w:trPr>
        <w:tc>
          <w:tcPr>
            <w:tcW w:w="2080" w:type="pct"/>
            <w:tcBorders>
              <w:top w:val="nil"/>
              <w:left w:val="nil"/>
              <w:bottom w:val="single" w:sz="4" w:space="0" w:color="auto"/>
              <w:right w:val="nil"/>
            </w:tcBorders>
            <w:shd w:val="clear" w:color="auto" w:fill="auto"/>
            <w:noWrap/>
            <w:vAlign w:val="bottom"/>
            <w:hideMark/>
          </w:tcPr>
          <w:p w14:paraId="3D94CD38" w14:textId="77777777" w:rsidR="00214C1E" w:rsidRPr="00D6741D" w:rsidRDefault="00214C1E" w:rsidP="00214C1E">
            <w:pPr>
              <w:rPr>
                <w:rFonts w:cs="Calibri"/>
                <w:sz w:val="18"/>
                <w:szCs w:val="18"/>
              </w:rPr>
            </w:pPr>
            <w:r w:rsidRPr="00D6741D">
              <w:rPr>
                <w:rFonts w:cs="Calibri"/>
                <w:sz w:val="18"/>
                <w:szCs w:val="18"/>
              </w:rPr>
              <w:t> </w:t>
            </w:r>
          </w:p>
        </w:tc>
        <w:tc>
          <w:tcPr>
            <w:tcW w:w="197" w:type="pct"/>
            <w:tcBorders>
              <w:top w:val="nil"/>
              <w:left w:val="nil"/>
              <w:bottom w:val="single" w:sz="4" w:space="0" w:color="auto"/>
              <w:right w:val="nil"/>
            </w:tcBorders>
            <w:shd w:val="clear" w:color="auto" w:fill="auto"/>
            <w:noWrap/>
            <w:vAlign w:val="bottom"/>
            <w:hideMark/>
          </w:tcPr>
          <w:p w14:paraId="1091AA00" w14:textId="77777777" w:rsidR="00214C1E" w:rsidRPr="00D6741D" w:rsidRDefault="00214C1E" w:rsidP="00214C1E">
            <w:pPr>
              <w:rPr>
                <w:rFonts w:cs="Calibri"/>
                <w:sz w:val="18"/>
                <w:szCs w:val="18"/>
              </w:rPr>
            </w:pPr>
            <w:r w:rsidRPr="00D6741D">
              <w:rPr>
                <w:rFonts w:cs="Calibri"/>
                <w:sz w:val="18"/>
                <w:szCs w:val="18"/>
              </w:rPr>
              <w:t> </w:t>
            </w:r>
          </w:p>
        </w:tc>
        <w:tc>
          <w:tcPr>
            <w:tcW w:w="197" w:type="pct"/>
            <w:tcBorders>
              <w:top w:val="nil"/>
              <w:left w:val="nil"/>
              <w:bottom w:val="single" w:sz="4" w:space="0" w:color="auto"/>
              <w:right w:val="nil"/>
            </w:tcBorders>
            <w:shd w:val="clear" w:color="auto" w:fill="auto"/>
            <w:noWrap/>
            <w:vAlign w:val="bottom"/>
            <w:hideMark/>
          </w:tcPr>
          <w:p w14:paraId="3F336E82" w14:textId="77777777" w:rsidR="00214C1E" w:rsidRPr="00D6741D" w:rsidRDefault="00214C1E" w:rsidP="00214C1E">
            <w:pPr>
              <w:rPr>
                <w:rFonts w:cs="Calibri"/>
                <w:sz w:val="18"/>
                <w:szCs w:val="18"/>
              </w:rPr>
            </w:pPr>
            <w:r w:rsidRPr="00D6741D">
              <w:rPr>
                <w:rFonts w:cs="Calibri"/>
                <w:sz w:val="18"/>
                <w:szCs w:val="18"/>
              </w:rPr>
              <w:t> </w:t>
            </w:r>
          </w:p>
        </w:tc>
        <w:tc>
          <w:tcPr>
            <w:tcW w:w="197" w:type="pct"/>
            <w:tcBorders>
              <w:top w:val="nil"/>
              <w:left w:val="nil"/>
              <w:bottom w:val="single" w:sz="4" w:space="0" w:color="auto"/>
              <w:right w:val="nil"/>
            </w:tcBorders>
            <w:shd w:val="clear" w:color="auto" w:fill="auto"/>
            <w:noWrap/>
            <w:vAlign w:val="bottom"/>
            <w:hideMark/>
          </w:tcPr>
          <w:p w14:paraId="33234705" w14:textId="77777777" w:rsidR="00214C1E" w:rsidRPr="00D6741D" w:rsidRDefault="00214C1E" w:rsidP="00214C1E">
            <w:pPr>
              <w:rPr>
                <w:rFonts w:cs="Calibri"/>
                <w:sz w:val="18"/>
                <w:szCs w:val="18"/>
              </w:rPr>
            </w:pPr>
            <w:r w:rsidRPr="00D6741D">
              <w:rPr>
                <w:rFonts w:cs="Calibri"/>
                <w:sz w:val="18"/>
                <w:szCs w:val="18"/>
              </w:rPr>
              <w:t> </w:t>
            </w:r>
          </w:p>
        </w:tc>
        <w:tc>
          <w:tcPr>
            <w:tcW w:w="197" w:type="pct"/>
            <w:tcBorders>
              <w:top w:val="nil"/>
              <w:left w:val="nil"/>
              <w:bottom w:val="single" w:sz="4" w:space="0" w:color="auto"/>
              <w:right w:val="nil"/>
            </w:tcBorders>
            <w:shd w:val="clear" w:color="auto" w:fill="auto"/>
            <w:noWrap/>
            <w:vAlign w:val="bottom"/>
            <w:hideMark/>
          </w:tcPr>
          <w:p w14:paraId="6B6863D4" w14:textId="77777777" w:rsidR="00214C1E" w:rsidRPr="00D6741D" w:rsidRDefault="00214C1E" w:rsidP="00214C1E">
            <w:pPr>
              <w:rPr>
                <w:rFonts w:cs="Calibri"/>
                <w:sz w:val="18"/>
                <w:szCs w:val="18"/>
              </w:rPr>
            </w:pPr>
            <w:r w:rsidRPr="00D6741D">
              <w:rPr>
                <w:rFonts w:cs="Calibri"/>
                <w:sz w:val="18"/>
                <w:szCs w:val="18"/>
              </w:rPr>
              <w:t> </w:t>
            </w:r>
          </w:p>
        </w:tc>
        <w:tc>
          <w:tcPr>
            <w:tcW w:w="258" w:type="pct"/>
            <w:tcBorders>
              <w:top w:val="nil"/>
              <w:left w:val="nil"/>
              <w:bottom w:val="single" w:sz="4" w:space="0" w:color="auto"/>
              <w:right w:val="nil"/>
            </w:tcBorders>
            <w:shd w:val="clear" w:color="auto" w:fill="auto"/>
            <w:noWrap/>
            <w:vAlign w:val="bottom"/>
            <w:hideMark/>
          </w:tcPr>
          <w:p w14:paraId="1ECAB421" w14:textId="77777777" w:rsidR="00214C1E" w:rsidRPr="00D6741D" w:rsidRDefault="00214C1E" w:rsidP="00214C1E">
            <w:pPr>
              <w:jc w:val="center"/>
              <w:rPr>
                <w:rFonts w:cs="Calibri"/>
                <w:b/>
                <w:bCs/>
                <w:sz w:val="18"/>
                <w:szCs w:val="18"/>
              </w:rPr>
            </w:pPr>
            <w:r w:rsidRPr="00D6741D">
              <w:rPr>
                <w:rFonts w:cs="Calibri"/>
                <w:b/>
                <w:bCs/>
                <w:sz w:val="18"/>
                <w:szCs w:val="18"/>
              </w:rPr>
              <w:t>ks</w:t>
            </w:r>
          </w:p>
        </w:tc>
        <w:tc>
          <w:tcPr>
            <w:tcW w:w="540" w:type="pct"/>
            <w:tcBorders>
              <w:top w:val="nil"/>
              <w:left w:val="nil"/>
              <w:bottom w:val="single" w:sz="4" w:space="0" w:color="auto"/>
              <w:right w:val="nil"/>
            </w:tcBorders>
            <w:shd w:val="clear" w:color="auto" w:fill="auto"/>
            <w:noWrap/>
            <w:vAlign w:val="bottom"/>
            <w:hideMark/>
          </w:tcPr>
          <w:p w14:paraId="616D100E" w14:textId="77777777" w:rsidR="00214C1E" w:rsidRPr="00D6741D" w:rsidRDefault="00214C1E" w:rsidP="00214C1E">
            <w:pPr>
              <w:jc w:val="center"/>
              <w:rPr>
                <w:rFonts w:cs="Calibri"/>
                <w:b/>
                <w:bCs/>
                <w:sz w:val="18"/>
                <w:szCs w:val="18"/>
              </w:rPr>
            </w:pPr>
            <w:r w:rsidRPr="00D6741D">
              <w:rPr>
                <w:rFonts w:cs="Calibri"/>
                <w:b/>
                <w:bCs/>
                <w:sz w:val="18"/>
                <w:szCs w:val="18"/>
              </w:rPr>
              <w:t>Kč</w:t>
            </w:r>
          </w:p>
        </w:tc>
        <w:tc>
          <w:tcPr>
            <w:tcW w:w="221" w:type="pct"/>
            <w:tcBorders>
              <w:top w:val="nil"/>
              <w:left w:val="nil"/>
              <w:bottom w:val="single" w:sz="4" w:space="0" w:color="auto"/>
              <w:right w:val="nil"/>
            </w:tcBorders>
            <w:shd w:val="clear" w:color="auto" w:fill="auto"/>
            <w:noWrap/>
            <w:vAlign w:val="bottom"/>
          </w:tcPr>
          <w:p w14:paraId="300DE086" w14:textId="05641BF0" w:rsidR="00214C1E" w:rsidRPr="00D6741D" w:rsidRDefault="00214C1E" w:rsidP="00214C1E">
            <w:pPr>
              <w:jc w:val="center"/>
              <w:rPr>
                <w:rFonts w:cs="Calibri"/>
                <w:b/>
                <w:bCs/>
                <w:sz w:val="18"/>
                <w:szCs w:val="18"/>
              </w:rPr>
            </w:pPr>
          </w:p>
        </w:tc>
        <w:tc>
          <w:tcPr>
            <w:tcW w:w="532" w:type="pct"/>
            <w:tcBorders>
              <w:top w:val="nil"/>
              <w:left w:val="nil"/>
              <w:bottom w:val="single" w:sz="4" w:space="0" w:color="auto"/>
              <w:right w:val="nil"/>
            </w:tcBorders>
            <w:shd w:val="clear" w:color="auto" w:fill="auto"/>
            <w:noWrap/>
            <w:vAlign w:val="bottom"/>
          </w:tcPr>
          <w:p w14:paraId="1F6B3CB0" w14:textId="4E8953E3" w:rsidR="00214C1E" w:rsidRPr="00F10165" w:rsidRDefault="00214C1E" w:rsidP="00214C1E">
            <w:pPr>
              <w:jc w:val="center"/>
              <w:rPr>
                <w:rFonts w:cs="Calibri"/>
                <w:b/>
                <w:bCs/>
                <w:sz w:val="18"/>
                <w:szCs w:val="18"/>
                <w:highlight w:val="yellow"/>
              </w:rPr>
            </w:pPr>
          </w:p>
        </w:tc>
        <w:tc>
          <w:tcPr>
            <w:tcW w:w="581" w:type="pct"/>
            <w:tcBorders>
              <w:top w:val="nil"/>
              <w:left w:val="nil"/>
              <w:bottom w:val="single" w:sz="4" w:space="0" w:color="auto"/>
              <w:right w:val="nil"/>
            </w:tcBorders>
            <w:shd w:val="clear" w:color="auto" w:fill="auto"/>
            <w:noWrap/>
            <w:vAlign w:val="bottom"/>
          </w:tcPr>
          <w:p w14:paraId="7003F4C4" w14:textId="585EF928" w:rsidR="00214C1E" w:rsidRPr="00F10165" w:rsidRDefault="00214C1E" w:rsidP="00214C1E">
            <w:pPr>
              <w:jc w:val="center"/>
              <w:rPr>
                <w:rFonts w:cs="Calibri"/>
                <w:b/>
                <w:bCs/>
                <w:sz w:val="18"/>
                <w:szCs w:val="18"/>
                <w:highlight w:val="yellow"/>
              </w:rPr>
            </w:pPr>
          </w:p>
        </w:tc>
      </w:tr>
      <w:tr w:rsidR="00214C1E" w:rsidRPr="00F10165" w14:paraId="41564AA0" w14:textId="77777777" w:rsidTr="00606717">
        <w:trPr>
          <w:trHeight w:val="255"/>
        </w:trPr>
        <w:tc>
          <w:tcPr>
            <w:tcW w:w="2866" w:type="pct"/>
            <w:gridSpan w:val="5"/>
            <w:tcBorders>
              <w:top w:val="single" w:sz="4" w:space="0" w:color="auto"/>
              <w:left w:val="nil"/>
              <w:bottom w:val="nil"/>
              <w:right w:val="nil"/>
            </w:tcBorders>
            <w:shd w:val="clear" w:color="auto" w:fill="auto"/>
            <w:noWrap/>
            <w:vAlign w:val="bottom"/>
            <w:hideMark/>
          </w:tcPr>
          <w:p w14:paraId="2B4A1C04" w14:textId="39F030A7" w:rsidR="00214C1E" w:rsidRPr="00D6741D" w:rsidRDefault="00214C1E" w:rsidP="00214C1E">
            <w:pPr>
              <w:rPr>
                <w:rFonts w:cs="Calibri"/>
                <w:b/>
                <w:bCs/>
                <w:sz w:val="20"/>
              </w:rPr>
            </w:pPr>
            <w:r w:rsidRPr="00D6741D">
              <w:rPr>
                <w:rFonts w:cs="Calibri"/>
                <w:b/>
                <w:bCs/>
                <w:sz w:val="20"/>
              </w:rPr>
              <w:t xml:space="preserve"> Mobilní </w:t>
            </w:r>
            <w:r w:rsidR="00890431">
              <w:rPr>
                <w:rFonts w:cs="Calibri"/>
                <w:b/>
                <w:bCs/>
                <w:sz w:val="20"/>
              </w:rPr>
              <w:t xml:space="preserve">odečítací </w:t>
            </w:r>
            <w:r w:rsidR="00506A40" w:rsidRPr="00D6741D">
              <w:rPr>
                <w:rFonts w:cs="Calibri"/>
                <w:b/>
                <w:bCs/>
                <w:sz w:val="20"/>
              </w:rPr>
              <w:t>zařízení</w:t>
            </w:r>
            <w:r w:rsidR="00606717" w:rsidRPr="00D6741D">
              <w:rPr>
                <w:rFonts w:cs="Calibri"/>
                <w:b/>
                <w:bCs/>
                <w:sz w:val="20"/>
              </w:rPr>
              <w:t>:</w:t>
            </w:r>
          </w:p>
        </w:tc>
        <w:tc>
          <w:tcPr>
            <w:tcW w:w="258" w:type="pct"/>
            <w:tcBorders>
              <w:top w:val="nil"/>
              <w:left w:val="nil"/>
              <w:bottom w:val="nil"/>
              <w:right w:val="nil"/>
            </w:tcBorders>
            <w:shd w:val="clear" w:color="auto" w:fill="auto"/>
            <w:noWrap/>
            <w:vAlign w:val="bottom"/>
            <w:hideMark/>
          </w:tcPr>
          <w:p w14:paraId="55219254" w14:textId="77777777" w:rsidR="00214C1E" w:rsidRPr="00D6741D" w:rsidRDefault="00214C1E" w:rsidP="00214C1E">
            <w:pPr>
              <w:rPr>
                <w:rFonts w:cs="Calibri"/>
                <w:b/>
                <w:bCs/>
                <w:sz w:val="20"/>
              </w:rPr>
            </w:pPr>
          </w:p>
        </w:tc>
        <w:tc>
          <w:tcPr>
            <w:tcW w:w="540" w:type="pct"/>
            <w:tcBorders>
              <w:top w:val="nil"/>
              <w:left w:val="nil"/>
              <w:bottom w:val="nil"/>
              <w:right w:val="nil"/>
            </w:tcBorders>
            <w:shd w:val="clear" w:color="auto" w:fill="auto"/>
            <w:noWrap/>
            <w:vAlign w:val="bottom"/>
            <w:hideMark/>
          </w:tcPr>
          <w:p w14:paraId="03F7884C" w14:textId="77777777" w:rsidR="00214C1E" w:rsidRPr="00D6741D" w:rsidRDefault="00214C1E" w:rsidP="00214C1E">
            <w:pPr>
              <w:jc w:val="center"/>
              <w:rPr>
                <w:rFonts w:cs="Calibri"/>
                <w:sz w:val="20"/>
              </w:rPr>
            </w:pPr>
          </w:p>
        </w:tc>
        <w:tc>
          <w:tcPr>
            <w:tcW w:w="221" w:type="pct"/>
            <w:tcBorders>
              <w:top w:val="nil"/>
              <w:left w:val="nil"/>
              <w:bottom w:val="nil"/>
              <w:right w:val="nil"/>
            </w:tcBorders>
            <w:shd w:val="clear" w:color="auto" w:fill="auto"/>
            <w:noWrap/>
            <w:vAlign w:val="bottom"/>
          </w:tcPr>
          <w:p w14:paraId="4A346EAD" w14:textId="77777777" w:rsidR="00214C1E" w:rsidRPr="00D6741D" w:rsidRDefault="00214C1E" w:rsidP="00214C1E">
            <w:pPr>
              <w:rPr>
                <w:rFonts w:cs="Calibri"/>
                <w:sz w:val="20"/>
              </w:rPr>
            </w:pPr>
          </w:p>
        </w:tc>
        <w:tc>
          <w:tcPr>
            <w:tcW w:w="532" w:type="pct"/>
            <w:tcBorders>
              <w:top w:val="nil"/>
              <w:left w:val="nil"/>
              <w:bottom w:val="nil"/>
              <w:right w:val="nil"/>
            </w:tcBorders>
            <w:shd w:val="clear" w:color="auto" w:fill="auto"/>
            <w:noWrap/>
            <w:vAlign w:val="bottom"/>
          </w:tcPr>
          <w:p w14:paraId="5886BCFC" w14:textId="77777777" w:rsidR="00214C1E" w:rsidRPr="00F10165" w:rsidRDefault="00214C1E" w:rsidP="00214C1E">
            <w:pPr>
              <w:rPr>
                <w:rFonts w:cs="Calibri"/>
                <w:sz w:val="20"/>
                <w:highlight w:val="yellow"/>
              </w:rPr>
            </w:pPr>
          </w:p>
        </w:tc>
        <w:tc>
          <w:tcPr>
            <w:tcW w:w="581" w:type="pct"/>
            <w:tcBorders>
              <w:top w:val="nil"/>
              <w:left w:val="nil"/>
              <w:bottom w:val="nil"/>
              <w:right w:val="nil"/>
            </w:tcBorders>
            <w:shd w:val="clear" w:color="auto" w:fill="auto"/>
            <w:noWrap/>
            <w:vAlign w:val="bottom"/>
          </w:tcPr>
          <w:p w14:paraId="440CFD18" w14:textId="77777777" w:rsidR="00214C1E" w:rsidRPr="00F10165" w:rsidRDefault="00214C1E" w:rsidP="00214C1E">
            <w:pPr>
              <w:rPr>
                <w:rFonts w:cs="Calibri"/>
                <w:sz w:val="20"/>
                <w:highlight w:val="yellow"/>
              </w:rPr>
            </w:pPr>
          </w:p>
        </w:tc>
      </w:tr>
      <w:tr w:rsidR="00214C1E" w:rsidRPr="00F10165" w14:paraId="46F02884" w14:textId="77777777" w:rsidTr="00606717">
        <w:trPr>
          <w:trHeight w:val="255"/>
        </w:trPr>
        <w:tc>
          <w:tcPr>
            <w:tcW w:w="2866" w:type="pct"/>
            <w:gridSpan w:val="5"/>
            <w:tcBorders>
              <w:top w:val="nil"/>
              <w:left w:val="nil"/>
              <w:bottom w:val="single" w:sz="4" w:space="0" w:color="auto"/>
              <w:right w:val="nil"/>
            </w:tcBorders>
            <w:shd w:val="clear" w:color="auto" w:fill="auto"/>
            <w:noWrap/>
            <w:vAlign w:val="bottom"/>
            <w:hideMark/>
          </w:tcPr>
          <w:p w14:paraId="2679ABDA" w14:textId="40F695E6" w:rsidR="00214C1E" w:rsidRPr="00D6741D" w:rsidRDefault="0070682D" w:rsidP="00214C1E">
            <w:pPr>
              <w:rPr>
                <w:rFonts w:cs="Calibri"/>
                <w:sz w:val="20"/>
              </w:rPr>
            </w:pPr>
            <w:r>
              <w:rPr>
                <w:rFonts w:cs="Calibri"/>
                <w:sz w:val="20"/>
              </w:rPr>
              <w:t xml:space="preserve">iGET BLACKVIEW </w:t>
            </w:r>
            <w:r w:rsidR="00453823">
              <w:rPr>
                <w:rFonts w:cs="Calibri"/>
                <w:sz w:val="20"/>
              </w:rPr>
              <w:t>GBV6800</w:t>
            </w:r>
          </w:p>
        </w:tc>
        <w:tc>
          <w:tcPr>
            <w:tcW w:w="258" w:type="pct"/>
            <w:tcBorders>
              <w:top w:val="nil"/>
              <w:left w:val="nil"/>
              <w:bottom w:val="single" w:sz="4" w:space="0" w:color="auto"/>
              <w:right w:val="nil"/>
            </w:tcBorders>
            <w:shd w:val="clear" w:color="auto" w:fill="auto"/>
            <w:noWrap/>
            <w:vAlign w:val="bottom"/>
            <w:hideMark/>
          </w:tcPr>
          <w:p w14:paraId="24C287DD" w14:textId="77777777" w:rsidR="00214C1E" w:rsidRPr="00D6741D" w:rsidRDefault="00214C1E" w:rsidP="00214C1E">
            <w:pPr>
              <w:jc w:val="center"/>
              <w:rPr>
                <w:rFonts w:cs="Calibri"/>
                <w:sz w:val="20"/>
              </w:rPr>
            </w:pPr>
            <w:r w:rsidRPr="00D6741D">
              <w:rPr>
                <w:rFonts w:cs="Calibri"/>
                <w:sz w:val="20"/>
              </w:rPr>
              <w:t>2</w:t>
            </w:r>
          </w:p>
        </w:tc>
        <w:tc>
          <w:tcPr>
            <w:tcW w:w="540" w:type="pct"/>
            <w:tcBorders>
              <w:top w:val="nil"/>
              <w:left w:val="nil"/>
              <w:bottom w:val="single" w:sz="4" w:space="0" w:color="auto"/>
              <w:right w:val="nil"/>
            </w:tcBorders>
            <w:shd w:val="clear" w:color="auto" w:fill="auto"/>
            <w:noWrap/>
            <w:vAlign w:val="bottom"/>
            <w:hideMark/>
          </w:tcPr>
          <w:p w14:paraId="55E2EF91" w14:textId="11EB26B5" w:rsidR="00214C1E" w:rsidRPr="00D6741D" w:rsidRDefault="00890431" w:rsidP="00214C1E">
            <w:pPr>
              <w:jc w:val="right"/>
              <w:rPr>
                <w:rFonts w:cs="Calibri"/>
                <w:sz w:val="20"/>
              </w:rPr>
            </w:pPr>
            <w:r>
              <w:rPr>
                <w:rFonts w:cs="Calibri"/>
                <w:sz w:val="20"/>
              </w:rPr>
              <w:t>14 0</w:t>
            </w:r>
            <w:r w:rsidR="00214C1E" w:rsidRPr="00D6741D">
              <w:rPr>
                <w:rFonts w:cs="Calibri"/>
                <w:sz w:val="20"/>
              </w:rPr>
              <w:t>00,00</w:t>
            </w:r>
          </w:p>
        </w:tc>
        <w:tc>
          <w:tcPr>
            <w:tcW w:w="221" w:type="pct"/>
            <w:tcBorders>
              <w:top w:val="nil"/>
              <w:left w:val="nil"/>
              <w:bottom w:val="single" w:sz="4" w:space="0" w:color="auto"/>
              <w:right w:val="nil"/>
            </w:tcBorders>
            <w:shd w:val="clear" w:color="auto" w:fill="auto"/>
            <w:noWrap/>
            <w:vAlign w:val="bottom"/>
          </w:tcPr>
          <w:p w14:paraId="7E0D760C" w14:textId="0096E370" w:rsidR="00214C1E" w:rsidRPr="00D6741D" w:rsidRDefault="00214C1E" w:rsidP="00214C1E">
            <w:pPr>
              <w:rPr>
                <w:rFonts w:cs="Calibri"/>
                <w:sz w:val="20"/>
              </w:rPr>
            </w:pPr>
          </w:p>
        </w:tc>
        <w:tc>
          <w:tcPr>
            <w:tcW w:w="532" w:type="pct"/>
            <w:tcBorders>
              <w:top w:val="nil"/>
              <w:left w:val="nil"/>
              <w:bottom w:val="single" w:sz="4" w:space="0" w:color="auto"/>
              <w:right w:val="nil"/>
            </w:tcBorders>
            <w:shd w:val="clear" w:color="auto" w:fill="auto"/>
            <w:noWrap/>
            <w:vAlign w:val="bottom"/>
          </w:tcPr>
          <w:p w14:paraId="6576AB89" w14:textId="7B8A3818" w:rsidR="00214C1E" w:rsidRPr="00F10165" w:rsidRDefault="00214C1E" w:rsidP="00214C1E">
            <w:pPr>
              <w:rPr>
                <w:rFonts w:cs="Calibri"/>
                <w:sz w:val="20"/>
                <w:highlight w:val="yellow"/>
              </w:rPr>
            </w:pPr>
          </w:p>
        </w:tc>
        <w:tc>
          <w:tcPr>
            <w:tcW w:w="581" w:type="pct"/>
            <w:tcBorders>
              <w:top w:val="nil"/>
              <w:left w:val="nil"/>
              <w:bottom w:val="single" w:sz="4" w:space="0" w:color="auto"/>
              <w:right w:val="nil"/>
            </w:tcBorders>
            <w:shd w:val="clear" w:color="auto" w:fill="auto"/>
            <w:noWrap/>
            <w:vAlign w:val="bottom"/>
          </w:tcPr>
          <w:p w14:paraId="149F864E" w14:textId="6C906BF3" w:rsidR="00214C1E" w:rsidRPr="00F10165" w:rsidRDefault="00214C1E" w:rsidP="00214C1E">
            <w:pPr>
              <w:rPr>
                <w:rFonts w:cs="Calibri"/>
                <w:sz w:val="20"/>
                <w:highlight w:val="yellow"/>
              </w:rPr>
            </w:pPr>
          </w:p>
        </w:tc>
      </w:tr>
      <w:tr w:rsidR="00214C1E" w:rsidRPr="00214C1E" w14:paraId="50AE7F2B" w14:textId="77777777" w:rsidTr="00606717">
        <w:trPr>
          <w:trHeight w:val="255"/>
        </w:trPr>
        <w:tc>
          <w:tcPr>
            <w:tcW w:w="2866" w:type="pct"/>
            <w:gridSpan w:val="5"/>
            <w:tcBorders>
              <w:top w:val="single" w:sz="4" w:space="0" w:color="auto"/>
              <w:left w:val="nil"/>
              <w:bottom w:val="nil"/>
              <w:right w:val="nil"/>
            </w:tcBorders>
            <w:shd w:val="clear" w:color="000000" w:fill="C0C0C0"/>
            <w:noWrap/>
            <w:vAlign w:val="bottom"/>
            <w:hideMark/>
          </w:tcPr>
          <w:p w14:paraId="064F230D" w14:textId="77777777" w:rsidR="00214C1E" w:rsidRPr="00D6741D" w:rsidRDefault="00214C1E" w:rsidP="00214C1E">
            <w:pPr>
              <w:rPr>
                <w:rFonts w:cs="Calibri"/>
                <w:b/>
                <w:bCs/>
                <w:sz w:val="20"/>
              </w:rPr>
            </w:pPr>
            <w:r w:rsidRPr="00D6741D">
              <w:rPr>
                <w:rFonts w:cs="Calibri"/>
                <w:b/>
                <w:bCs/>
                <w:sz w:val="20"/>
              </w:rPr>
              <w:t xml:space="preserve"> Celkem Kč</w:t>
            </w:r>
          </w:p>
        </w:tc>
        <w:tc>
          <w:tcPr>
            <w:tcW w:w="258" w:type="pct"/>
            <w:tcBorders>
              <w:top w:val="nil"/>
              <w:left w:val="nil"/>
              <w:bottom w:val="nil"/>
              <w:right w:val="nil"/>
            </w:tcBorders>
            <w:shd w:val="clear" w:color="000000" w:fill="C0C0C0"/>
            <w:noWrap/>
            <w:vAlign w:val="bottom"/>
            <w:hideMark/>
          </w:tcPr>
          <w:p w14:paraId="25006E0F" w14:textId="77777777" w:rsidR="00214C1E" w:rsidRPr="00D6741D" w:rsidRDefault="00214C1E" w:rsidP="00214C1E">
            <w:pPr>
              <w:jc w:val="center"/>
              <w:rPr>
                <w:rFonts w:cs="Calibri"/>
                <w:b/>
                <w:bCs/>
                <w:sz w:val="20"/>
              </w:rPr>
            </w:pPr>
            <w:r w:rsidRPr="00D6741D">
              <w:rPr>
                <w:rFonts w:cs="Calibri"/>
                <w:b/>
                <w:bCs/>
                <w:sz w:val="20"/>
              </w:rPr>
              <w:t> </w:t>
            </w:r>
          </w:p>
        </w:tc>
        <w:tc>
          <w:tcPr>
            <w:tcW w:w="540" w:type="pct"/>
            <w:tcBorders>
              <w:top w:val="nil"/>
              <w:left w:val="nil"/>
              <w:bottom w:val="nil"/>
              <w:right w:val="nil"/>
            </w:tcBorders>
            <w:shd w:val="clear" w:color="000000" w:fill="C0C0C0"/>
            <w:noWrap/>
            <w:vAlign w:val="bottom"/>
            <w:hideMark/>
          </w:tcPr>
          <w:p w14:paraId="1C8B021A" w14:textId="0538A953" w:rsidR="00214C1E" w:rsidRPr="00890431" w:rsidRDefault="00890431" w:rsidP="00214C1E">
            <w:pPr>
              <w:jc w:val="right"/>
              <w:rPr>
                <w:rFonts w:cs="Calibri"/>
                <w:b/>
                <w:bCs/>
                <w:sz w:val="20"/>
              </w:rPr>
            </w:pPr>
            <w:r>
              <w:rPr>
                <w:rFonts w:cs="Calibri"/>
                <w:b/>
                <w:bCs/>
                <w:sz w:val="20"/>
              </w:rPr>
              <w:t>14 0</w:t>
            </w:r>
            <w:r w:rsidR="00214C1E" w:rsidRPr="00D6741D">
              <w:rPr>
                <w:rFonts w:cs="Calibri"/>
                <w:b/>
                <w:bCs/>
                <w:sz w:val="20"/>
              </w:rPr>
              <w:t>00,00</w:t>
            </w:r>
          </w:p>
        </w:tc>
        <w:tc>
          <w:tcPr>
            <w:tcW w:w="221" w:type="pct"/>
            <w:tcBorders>
              <w:top w:val="nil"/>
              <w:left w:val="nil"/>
              <w:bottom w:val="nil"/>
              <w:right w:val="nil"/>
            </w:tcBorders>
            <w:shd w:val="clear" w:color="000000" w:fill="C0C0C0"/>
            <w:noWrap/>
            <w:vAlign w:val="bottom"/>
          </w:tcPr>
          <w:p w14:paraId="1BDC7252" w14:textId="047A6112" w:rsidR="00214C1E" w:rsidRPr="00890431" w:rsidRDefault="00214C1E" w:rsidP="00214C1E">
            <w:pPr>
              <w:jc w:val="center"/>
              <w:rPr>
                <w:rFonts w:cs="Calibri"/>
                <w:b/>
                <w:bCs/>
                <w:sz w:val="20"/>
              </w:rPr>
            </w:pPr>
          </w:p>
        </w:tc>
        <w:tc>
          <w:tcPr>
            <w:tcW w:w="532" w:type="pct"/>
            <w:tcBorders>
              <w:top w:val="nil"/>
              <w:left w:val="nil"/>
              <w:bottom w:val="nil"/>
              <w:right w:val="nil"/>
            </w:tcBorders>
            <w:shd w:val="clear" w:color="000000" w:fill="C0C0C0"/>
            <w:noWrap/>
            <w:vAlign w:val="bottom"/>
          </w:tcPr>
          <w:p w14:paraId="731A6337" w14:textId="0ECA5DBA" w:rsidR="00214C1E" w:rsidRPr="00214C1E" w:rsidRDefault="00214C1E" w:rsidP="00214C1E">
            <w:pPr>
              <w:jc w:val="right"/>
              <w:rPr>
                <w:rFonts w:cs="Calibri"/>
                <w:b/>
                <w:bCs/>
                <w:sz w:val="20"/>
              </w:rPr>
            </w:pPr>
          </w:p>
        </w:tc>
        <w:tc>
          <w:tcPr>
            <w:tcW w:w="581" w:type="pct"/>
            <w:tcBorders>
              <w:top w:val="nil"/>
              <w:left w:val="nil"/>
              <w:bottom w:val="nil"/>
              <w:right w:val="nil"/>
            </w:tcBorders>
            <w:shd w:val="clear" w:color="000000" w:fill="C0C0C0"/>
            <w:noWrap/>
            <w:vAlign w:val="bottom"/>
          </w:tcPr>
          <w:p w14:paraId="565D345C" w14:textId="379FF6C3" w:rsidR="00214C1E" w:rsidRPr="00214C1E" w:rsidRDefault="00214C1E" w:rsidP="00214C1E">
            <w:pPr>
              <w:jc w:val="right"/>
              <w:rPr>
                <w:rFonts w:cs="Calibri"/>
                <w:b/>
                <w:bCs/>
                <w:sz w:val="20"/>
              </w:rPr>
            </w:pPr>
          </w:p>
        </w:tc>
      </w:tr>
    </w:tbl>
    <w:p w14:paraId="01447CA8" w14:textId="77777777" w:rsidR="00F10165" w:rsidRDefault="00F10165" w:rsidP="00F10165">
      <w:pPr>
        <w:tabs>
          <w:tab w:val="left" w:pos="-306"/>
          <w:tab w:val="left" w:pos="284"/>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asciiTheme="minorHAnsi" w:hAnsiTheme="minorHAnsi"/>
          <w:sz w:val="20"/>
        </w:rPr>
      </w:pPr>
    </w:p>
    <w:p w14:paraId="28D03046" w14:textId="77777777" w:rsidR="00F10165" w:rsidRPr="00F10165" w:rsidRDefault="00F10165" w:rsidP="00F10165">
      <w:pPr>
        <w:pStyle w:val="Odstavecseseznamem"/>
        <w:spacing w:after="200" w:line="276" w:lineRule="auto"/>
        <w:rPr>
          <w:rFonts w:cs="Calibri"/>
          <w:sz w:val="20"/>
        </w:rPr>
      </w:pPr>
    </w:p>
    <w:p w14:paraId="2FD84BA8" w14:textId="07EA520F" w:rsidR="00214C1E" w:rsidRDefault="00214C1E" w:rsidP="00214C1E">
      <w:pPr>
        <w:spacing w:after="200" w:line="276" w:lineRule="auto"/>
        <w:ind w:left="426"/>
        <w:rPr>
          <w:rFonts w:ascii="Cambria" w:hAnsi="Cambria"/>
          <w:b/>
          <w:bCs/>
          <w:sz w:val="22"/>
          <w:szCs w:val="22"/>
        </w:rPr>
      </w:pPr>
      <w:r>
        <w:rPr>
          <w:rFonts w:ascii="Cambria" w:hAnsi="Cambria"/>
          <w:b/>
          <w:bCs/>
          <w:sz w:val="22"/>
          <w:szCs w:val="22"/>
        </w:rPr>
        <w:t>1.5 Rekapitulace cen</w:t>
      </w:r>
    </w:p>
    <w:tbl>
      <w:tblPr>
        <w:tblW w:w="5000" w:type="pct"/>
        <w:tblCellMar>
          <w:left w:w="70" w:type="dxa"/>
          <w:right w:w="70" w:type="dxa"/>
        </w:tblCellMar>
        <w:tblLook w:val="04A0" w:firstRow="1" w:lastRow="0" w:firstColumn="1" w:lastColumn="0" w:noHBand="0" w:noVBand="1"/>
      </w:tblPr>
      <w:tblGrid>
        <w:gridCol w:w="4441"/>
        <w:gridCol w:w="415"/>
        <w:gridCol w:w="416"/>
        <w:gridCol w:w="416"/>
        <w:gridCol w:w="416"/>
        <w:gridCol w:w="469"/>
        <w:gridCol w:w="1190"/>
        <w:gridCol w:w="471"/>
        <w:gridCol w:w="1135"/>
        <w:gridCol w:w="1237"/>
      </w:tblGrid>
      <w:tr w:rsidR="00890431" w:rsidRPr="00606717" w14:paraId="4F6B9CA8" w14:textId="77777777" w:rsidTr="00606717">
        <w:trPr>
          <w:trHeight w:val="255"/>
        </w:trPr>
        <w:tc>
          <w:tcPr>
            <w:tcW w:w="2877" w:type="pct"/>
            <w:gridSpan w:val="5"/>
            <w:tcBorders>
              <w:top w:val="nil"/>
              <w:left w:val="nil"/>
              <w:bottom w:val="nil"/>
              <w:right w:val="nil"/>
            </w:tcBorders>
            <w:shd w:val="clear" w:color="auto" w:fill="auto"/>
            <w:noWrap/>
            <w:vAlign w:val="bottom"/>
            <w:hideMark/>
          </w:tcPr>
          <w:p w14:paraId="7CB43A38" w14:textId="77777777" w:rsidR="00606717" w:rsidRPr="00606717" w:rsidRDefault="00606717" w:rsidP="00606717">
            <w:pPr>
              <w:rPr>
                <w:rFonts w:cs="Calibri"/>
                <w:b/>
                <w:bCs/>
                <w:sz w:val="18"/>
                <w:szCs w:val="18"/>
              </w:rPr>
            </w:pPr>
            <w:r w:rsidRPr="00606717">
              <w:rPr>
                <w:rFonts w:cs="Calibri"/>
                <w:b/>
                <w:bCs/>
                <w:sz w:val="18"/>
                <w:szCs w:val="18"/>
              </w:rPr>
              <w:t>Název</w:t>
            </w:r>
          </w:p>
        </w:tc>
        <w:tc>
          <w:tcPr>
            <w:tcW w:w="221" w:type="pct"/>
            <w:tcBorders>
              <w:top w:val="nil"/>
              <w:left w:val="nil"/>
              <w:bottom w:val="nil"/>
              <w:right w:val="nil"/>
            </w:tcBorders>
            <w:shd w:val="clear" w:color="auto" w:fill="auto"/>
            <w:noWrap/>
            <w:vAlign w:val="bottom"/>
            <w:hideMark/>
          </w:tcPr>
          <w:p w14:paraId="292A67B6" w14:textId="77777777" w:rsidR="00606717" w:rsidRPr="00606717" w:rsidRDefault="00606717" w:rsidP="00606717">
            <w:pPr>
              <w:rPr>
                <w:rFonts w:cs="Calibri"/>
                <w:b/>
                <w:bCs/>
                <w:sz w:val="18"/>
                <w:szCs w:val="18"/>
              </w:rPr>
            </w:pPr>
          </w:p>
        </w:tc>
        <w:tc>
          <w:tcPr>
            <w:tcW w:w="561" w:type="pct"/>
            <w:tcBorders>
              <w:top w:val="nil"/>
              <w:left w:val="nil"/>
              <w:bottom w:val="nil"/>
              <w:right w:val="nil"/>
            </w:tcBorders>
            <w:shd w:val="clear" w:color="auto" w:fill="auto"/>
            <w:noWrap/>
            <w:vAlign w:val="bottom"/>
            <w:hideMark/>
          </w:tcPr>
          <w:p w14:paraId="5AD98436" w14:textId="77777777" w:rsidR="00606717" w:rsidRPr="00606717" w:rsidRDefault="00606717" w:rsidP="00606717">
            <w:pPr>
              <w:jc w:val="center"/>
              <w:rPr>
                <w:rFonts w:cs="Calibri"/>
                <w:b/>
                <w:bCs/>
                <w:sz w:val="18"/>
                <w:szCs w:val="18"/>
              </w:rPr>
            </w:pPr>
            <w:r w:rsidRPr="00606717">
              <w:rPr>
                <w:rFonts w:cs="Calibri"/>
                <w:b/>
                <w:bCs/>
                <w:sz w:val="18"/>
                <w:szCs w:val="18"/>
              </w:rPr>
              <w:t>Cena bez DPH</w:t>
            </w:r>
          </w:p>
        </w:tc>
        <w:tc>
          <w:tcPr>
            <w:tcW w:w="222" w:type="pct"/>
            <w:tcBorders>
              <w:top w:val="nil"/>
              <w:left w:val="nil"/>
              <w:bottom w:val="nil"/>
              <w:right w:val="nil"/>
            </w:tcBorders>
            <w:shd w:val="clear" w:color="auto" w:fill="auto"/>
            <w:noWrap/>
            <w:vAlign w:val="bottom"/>
            <w:hideMark/>
          </w:tcPr>
          <w:p w14:paraId="65B1F650" w14:textId="77777777" w:rsidR="00606717" w:rsidRPr="00606717" w:rsidRDefault="00606717" w:rsidP="00606717">
            <w:pPr>
              <w:jc w:val="center"/>
              <w:rPr>
                <w:rFonts w:cs="Calibri"/>
                <w:b/>
                <w:bCs/>
                <w:sz w:val="18"/>
                <w:szCs w:val="18"/>
              </w:rPr>
            </w:pPr>
            <w:r w:rsidRPr="00606717">
              <w:rPr>
                <w:rFonts w:cs="Calibri"/>
                <w:b/>
                <w:bCs/>
                <w:sz w:val="18"/>
                <w:szCs w:val="18"/>
              </w:rPr>
              <w:t>DPH</w:t>
            </w:r>
          </w:p>
        </w:tc>
        <w:tc>
          <w:tcPr>
            <w:tcW w:w="535" w:type="pct"/>
            <w:tcBorders>
              <w:top w:val="nil"/>
              <w:left w:val="nil"/>
              <w:bottom w:val="nil"/>
              <w:right w:val="nil"/>
            </w:tcBorders>
            <w:shd w:val="clear" w:color="auto" w:fill="auto"/>
            <w:noWrap/>
            <w:vAlign w:val="bottom"/>
            <w:hideMark/>
          </w:tcPr>
          <w:p w14:paraId="77434E13" w14:textId="77777777" w:rsidR="00606717" w:rsidRPr="00606717" w:rsidRDefault="00606717" w:rsidP="00606717">
            <w:pPr>
              <w:jc w:val="center"/>
              <w:rPr>
                <w:rFonts w:cs="Calibri"/>
                <w:b/>
                <w:bCs/>
                <w:sz w:val="18"/>
                <w:szCs w:val="18"/>
              </w:rPr>
            </w:pPr>
            <w:r w:rsidRPr="00606717">
              <w:rPr>
                <w:rFonts w:cs="Calibri"/>
                <w:b/>
                <w:bCs/>
                <w:sz w:val="18"/>
                <w:szCs w:val="18"/>
              </w:rPr>
              <w:t>DPH</w:t>
            </w:r>
          </w:p>
        </w:tc>
        <w:tc>
          <w:tcPr>
            <w:tcW w:w="584" w:type="pct"/>
            <w:tcBorders>
              <w:top w:val="nil"/>
              <w:left w:val="nil"/>
              <w:bottom w:val="nil"/>
              <w:right w:val="nil"/>
            </w:tcBorders>
            <w:shd w:val="clear" w:color="auto" w:fill="auto"/>
            <w:noWrap/>
            <w:vAlign w:val="bottom"/>
            <w:hideMark/>
          </w:tcPr>
          <w:p w14:paraId="6C172822" w14:textId="77777777" w:rsidR="00606717" w:rsidRPr="00606717" w:rsidRDefault="00606717" w:rsidP="00606717">
            <w:pPr>
              <w:jc w:val="center"/>
              <w:rPr>
                <w:rFonts w:cs="Calibri"/>
                <w:b/>
                <w:bCs/>
                <w:sz w:val="18"/>
                <w:szCs w:val="18"/>
              </w:rPr>
            </w:pPr>
            <w:r w:rsidRPr="00606717">
              <w:rPr>
                <w:rFonts w:cs="Calibri"/>
                <w:b/>
                <w:bCs/>
                <w:sz w:val="18"/>
                <w:szCs w:val="18"/>
              </w:rPr>
              <w:t>Cena celkem</w:t>
            </w:r>
          </w:p>
        </w:tc>
      </w:tr>
      <w:tr w:rsidR="00890431" w:rsidRPr="00606717" w14:paraId="6E9251FA" w14:textId="77777777" w:rsidTr="00606717">
        <w:trPr>
          <w:trHeight w:val="255"/>
        </w:trPr>
        <w:tc>
          <w:tcPr>
            <w:tcW w:w="2094" w:type="pct"/>
            <w:tcBorders>
              <w:top w:val="nil"/>
              <w:left w:val="nil"/>
              <w:bottom w:val="single" w:sz="4" w:space="0" w:color="auto"/>
              <w:right w:val="nil"/>
            </w:tcBorders>
            <w:shd w:val="clear" w:color="auto" w:fill="auto"/>
            <w:noWrap/>
            <w:vAlign w:val="bottom"/>
            <w:hideMark/>
          </w:tcPr>
          <w:p w14:paraId="6E65C00E" w14:textId="77777777" w:rsidR="00606717" w:rsidRPr="00606717" w:rsidRDefault="00606717" w:rsidP="00606717">
            <w:pPr>
              <w:rPr>
                <w:rFonts w:cs="Calibri"/>
                <w:sz w:val="18"/>
                <w:szCs w:val="18"/>
              </w:rPr>
            </w:pPr>
            <w:r w:rsidRPr="00606717">
              <w:rPr>
                <w:rFonts w:cs="Calibri"/>
                <w:sz w:val="18"/>
                <w:szCs w:val="18"/>
              </w:rPr>
              <w:t> </w:t>
            </w:r>
          </w:p>
        </w:tc>
        <w:tc>
          <w:tcPr>
            <w:tcW w:w="196" w:type="pct"/>
            <w:tcBorders>
              <w:top w:val="nil"/>
              <w:left w:val="nil"/>
              <w:bottom w:val="single" w:sz="4" w:space="0" w:color="auto"/>
              <w:right w:val="nil"/>
            </w:tcBorders>
            <w:shd w:val="clear" w:color="auto" w:fill="auto"/>
            <w:noWrap/>
            <w:vAlign w:val="bottom"/>
            <w:hideMark/>
          </w:tcPr>
          <w:p w14:paraId="5085CFEC" w14:textId="77777777" w:rsidR="00606717" w:rsidRPr="00606717" w:rsidRDefault="00606717" w:rsidP="00606717">
            <w:pPr>
              <w:rPr>
                <w:rFonts w:cs="Calibri"/>
                <w:sz w:val="18"/>
                <w:szCs w:val="18"/>
              </w:rPr>
            </w:pPr>
            <w:r w:rsidRPr="00606717">
              <w:rPr>
                <w:rFonts w:cs="Calibri"/>
                <w:sz w:val="18"/>
                <w:szCs w:val="18"/>
              </w:rPr>
              <w:t> </w:t>
            </w:r>
          </w:p>
        </w:tc>
        <w:tc>
          <w:tcPr>
            <w:tcW w:w="196" w:type="pct"/>
            <w:tcBorders>
              <w:top w:val="nil"/>
              <w:left w:val="nil"/>
              <w:bottom w:val="single" w:sz="4" w:space="0" w:color="auto"/>
              <w:right w:val="nil"/>
            </w:tcBorders>
            <w:shd w:val="clear" w:color="auto" w:fill="auto"/>
            <w:noWrap/>
            <w:vAlign w:val="bottom"/>
            <w:hideMark/>
          </w:tcPr>
          <w:p w14:paraId="38866DDF" w14:textId="77777777" w:rsidR="00606717" w:rsidRPr="00606717" w:rsidRDefault="00606717" w:rsidP="00606717">
            <w:pPr>
              <w:rPr>
                <w:rFonts w:cs="Calibri"/>
                <w:sz w:val="18"/>
                <w:szCs w:val="18"/>
              </w:rPr>
            </w:pPr>
            <w:r w:rsidRPr="00606717">
              <w:rPr>
                <w:rFonts w:cs="Calibri"/>
                <w:sz w:val="18"/>
                <w:szCs w:val="18"/>
              </w:rPr>
              <w:t> </w:t>
            </w:r>
          </w:p>
        </w:tc>
        <w:tc>
          <w:tcPr>
            <w:tcW w:w="196" w:type="pct"/>
            <w:tcBorders>
              <w:top w:val="nil"/>
              <w:left w:val="nil"/>
              <w:bottom w:val="single" w:sz="4" w:space="0" w:color="auto"/>
              <w:right w:val="nil"/>
            </w:tcBorders>
            <w:shd w:val="clear" w:color="auto" w:fill="auto"/>
            <w:noWrap/>
            <w:vAlign w:val="bottom"/>
            <w:hideMark/>
          </w:tcPr>
          <w:p w14:paraId="1831D563" w14:textId="77777777" w:rsidR="00606717" w:rsidRPr="00606717" w:rsidRDefault="00606717" w:rsidP="00606717">
            <w:pPr>
              <w:rPr>
                <w:rFonts w:cs="Calibri"/>
                <w:sz w:val="18"/>
                <w:szCs w:val="18"/>
              </w:rPr>
            </w:pPr>
            <w:r w:rsidRPr="00606717">
              <w:rPr>
                <w:rFonts w:cs="Calibri"/>
                <w:sz w:val="18"/>
                <w:szCs w:val="18"/>
              </w:rPr>
              <w:t> </w:t>
            </w:r>
          </w:p>
        </w:tc>
        <w:tc>
          <w:tcPr>
            <w:tcW w:w="196" w:type="pct"/>
            <w:tcBorders>
              <w:top w:val="nil"/>
              <w:left w:val="nil"/>
              <w:bottom w:val="single" w:sz="4" w:space="0" w:color="auto"/>
              <w:right w:val="nil"/>
            </w:tcBorders>
            <w:shd w:val="clear" w:color="auto" w:fill="auto"/>
            <w:noWrap/>
            <w:vAlign w:val="bottom"/>
            <w:hideMark/>
          </w:tcPr>
          <w:p w14:paraId="4AD3F47B" w14:textId="77777777" w:rsidR="00606717" w:rsidRPr="00606717" w:rsidRDefault="00606717" w:rsidP="00606717">
            <w:pPr>
              <w:rPr>
                <w:rFonts w:cs="Calibri"/>
                <w:sz w:val="18"/>
                <w:szCs w:val="18"/>
              </w:rPr>
            </w:pPr>
            <w:r w:rsidRPr="00606717">
              <w:rPr>
                <w:rFonts w:cs="Calibri"/>
                <w:sz w:val="18"/>
                <w:szCs w:val="18"/>
              </w:rPr>
              <w:t> </w:t>
            </w:r>
          </w:p>
        </w:tc>
        <w:tc>
          <w:tcPr>
            <w:tcW w:w="221" w:type="pct"/>
            <w:tcBorders>
              <w:top w:val="nil"/>
              <w:left w:val="nil"/>
              <w:bottom w:val="single" w:sz="4" w:space="0" w:color="auto"/>
              <w:right w:val="nil"/>
            </w:tcBorders>
            <w:shd w:val="clear" w:color="auto" w:fill="auto"/>
            <w:noWrap/>
            <w:vAlign w:val="bottom"/>
            <w:hideMark/>
          </w:tcPr>
          <w:p w14:paraId="4056F165" w14:textId="77777777" w:rsidR="00606717" w:rsidRPr="00606717" w:rsidRDefault="00606717" w:rsidP="00606717">
            <w:pPr>
              <w:jc w:val="center"/>
              <w:rPr>
                <w:rFonts w:cs="Calibri"/>
                <w:b/>
                <w:bCs/>
                <w:sz w:val="18"/>
                <w:szCs w:val="18"/>
              </w:rPr>
            </w:pPr>
            <w:r w:rsidRPr="00606717">
              <w:rPr>
                <w:rFonts w:cs="Calibri"/>
                <w:b/>
                <w:bCs/>
                <w:sz w:val="18"/>
                <w:szCs w:val="18"/>
              </w:rPr>
              <w:t> </w:t>
            </w:r>
          </w:p>
        </w:tc>
        <w:tc>
          <w:tcPr>
            <w:tcW w:w="561" w:type="pct"/>
            <w:tcBorders>
              <w:top w:val="nil"/>
              <w:left w:val="nil"/>
              <w:bottom w:val="single" w:sz="4" w:space="0" w:color="auto"/>
              <w:right w:val="nil"/>
            </w:tcBorders>
            <w:shd w:val="clear" w:color="auto" w:fill="auto"/>
            <w:noWrap/>
            <w:vAlign w:val="bottom"/>
            <w:hideMark/>
          </w:tcPr>
          <w:p w14:paraId="627779F2" w14:textId="77777777" w:rsidR="00606717" w:rsidRPr="00606717" w:rsidRDefault="00606717" w:rsidP="00606717">
            <w:pPr>
              <w:jc w:val="center"/>
              <w:rPr>
                <w:rFonts w:cs="Calibri"/>
                <w:b/>
                <w:bCs/>
                <w:sz w:val="18"/>
                <w:szCs w:val="18"/>
              </w:rPr>
            </w:pPr>
            <w:r w:rsidRPr="00606717">
              <w:rPr>
                <w:rFonts w:cs="Calibri"/>
                <w:b/>
                <w:bCs/>
                <w:sz w:val="18"/>
                <w:szCs w:val="18"/>
              </w:rPr>
              <w:t>Kč</w:t>
            </w:r>
          </w:p>
        </w:tc>
        <w:tc>
          <w:tcPr>
            <w:tcW w:w="222" w:type="pct"/>
            <w:tcBorders>
              <w:top w:val="nil"/>
              <w:left w:val="nil"/>
              <w:bottom w:val="single" w:sz="4" w:space="0" w:color="auto"/>
              <w:right w:val="nil"/>
            </w:tcBorders>
            <w:shd w:val="clear" w:color="auto" w:fill="auto"/>
            <w:noWrap/>
            <w:vAlign w:val="bottom"/>
            <w:hideMark/>
          </w:tcPr>
          <w:p w14:paraId="1C8E12FB" w14:textId="77777777" w:rsidR="00606717" w:rsidRPr="00606717" w:rsidRDefault="00606717" w:rsidP="00606717">
            <w:pPr>
              <w:jc w:val="center"/>
              <w:rPr>
                <w:rFonts w:cs="Calibri"/>
                <w:b/>
                <w:bCs/>
                <w:sz w:val="18"/>
                <w:szCs w:val="18"/>
              </w:rPr>
            </w:pPr>
            <w:r w:rsidRPr="00606717">
              <w:rPr>
                <w:rFonts w:cs="Calibri"/>
                <w:b/>
                <w:bCs/>
                <w:sz w:val="18"/>
                <w:szCs w:val="18"/>
              </w:rPr>
              <w:t>%</w:t>
            </w:r>
          </w:p>
        </w:tc>
        <w:tc>
          <w:tcPr>
            <w:tcW w:w="535" w:type="pct"/>
            <w:tcBorders>
              <w:top w:val="nil"/>
              <w:left w:val="nil"/>
              <w:bottom w:val="single" w:sz="4" w:space="0" w:color="auto"/>
              <w:right w:val="nil"/>
            </w:tcBorders>
            <w:shd w:val="clear" w:color="auto" w:fill="auto"/>
            <w:noWrap/>
            <w:vAlign w:val="bottom"/>
            <w:hideMark/>
          </w:tcPr>
          <w:p w14:paraId="117AE766" w14:textId="77777777" w:rsidR="00606717" w:rsidRPr="00606717" w:rsidRDefault="00606717" w:rsidP="00606717">
            <w:pPr>
              <w:jc w:val="center"/>
              <w:rPr>
                <w:rFonts w:cs="Calibri"/>
                <w:b/>
                <w:bCs/>
                <w:sz w:val="18"/>
                <w:szCs w:val="18"/>
              </w:rPr>
            </w:pPr>
            <w:r w:rsidRPr="00606717">
              <w:rPr>
                <w:rFonts w:cs="Calibri"/>
                <w:b/>
                <w:bCs/>
                <w:sz w:val="18"/>
                <w:szCs w:val="18"/>
              </w:rPr>
              <w:t>Kč</w:t>
            </w:r>
          </w:p>
        </w:tc>
        <w:tc>
          <w:tcPr>
            <w:tcW w:w="584" w:type="pct"/>
            <w:tcBorders>
              <w:top w:val="nil"/>
              <w:left w:val="nil"/>
              <w:bottom w:val="single" w:sz="4" w:space="0" w:color="auto"/>
              <w:right w:val="nil"/>
            </w:tcBorders>
            <w:shd w:val="clear" w:color="auto" w:fill="auto"/>
            <w:noWrap/>
            <w:vAlign w:val="bottom"/>
            <w:hideMark/>
          </w:tcPr>
          <w:p w14:paraId="330C0115" w14:textId="77777777" w:rsidR="00606717" w:rsidRPr="00606717" w:rsidRDefault="00606717" w:rsidP="00606717">
            <w:pPr>
              <w:jc w:val="center"/>
              <w:rPr>
                <w:rFonts w:cs="Calibri"/>
                <w:b/>
                <w:bCs/>
                <w:sz w:val="18"/>
                <w:szCs w:val="18"/>
              </w:rPr>
            </w:pPr>
            <w:r w:rsidRPr="00606717">
              <w:rPr>
                <w:rFonts w:cs="Calibri"/>
                <w:b/>
                <w:bCs/>
                <w:sz w:val="18"/>
                <w:szCs w:val="18"/>
              </w:rPr>
              <w:t>Kč</w:t>
            </w:r>
          </w:p>
        </w:tc>
      </w:tr>
      <w:tr w:rsidR="00890431" w:rsidRPr="00606717" w14:paraId="15559733" w14:textId="77777777" w:rsidTr="00606717">
        <w:trPr>
          <w:trHeight w:val="255"/>
        </w:trPr>
        <w:tc>
          <w:tcPr>
            <w:tcW w:w="2877" w:type="pct"/>
            <w:gridSpan w:val="5"/>
            <w:tcBorders>
              <w:top w:val="nil"/>
              <w:left w:val="nil"/>
              <w:bottom w:val="nil"/>
              <w:right w:val="nil"/>
            </w:tcBorders>
            <w:shd w:val="clear" w:color="auto" w:fill="auto"/>
            <w:noWrap/>
            <w:vAlign w:val="bottom"/>
            <w:hideMark/>
          </w:tcPr>
          <w:p w14:paraId="7E5FCB5E" w14:textId="77777777" w:rsidR="00606717" w:rsidRPr="00606717" w:rsidRDefault="00606717" w:rsidP="00606717">
            <w:pPr>
              <w:rPr>
                <w:rFonts w:cs="Calibri"/>
                <w:sz w:val="20"/>
              </w:rPr>
            </w:pPr>
            <w:r w:rsidRPr="00606717">
              <w:rPr>
                <w:rFonts w:cs="Calibri"/>
                <w:sz w:val="20"/>
              </w:rPr>
              <w:t xml:space="preserve"> Aplikační software</w:t>
            </w:r>
          </w:p>
        </w:tc>
        <w:tc>
          <w:tcPr>
            <w:tcW w:w="221" w:type="pct"/>
            <w:tcBorders>
              <w:top w:val="nil"/>
              <w:left w:val="nil"/>
              <w:bottom w:val="nil"/>
              <w:right w:val="nil"/>
            </w:tcBorders>
            <w:shd w:val="clear" w:color="auto" w:fill="auto"/>
            <w:noWrap/>
            <w:vAlign w:val="bottom"/>
            <w:hideMark/>
          </w:tcPr>
          <w:p w14:paraId="3C09D68D" w14:textId="77777777" w:rsidR="00606717" w:rsidRPr="00606717" w:rsidRDefault="00606717" w:rsidP="00606717">
            <w:pPr>
              <w:rPr>
                <w:rFonts w:cs="Calibri"/>
                <w:sz w:val="20"/>
              </w:rPr>
            </w:pPr>
          </w:p>
        </w:tc>
        <w:tc>
          <w:tcPr>
            <w:tcW w:w="561" w:type="pct"/>
            <w:tcBorders>
              <w:top w:val="nil"/>
              <w:left w:val="nil"/>
              <w:bottom w:val="nil"/>
              <w:right w:val="nil"/>
            </w:tcBorders>
            <w:shd w:val="clear" w:color="auto" w:fill="auto"/>
            <w:noWrap/>
            <w:vAlign w:val="bottom"/>
            <w:hideMark/>
          </w:tcPr>
          <w:p w14:paraId="6078AD5F" w14:textId="77777777" w:rsidR="00606717" w:rsidRPr="00606717" w:rsidRDefault="00606717" w:rsidP="00606717">
            <w:pPr>
              <w:jc w:val="right"/>
              <w:rPr>
                <w:rFonts w:cs="Calibri"/>
                <w:sz w:val="20"/>
              </w:rPr>
            </w:pPr>
            <w:r w:rsidRPr="00606717">
              <w:rPr>
                <w:rFonts w:cs="Calibri"/>
                <w:sz w:val="20"/>
              </w:rPr>
              <w:t>20 205,00</w:t>
            </w:r>
          </w:p>
        </w:tc>
        <w:tc>
          <w:tcPr>
            <w:tcW w:w="222" w:type="pct"/>
            <w:tcBorders>
              <w:top w:val="nil"/>
              <w:left w:val="nil"/>
              <w:bottom w:val="nil"/>
              <w:right w:val="nil"/>
            </w:tcBorders>
            <w:shd w:val="clear" w:color="auto" w:fill="auto"/>
            <w:noWrap/>
            <w:vAlign w:val="bottom"/>
            <w:hideMark/>
          </w:tcPr>
          <w:p w14:paraId="10A000AA" w14:textId="77777777" w:rsidR="00606717" w:rsidRPr="00606717" w:rsidRDefault="00606717" w:rsidP="00606717">
            <w:pPr>
              <w:jc w:val="right"/>
              <w:rPr>
                <w:rFonts w:cs="Calibri"/>
                <w:sz w:val="20"/>
              </w:rPr>
            </w:pPr>
          </w:p>
        </w:tc>
        <w:tc>
          <w:tcPr>
            <w:tcW w:w="535" w:type="pct"/>
            <w:tcBorders>
              <w:top w:val="nil"/>
              <w:left w:val="nil"/>
              <w:bottom w:val="nil"/>
              <w:right w:val="nil"/>
            </w:tcBorders>
            <w:shd w:val="clear" w:color="auto" w:fill="auto"/>
            <w:noWrap/>
            <w:vAlign w:val="bottom"/>
            <w:hideMark/>
          </w:tcPr>
          <w:p w14:paraId="6546237E" w14:textId="77777777" w:rsidR="00606717" w:rsidRPr="00606717" w:rsidRDefault="00606717" w:rsidP="00606717">
            <w:pPr>
              <w:jc w:val="center"/>
              <w:rPr>
                <w:rFonts w:cs="Calibri"/>
                <w:sz w:val="20"/>
              </w:rPr>
            </w:pPr>
          </w:p>
        </w:tc>
        <w:tc>
          <w:tcPr>
            <w:tcW w:w="584" w:type="pct"/>
            <w:tcBorders>
              <w:top w:val="nil"/>
              <w:left w:val="nil"/>
              <w:bottom w:val="nil"/>
              <w:right w:val="nil"/>
            </w:tcBorders>
            <w:shd w:val="clear" w:color="auto" w:fill="auto"/>
            <w:noWrap/>
            <w:vAlign w:val="bottom"/>
            <w:hideMark/>
          </w:tcPr>
          <w:p w14:paraId="4ECC7948" w14:textId="77777777" w:rsidR="00606717" w:rsidRPr="00606717" w:rsidRDefault="00606717" w:rsidP="00606717">
            <w:pPr>
              <w:rPr>
                <w:rFonts w:cs="Calibri"/>
                <w:sz w:val="20"/>
              </w:rPr>
            </w:pPr>
          </w:p>
        </w:tc>
      </w:tr>
      <w:tr w:rsidR="00890431" w:rsidRPr="00606717" w14:paraId="5AEB7997" w14:textId="77777777" w:rsidTr="00606717">
        <w:trPr>
          <w:trHeight w:val="255"/>
        </w:trPr>
        <w:tc>
          <w:tcPr>
            <w:tcW w:w="2682" w:type="pct"/>
            <w:gridSpan w:val="4"/>
            <w:tcBorders>
              <w:top w:val="nil"/>
              <w:left w:val="nil"/>
              <w:bottom w:val="nil"/>
              <w:right w:val="nil"/>
            </w:tcBorders>
            <w:shd w:val="clear" w:color="auto" w:fill="auto"/>
            <w:noWrap/>
            <w:vAlign w:val="bottom"/>
            <w:hideMark/>
          </w:tcPr>
          <w:p w14:paraId="0F96436A" w14:textId="77777777" w:rsidR="00606717" w:rsidRPr="00606717" w:rsidRDefault="00606717" w:rsidP="00606717">
            <w:pPr>
              <w:rPr>
                <w:rFonts w:cs="Calibri"/>
                <w:sz w:val="20"/>
              </w:rPr>
            </w:pPr>
            <w:r w:rsidRPr="00606717">
              <w:rPr>
                <w:rFonts w:cs="Calibri"/>
                <w:sz w:val="20"/>
              </w:rPr>
              <w:t xml:space="preserve"> Základní software</w:t>
            </w:r>
          </w:p>
        </w:tc>
        <w:tc>
          <w:tcPr>
            <w:tcW w:w="196" w:type="pct"/>
            <w:tcBorders>
              <w:top w:val="nil"/>
              <w:left w:val="nil"/>
              <w:bottom w:val="nil"/>
              <w:right w:val="nil"/>
            </w:tcBorders>
            <w:shd w:val="clear" w:color="auto" w:fill="auto"/>
            <w:noWrap/>
            <w:vAlign w:val="bottom"/>
            <w:hideMark/>
          </w:tcPr>
          <w:p w14:paraId="12A502B7" w14:textId="77777777" w:rsidR="00606717" w:rsidRPr="00606717" w:rsidRDefault="00606717" w:rsidP="00606717">
            <w:pPr>
              <w:rPr>
                <w:rFonts w:cs="Calibri"/>
                <w:sz w:val="20"/>
              </w:rPr>
            </w:pPr>
          </w:p>
        </w:tc>
        <w:tc>
          <w:tcPr>
            <w:tcW w:w="221" w:type="pct"/>
            <w:tcBorders>
              <w:top w:val="nil"/>
              <w:left w:val="nil"/>
              <w:bottom w:val="nil"/>
              <w:right w:val="nil"/>
            </w:tcBorders>
            <w:shd w:val="clear" w:color="auto" w:fill="auto"/>
            <w:noWrap/>
            <w:vAlign w:val="bottom"/>
            <w:hideMark/>
          </w:tcPr>
          <w:p w14:paraId="5F65EBB6" w14:textId="77777777" w:rsidR="00606717" w:rsidRPr="00606717" w:rsidRDefault="00606717" w:rsidP="00606717">
            <w:pPr>
              <w:rPr>
                <w:rFonts w:cs="Calibri"/>
                <w:sz w:val="20"/>
              </w:rPr>
            </w:pPr>
          </w:p>
        </w:tc>
        <w:tc>
          <w:tcPr>
            <w:tcW w:w="561" w:type="pct"/>
            <w:tcBorders>
              <w:top w:val="nil"/>
              <w:left w:val="nil"/>
              <w:bottom w:val="nil"/>
              <w:right w:val="nil"/>
            </w:tcBorders>
            <w:shd w:val="clear" w:color="auto" w:fill="auto"/>
            <w:noWrap/>
            <w:vAlign w:val="bottom"/>
            <w:hideMark/>
          </w:tcPr>
          <w:p w14:paraId="64109F06" w14:textId="77777777" w:rsidR="00606717" w:rsidRPr="00606717" w:rsidRDefault="00606717" w:rsidP="00606717">
            <w:pPr>
              <w:jc w:val="right"/>
              <w:rPr>
                <w:rFonts w:cs="Calibri"/>
                <w:sz w:val="20"/>
              </w:rPr>
            </w:pPr>
            <w:r w:rsidRPr="00606717">
              <w:rPr>
                <w:rFonts w:cs="Calibri"/>
                <w:sz w:val="20"/>
              </w:rPr>
              <w:t>12 000,00</w:t>
            </w:r>
          </w:p>
        </w:tc>
        <w:tc>
          <w:tcPr>
            <w:tcW w:w="222" w:type="pct"/>
            <w:tcBorders>
              <w:top w:val="nil"/>
              <w:left w:val="nil"/>
              <w:bottom w:val="nil"/>
              <w:right w:val="nil"/>
            </w:tcBorders>
            <w:shd w:val="clear" w:color="auto" w:fill="auto"/>
            <w:noWrap/>
            <w:vAlign w:val="bottom"/>
            <w:hideMark/>
          </w:tcPr>
          <w:p w14:paraId="6CB19752" w14:textId="77777777" w:rsidR="00606717" w:rsidRPr="00606717" w:rsidRDefault="00606717" w:rsidP="00606717">
            <w:pPr>
              <w:jc w:val="right"/>
              <w:rPr>
                <w:rFonts w:cs="Calibri"/>
                <w:sz w:val="20"/>
              </w:rPr>
            </w:pPr>
          </w:p>
        </w:tc>
        <w:tc>
          <w:tcPr>
            <w:tcW w:w="535" w:type="pct"/>
            <w:tcBorders>
              <w:top w:val="nil"/>
              <w:left w:val="nil"/>
              <w:bottom w:val="nil"/>
              <w:right w:val="nil"/>
            </w:tcBorders>
            <w:shd w:val="clear" w:color="auto" w:fill="auto"/>
            <w:noWrap/>
            <w:vAlign w:val="bottom"/>
            <w:hideMark/>
          </w:tcPr>
          <w:p w14:paraId="74072570" w14:textId="77777777" w:rsidR="00606717" w:rsidRPr="00606717" w:rsidRDefault="00606717" w:rsidP="00606717">
            <w:pPr>
              <w:jc w:val="center"/>
              <w:rPr>
                <w:rFonts w:cs="Calibri"/>
                <w:sz w:val="20"/>
              </w:rPr>
            </w:pPr>
          </w:p>
        </w:tc>
        <w:tc>
          <w:tcPr>
            <w:tcW w:w="584" w:type="pct"/>
            <w:tcBorders>
              <w:top w:val="nil"/>
              <w:left w:val="nil"/>
              <w:bottom w:val="nil"/>
              <w:right w:val="nil"/>
            </w:tcBorders>
            <w:shd w:val="clear" w:color="auto" w:fill="auto"/>
            <w:noWrap/>
            <w:vAlign w:val="bottom"/>
            <w:hideMark/>
          </w:tcPr>
          <w:p w14:paraId="5134353E" w14:textId="77777777" w:rsidR="00606717" w:rsidRPr="00606717" w:rsidRDefault="00606717" w:rsidP="00606717">
            <w:pPr>
              <w:rPr>
                <w:rFonts w:cs="Calibri"/>
                <w:sz w:val="20"/>
              </w:rPr>
            </w:pPr>
          </w:p>
        </w:tc>
      </w:tr>
      <w:tr w:rsidR="00890431" w:rsidRPr="00606717" w14:paraId="318F9246" w14:textId="77777777" w:rsidTr="00606717">
        <w:trPr>
          <w:trHeight w:val="255"/>
        </w:trPr>
        <w:tc>
          <w:tcPr>
            <w:tcW w:w="2877" w:type="pct"/>
            <w:gridSpan w:val="5"/>
            <w:tcBorders>
              <w:top w:val="nil"/>
              <w:left w:val="nil"/>
              <w:bottom w:val="nil"/>
              <w:right w:val="nil"/>
            </w:tcBorders>
            <w:shd w:val="clear" w:color="auto" w:fill="auto"/>
            <w:noWrap/>
            <w:vAlign w:val="bottom"/>
            <w:hideMark/>
          </w:tcPr>
          <w:p w14:paraId="16A48F8B" w14:textId="77777777" w:rsidR="00606717" w:rsidRPr="00606717" w:rsidRDefault="00606717" w:rsidP="00606717">
            <w:pPr>
              <w:rPr>
                <w:rFonts w:cs="Calibri"/>
                <w:sz w:val="20"/>
              </w:rPr>
            </w:pPr>
            <w:r w:rsidRPr="00606717">
              <w:rPr>
                <w:rFonts w:cs="Calibri"/>
                <w:sz w:val="20"/>
              </w:rPr>
              <w:t xml:space="preserve"> Rozšiřující software MS SQL Server</w:t>
            </w:r>
          </w:p>
        </w:tc>
        <w:tc>
          <w:tcPr>
            <w:tcW w:w="221" w:type="pct"/>
            <w:tcBorders>
              <w:top w:val="nil"/>
              <w:left w:val="nil"/>
              <w:bottom w:val="nil"/>
              <w:right w:val="nil"/>
            </w:tcBorders>
            <w:shd w:val="clear" w:color="auto" w:fill="auto"/>
            <w:noWrap/>
            <w:vAlign w:val="bottom"/>
            <w:hideMark/>
          </w:tcPr>
          <w:p w14:paraId="42237A5F" w14:textId="77777777" w:rsidR="00606717" w:rsidRPr="00606717" w:rsidRDefault="00606717" w:rsidP="00606717">
            <w:pPr>
              <w:rPr>
                <w:rFonts w:cs="Calibri"/>
                <w:sz w:val="20"/>
              </w:rPr>
            </w:pPr>
          </w:p>
        </w:tc>
        <w:tc>
          <w:tcPr>
            <w:tcW w:w="561" w:type="pct"/>
            <w:tcBorders>
              <w:top w:val="nil"/>
              <w:left w:val="nil"/>
              <w:bottom w:val="nil"/>
              <w:right w:val="nil"/>
            </w:tcBorders>
            <w:shd w:val="clear" w:color="auto" w:fill="auto"/>
            <w:noWrap/>
            <w:vAlign w:val="bottom"/>
            <w:hideMark/>
          </w:tcPr>
          <w:p w14:paraId="661A7529" w14:textId="77777777" w:rsidR="00606717" w:rsidRPr="00606717" w:rsidRDefault="00606717" w:rsidP="00606717">
            <w:pPr>
              <w:jc w:val="right"/>
              <w:rPr>
                <w:rFonts w:cs="Calibri"/>
                <w:sz w:val="20"/>
              </w:rPr>
            </w:pPr>
            <w:r w:rsidRPr="00606717">
              <w:rPr>
                <w:rFonts w:cs="Calibri"/>
                <w:sz w:val="20"/>
              </w:rPr>
              <w:t>34 363,00</w:t>
            </w:r>
          </w:p>
        </w:tc>
        <w:tc>
          <w:tcPr>
            <w:tcW w:w="222" w:type="pct"/>
            <w:tcBorders>
              <w:top w:val="nil"/>
              <w:left w:val="nil"/>
              <w:bottom w:val="nil"/>
              <w:right w:val="nil"/>
            </w:tcBorders>
            <w:shd w:val="clear" w:color="auto" w:fill="auto"/>
            <w:noWrap/>
            <w:vAlign w:val="bottom"/>
            <w:hideMark/>
          </w:tcPr>
          <w:p w14:paraId="200DA041" w14:textId="77777777" w:rsidR="00606717" w:rsidRPr="00606717" w:rsidRDefault="00606717" w:rsidP="00606717">
            <w:pPr>
              <w:jc w:val="right"/>
              <w:rPr>
                <w:rFonts w:cs="Calibri"/>
                <w:sz w:val="20"/>
              </w:rPr>
            </w:pPr>
          </w:p>
        </w:tc>
        <w:tc>
          <w:tcPr>
            <w:tcW w:w="535" w:type="pct"/>
            <w:tcBorders>
              <w:top w:val="nil"/>
              <w:left w:val="nil"/>
              <w:bottom w:val="nil"/>
              <w:right w:val="nil"/>
            </w:tcBorders>
            <w:shd w:val="clear" w:color="auto" w:fill="auto"/>
            <w:noWrap/>
            <w:vAlign w:val="bottom"/>
            <w:hideMark/>
          </w:tcPr>
          <w:p w14:paraId="45C9A8D7" w14:textId="77777777" w:rsidR="00606717" w:rsidRPr="00606717" w:rsidRDefault="00606717" w:rsidP="00606717">
            <w:pPr>
              <w:jc w:val="center"/>
              <w:rPr>
                <w:rFonts w:cs="Calibri"/>
                <w:sz w:val="20"/>
              </w:rPr>
            </w:pPr>
          </w:p>
        </w:tc>
        <w:tc>
          <w:tcPr>
            <w:tcW w:w="584" w:type="pct"/>
            <w:tcBorders>
              <w:top w:val="nil"/>
              <w:left w:val="nil"/>
              <w:bottom w:val="nil"/>
              <w:right w:val="nil"/>
            </w:tcBorders>
            <w:shd w:val="clear" w:color="auto" w:fill="auto"/>
            <w:noWrap/>
            <w:vAlign w:val="bottom"/>
            <w:hideMark/>
          </w:tcPr>
          <w:p w14:paraId="645F2807" w14:textId="77777777" w:rsidR="00606717" w:rsidRPr="00606717" w:rsidRDefault="00606717" w:rsidP="00606717">
            <w:pPr>
              <w:rPr>
                <w:rFonts w:cs="Calibri"/>
                <w:sz w:val="20"/>
              </w:rPr>
            </w:pPr>
          </w:p>
        </w:tc>
      </w:tr>
      <w:tr w:rsidR="00890431" w:rsidRPr="00606717" w14:paraId="7245D937" w14:textId="77777777" w:rsidTr="00606717">
        <w:trPr>
          <w:trHeight w:val="255"/>
        </w:trPr>
        <w:tc>
          <w:tcPr>
            <w:tcW w:w="2682" w:type="pct"/>
            <w:gridSpan w:val="4"/>
            <w:tcBorders>
              <w:top w:val="nil"/>
              <w:left w:val="nil"/>
              <w:bottom w:val="nil"/>
              <w:right w:val="nil"/>
            </w:tcBorders>
            <w:shd w:val="clear" w:color="auto" w:fill="auto"/>
            <w:noWrap/>
            <w:vAlign w:val="bottom"/>
            <w:hideMark/>
          </w:tcPr>
          <w:p w14:paraId="6BEB5953" w14:textId="5D090E56" w:rsidR="00606717" w:rsidRPr="00606717" w:rsidRDefault="00606717" w:rsidP="00606717">
            <w:pPr>
              <w:rPr>
                <w:rFonts w:cs="Calibri"/>
                <w:sz w:val="20"/>
              </w:rPr>
            </w:pPr>
            <w:r w:rsidRPr="00606717">
              <w:rPr>
                <w:rFonts w:cs="Calibri"/>
                <w:sz w:val="20"/>
              </w:rPr>
              <w:t xml:space="preserve"> Mobilní </w:t>
            </w:r>
            <w:r w:rsidR="00506A40">
              <w:rPr>
                <w:rFonts w:cs="Calibri"/>
                <w:sz w:val="20"/>
              </w:rPr>
              <w:t>zařízení</w:t>
            </w:r>
          </w:p>
        </w:tc>
        <w:tc>
          <w:tcPr>
            <w:tcW w:w="196" w:type="pct"/>
            <w:tcBorders>
              <w:top w:val="nil"/>
              <w:left w:val="nil"/>
              <w:bottom w:val="nil"/>
              <w:right w:val="nil"/>
            </w:tcBorders>
            <w:shd w:val="clear" w:color="auto" w:fill="auto"/>
            <w:noWrap/>
            <w:vAlign w:val="bottom"/>
            <w:hideMark/>
          </w:tcPr>
          <w:p w14:paraId="3ECEB372" w14:textId="77777777" w:rsidR="00606717" w:rsidRPr="00606717" w:rsidRDefault="00606717" w:rsidP="00606717">
            <w:pPr>
              <w:rPr>
                <w:rFonts w:cs="Calibri"/>
                <w:sz w:val="20"/>
              </w:rPr>
            </w:pPr>
          </w:p>
        </w:tc>
        <w:tc>
          <w:tcPr>
            <w:tcW w:w="221" w:type="pct"/>
            <w:tcBorders>
              <w:top w:val="nil"/>
              <w:left w:val="nil"/>
              <w:bottom w:val="nil"/>
              <w:right w:val="nil"/>
            </w:tcBorders>
            <w:shd w:val="clear" w:color="auto" w:fill="auto"/>
            <w:noWrap/>
            <w:vAlign w:val="bottom"/>
            <w:hideMark/>
          </w:tcPr>
          <w:p w14:paraId="1AC704A4" w14:textId="77777777" w:rsidR="00606717" w:rsidRPr="00606717" w:rsidRDefault="00606717" w:rsidP="00606717">
            <w:pPr>
              <w:rPr>
                <w:rFonts w:cs="Calibri"/>
                <w:sz w:val="20"/>
              </w:rPr>
            </w:pPr>
          </w:p>
        </w:tc>
        <w:tc>
          <w:tcPr>
            <w:tcW w:w="561" w:type="pct"/>
            <w:tcBorders>
              <w:top w:val="nil"/>
              <w:left w:val="nil"/>
              <w:bottom w:val="nil"/>
              <w:right w:val="nil"/>
            </w:tcBorders>
            <w:shd w:val="clear" w:color="auto" w:fill="auto"/>
            <w:noWrap/>
            <w:vAlign w:val="bottom"/>
            <w:hideMark/>
          </w:tcPr>
          <w:p w14:paraId="6009D474" w14:textId="69C49823" w:rsidR="00606717" w:rsidRPr="00606717" w:rsidRDefault="00890431" w:rsidP="00606717">
            <w:pPr>
              <w:jc w:val="right"/>
              <w:rPr>
                <w:rFonts w:cs="Calibri"/>
                <w:sz w:val="20"/>
              </w:rPr>
            </w:pPr>
            <w:r>
              <w:rPr>
                <w:rFonts w:cs="Calibri"/>
                <w:sz w:val="20"/>
              </w:rPr>
              <w:t>14 0</w:t>
            </w:r>
            <w:r w:rsidR="00606717" w:rsidRPr="00606717">
              <w:rPr>
                <w:rFonts w:cs="Calibri"/>
                <w:sz w:val="20"/>
              </w:rPr>
              <w:t>00,00</w:t>
            </w:r>
          </w:p>
        </w:tc>
        <w:tc>
          <w:tcPr>
            <w:tcW w:w="222" w:type="pct"/>
            <w:tcBorders>
              <w:top w:val="nil"/>
              <w:left w:val="nil"/>
              <w:bottom w:val="nil"/>
              <w:right w:val="nil"/>
            </w:tcBorders>
            <w:shd w:val="clear" w:color="auto" w:fill="auto"/>
            <w:noWrap/>
            <w:vAlign w:val="bottom"/>
            <w:hideMark/>
          </w:tcPr>
          <w:p w14:paraId="74284DEA" w14:textId="77777777" w:rsidR="00606717" w:rsidRPr="00606717" w:rsidRDefault="00606717" w:rsidP="00606717">
            <w:pPr>
              <w:jc w:val="right"/>
              <w:rPr>
                <w:rFonts w:cs="Calibri"/>
                <w:sz w:val="20"/>
              </w:rPr>
            </w:pPr>
          </w:p>
        </w:tc>
        <w:tc>
          <w:tcPr>
            <w:tcW w:w="535" w:type="pct"/>
            <w:tcBorders>
              <w:top w:val="nil"/>
              <w:left w:val="nil"/>
              <w:bottom w:val="single" w:sz="4" w:space="0" w:color="auto"/>
              <w:right w:val="nil"/>
            </w:tcBorders>
            <w:shd w:val="clear" w:color="auto" w:fill="auto"/>
            <w:noWrap/>
            <w:vAlign w:val="bottom"/>
            <w:hideMark/>
          </w:tcPr>
          <w:p w14:paraId="4941F9CD" w14:textId="77777777" w:rsidR="00606717" w:rsidRPr="00606717" w:rsidRDefault="00606717" w:rsidP="00606717">
            <w:pPr>
              <w:rPr>
                <w:rFonts w:cs="Calibri"/>
                <w:sz w:val="20"/>
              </w:rPr>
            </w:pPr>
            <w:r w:rsidRPr="00606717">
              <w:rPr>
                <w:rFonts w:cs="Calibri"/>
                <w:sz w:val="20"/>
              </w:rPr>
              <w:t> </w:t>
            </w:r>
          </w:p>
        </w:tc>
        <w:tc>
          <w:tcPr>
            <w:tcW w:w="584" w:type="pct"/>
            <w:tcBorders>
              <w:top w:val="nil"/>
              <w:left w:val="nil"/>
              <w:bottom w:val="nil"/>
              <w:right w:val="nil"/>
            </w:tcBorders>
            <w:shd w:val="clear" w:color="auto" w:fill="auto"/>
            <w:noWrap/>
            <w:vAlign w:val="bottom"/>
            <w:hideMark/>
          </w:tcPr>
          <w:p w14:paraId="0319079E" w14:textId="77777777" w:rsidR="00606717" w:rsidRPr="00606717" w:rsidRDefault="00606717" w:rsidP="00606717">
            <w:pPr>
              <w:rPr>
                <w:rFonts w:cs="Calibri"/>
                <w:sz w:val="20"/>
              </w:rPr>
            </w:pPr>
          </w:p>
        </w:tc>
      </w:tr>
      <w:tr w:rsidR="00890431" w:rsidRPr="00606717" w14:paraId="747A8892" w14:textId="77777777" w:rsidTr="00606717">
        <w:trPr>
          <w:trHeight w:val="255"/>
        </w:trPr>
        <w:tc>
          <w:tcPr>
            <w:tcW w:w="2877" w:type="pct"/>
            <w:gridSpan w:val="5"/>
            <w:tcBorders>
              <w:top w:val="single" w:sz="4" w:space="0" w:color="auto"/>
              <w:left w:val="nil"/>
              <w:bottom w:val="nil"/>
              <w:right w:val="nil"/>
            </w:tcBorders>
            <w:shd w:val="clear" w:color="000000" w:fill="C0C0C0"/>
            <w:noWrap/>
            <w:vAlign w:val="bottom"/>
            <w:hideMark/>
          </w:tcPr>
          <w:p w14:paraId="7CAB023F" w14:textId="77777777" w:rsidR="00606717" w:rsidRPr="00606717" w:rsidRDefault="00606717" w:rsidP="00606717">
            <w:pPr>
              <w:rPr>
                <w:rFonts w:cs="Calibri"/>
                <w:b/>
                <w:bCs/>
                <w:sz w:val="20"/>
              </w:rPr>
            </w:pPr>
            <w:r w:rsidRPr="00606717">
              <w:rPr>
                <w:rFonts w:cs="Calibri"/>
                <w:b/>
                <w:bCs/>
                <w:sz w:val="20"/>
              </w:rPr>
              <w:t xml:space="preserve"> Celkem Kč</w:t>
            </w:r>
          </w:p>
        </w:tc>
        <w:tc>
          <w:tcPr>
            <w:tcW w:w="221" w:type="pct"/>
            <w:tcBorders>
              <w:top w:val="single" w:sz="4" w:space="0" w:color="auto"/>
              <w:left w:val="nil"/>
              <w:bottom w:val="nil"/>
              <w:right w:val="nil"/>
            </w:tcBorders>
            <w:shd w:val="clear" w:color="000000" w:fill="C0C0C0"/>
            <w:noWrap/>
            <w:vAlign w:val="bottom"/>
            <w:hideMark/>
          </w:tcPr>
          <w:p w14:paraId="478237FA" w14:textId="77777777" w:rsidR="00606717" w:rsidRPr="00606717" w:rsidRDefault="00606717" w:rsidP="00606717">
            <w:pPr>
              <w:jc w:val="center"/>
              <w:rPr>
                <w:rFonts w:cs="Calibri"/>
                <w:b/>
                <w:bCs/>
                <w:sz w:val="20"/>
              </w:rPr>
            </w:pPr>
            <w:r w:rsidRPr="00606717">
              <w:rPr>
                <w:rFonts w:cs="Calibri"/>
                <w:b/>
                <w:bCs/>
                <w:sz w:val="20"/>
              </w:rPr>
              <w:t> </w:t>
            </w:r>
          </w:p>
        </w:tc>
        <w:tc>
          <w:tcPr>
            <w:tcW w:w="561" w:type="pct"/>
            <w:tcBorders>
              <w:top w:val="single" w:sz="4" w:space="0" w:color="auto"/>
              <w:left w:val="nil"/>
              <w:bottom w:val="nil"/>
              <w:right w:val="nil"/>
            </w:tcBorders>
            <w:shd w:val="clear" w:color="000000" w:fill="C0C0C0"/>
            <w:noWrap/>
            <w:vAlign w:val="bottom"/>
            <w:hideMark/>
          </w:tcPr>
          <w:p w14:paraId="69AA4CDB" w14:textId="360D5F64" w:rsidR="00606717" w:rsidRPr="00606717" w:rsidRDefault="00890431" w:rsidP="00606717">
            <w:pPr>
              <w:jc w:val="right"/>
              <w:rPr>
                <w:rFonts w:cs="Calibri"/>
                <w:b/>
                <w:bCs/>
                <w:sz w:val="20"/>
              </w:rPr>
            </w:pPr>
            <w:r>
              <w:rPr>
                <w:rFonts w:cs="Calibri"/>
                <w:b/>
                <w:bCs/>
                <w:sz w:val="20"/>
              </w:rPr>
              <w:t>80 568</w:t>
            </w:r>
            <w:r w:rsidR="00606717" w:rsidRPr="00606717">
              <w:rPr>
                <w:rFonts w:cs="Calibri"/>
                <w:b/>
                <w:bCs/>
                <w:sz w:val="20"/>
              </w:rPr>
              <w:t>,00</w:t>
            </w:r>
          </w:p>
        </w:tc>
        <w:tc>
          <w:tcPr>
            <w:tcW w:w="222" w:type="pct"/>
            <w:tcBorders>
              <w:top w:val="single" w:sz="4" w:space="0" w:color="auto"/>
              <w:left w:val="nil"/>
              <w:bottom w:val="nil"/>
              <w:right w:val="nil"/>
            </w:tcBorders>
            <w:shd w:val="clear" w:color="000000" w:fill="C0C0C0"/>
            <w:noWrap/>
            <w:vAlign w:val="bottom"/>
            <w:hideMark/>
          </w:tcPr>
          <w:p w14:paraId="455361FF" w14:textId="77777777" w:rsidR="00606717" w:rsidRPr="00606717" w:rsidRDefault="00606717" w:rsidP="00606717">
            <w:pPr>
              <w:jc w:val="center"/>
              <w:rPr>
                <w:rFonts w:cs="Calibri"/>
                <w:b/>
                <w:bCs/>
                <w:sz w:val="20"/>
              </w:rPr>
            </w:pPr>
            <w:r w:rsidRPr="00606717">
              <w:rPr>
                <w:rFonts w:cs="Calibri"/>
                <w:b/>
                <w:bCs/>
                <w:sz w:val="20"/>
              </w:rPr>
              <w:t>21</w:t>
            </w:r>
          </w:p>
        </w:tc>
        <w:tc>
          <w:tcPr>
            <w:tcW w:w="535" w:type="pct"/>
            <w:tcBorders>
              <w:top w:val="nil"/>
              <w:left w:val="nil"/>
              <w:bottom w:val="nil"/>
              <w:right w:val="nil"/>
            </w:tcBorders>
            <w:shd w:val="clear" w:color="000000" w:fill="C0C0C0"/>
            <w:noWrap/>
            <w:vAlign w:val="bottom"/>
            <w:hideMark/>
          </w:tcPr>
          <w:p w14:paraId="2AE357D1" w14:textId="3A114FA7" w:rsidR="00606717" w:rsidRPr="00606717" w:rsidRDefault="00890431" w:rsidP="00606717">
            <w:pPr>
              <w:jc w:val="right"/>
              <w:rPr>
                <w:rFonts w:cs="Calibri"/>
                <w:b/>
                <w:bCs/>
                <w:sz w:val="20"/>
              </w:rPr>
            </w:pPr>
            <w:r>
              <w:rPr>
                <w:rFonts w:cs="Calibri"/>
                <w:b/>
                <w:bCs/>
                <w:sz w:val="20"/>
              </w:rPr>
              <w:t>16 919,28</w:t>
            </w:r>
          </w:p>
        </w:tc>
        <w:tc>
          <w:tcPr>
            <w:tcW w:w="584" w:type="pct"/>
            <w:tcBorders>
              <w:top w:val="single" w:sz="4" w:space="0" w:color="auto"/>
              <w:left w:val="nil"/>
              <w:bottom w:val="nil"/>
              <w:right w:val="nil"/>
            </w:tcBorders>
            <w:shd w:val="clear" w:color="000000" w:fill="C0C0C0"/>
            <w:noWrap/>
            <w:vAlign w:val="bottom"/>
            <w:hideMark/>
          </w:tcPr>
          <w:p w14:paraId="6EACC125" w14:textId="452988B8" w:rsidR="00606717" w:rsidRPr="00606717" w:rsidRDefault="00890431" w:rsidP="00606717">
            <w:pPr>
              <w:jc w:val="right"/>
              <w:rPr>
                <w:rFonts w:cs="Calibri"/>
                <w:b/>
                <w:bCs/>
                <w:sz w:val="20"/>
              </w:rPr>
            </w:pPr>
            <w:r>
              <w:rPr>
                <w:rFonts w:cs="Calibri"/>
                <w:b/>
                <w:bCs/>
                <w:sz w:val="20"/>
              </w:rPr>
              <w:t>97 487,28</w:t>
            </w:r>
          </w:p>
        </w:tc>
      </w:tr>
    </w:tbl>
    <w:p w14:paraId="56E26887" w14:textId="77777777" w:rsidR="00606717" w:rsidRDefault="00606717" w:rsidP="00214C1E">
      <w:pPr>
        <w:tabs>
          <w:tab w:val="left" w:pos="-306"/>
          <w:tab w:val="left" w:pos="284"/>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asciiTheme="minorHAnsi" w:hAnsiTheme="minorHAnsi"/>
          <w:sz w:val="20"/>
        </w:rPr>
      </w:pPr>
    </w:p>
    <w:p w14:paraId="55529C24" w14:textId="4ADE8D60" w:rsidR="00214C1E" w:rsidRPr="003F086D" w:rsidRDefault="00214C1E" w:rsidP="00214C1E">
      <w:pPr>
        <w:tabs>
          <w:tab w:val="left" w:pos="-306"/>
          <w:tab w:val="left" w:pos="284"/>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asciiTheme="minorHAnsi" w:hAnsiTheme="minorHAnsi"/>
          <w:sz w:val="20"/>
        </w:rPr>
      </w:pPr>
      <w:r w:rsidRPr="003F086D">
        <w:rPr>
          <w:rFonts w:asciiTheme="minorHAnsi" w:hAnsiTheme="minorHAnsi"/>
          <w:sz w:val="20"/>
        </w:rPr>
        <w:t>Pozn.:</w:t>
      </w:r>
    </w:p>
    <w:p w14:paraId="5D3D013F" w14:textId="1B03998D" w:rsidR="00214C1E" w:rsidRPr="00F10165" w:rsidRDefault="00F10165" w:rsidP="00F10165">
      <w:pPr>
        <w:spacing w:after="200" w:line="276" w:lineRule="auto"/>
        <w:ind w:firstLine="360"/>
        <w:rPr>
          <w:rFonts w:cs="Calibri"/>
          <w:sz w:val="20"/>
        </w:rPr>
      </w:pPr>
      <w:r>
        <w:rPr>
          <w:rFonts w:cs="Calibri"/>
          <w:sz w:val="20"/>
        </w:rPr>
        <w:t>1.</w:t>
      </w:r>
      <w:r>
        <w:rPr>
          <w:rFonts w:cs="Calibri"/>
          <w:sz w:val="20"/>
        </w:rPr>
        <w:tab/>
      </w:r>
      <w:r w:rsidR="00214C1E" w:rsidRPr="00F10165">
        <w:rPr>
          <w:rFonts w:cs="Calibri"/>
          <w:sz w:val="20"/>
        </w:rPr>
        <w:t>DPH je uváděno pouze orientačně. DPH bude vyúčtováno dle platné sazby ke dni uskutečnění zdanitelného plnění.</w:t>
      </w:r>
    </w:p>
    <w:p w14:paraId="20DA01D7" w14:textId="66855817" w:rsidR="00516E63" w:rsidRDefault="00516E63" w:rsidP="00135431">
      <w:pPr>
        <w:pStyle w:val="Odstavecseseznamem"/>
        <w:rPr>
          <w:rFonts w:ascii="Cambria" w:hAnsi="Cambria"/>
          <w:b/>
          <w:bCs/>
          <w:sz w:val="22"/>
          <w:szCs w:val="22"/>
        </w:rPr>
      </w:pPr>
    </w:p>
    <w:p w14:paraId="1C1CFC30" w14:textId="77777777" w:rsidR="00135431" w:rsidRDefault="00135431" w:rsidP="00135431">
      <w:pPr>
        <w:ind w:left="426"/>
        <w:rPr>
          <w:rFonts w:ascii="Times New Roman" w:hAnsi="Times New Roman"/>
          <w:sz w:val="22"/>
          <w:szCs w:val="22"/>
        </w:rPr>
      </w:pPr>
    </w:p>
    <w:p w14:paraId="1C1CFC31" w14:textId="77777777" w:rsidR="00135431" w:rsidRDefault="00135431" w:rsidP="00135431">
      <w:pPr>
        <w:ind w:left="426"/>
        <w:rPr>
          <w:rFonts w:ascii="Times New Roman" w:hAnsi="Times New Roman"/>
          <w:sz w:val="22"/>
          <w:szCs w:val="22"/>
        </w:rPr>
      </w:pPr>
    </w:p>
    <w:p w14:paraId="1C1CFC32" w14:textId="746749F8" w:rsidR="00135431" w:rsidRPr="00214C1E" w:rsidRDefault="00214C1E" w:rsidP="00214C1E">
      <w:pPr>
        <w:ind w:left="360"/>
        <w:rPr>
          <w:rFonts w:ascii="Cambria" w:hAnsi="Cambria"/>
          <w:b/>
        </w:rPr>
      </w:pPr>
      <w:r>
        <w:rPr>
          <w:rFonts w:ascii="Cambria" w:hAnsi="Cambria"/>
          <w:b/>
        </w:rPr>
        <w:t>2.</w:t>
      </w:r>
      <w:r>
        <w:rPr>
          <w:rFonts w:ascii="Cambria" w:hAnsi="Cambria"/>
          <w:b/>
        </w:rPr>
        <w:tab/>
      </w:r>
      <w:r w:rsidR="00135431" w:rsidRPr="00214C1E">
        <w:rPr>
          <w:rFonts w:ascii="Cambria" w:hAnsi="Cambria"/>
          <w:b/>
        </w:rPr>
        <w:t>Termín dodání</w:t>
      </w:r>
    </w:p>
    <w:p w14:paraId="1C1CFC33" w14:textId="77777777" w:rsidR="00135431" w:rsidRDefault="00135431" w:rsidP="00135431">
      <w:pPr>
        <w:ind w:left="360"/>
        <w:rPr>
          <w:rFonts w:ascii="Times New Roman" w:hAnsi="Times New Roman"/>
          <w:b/>
          <w:sz w:val="22"/>
          <w:szCs w:val="22"/>
        </w:rPr>
      </w:pPr>
    </w:p>
    <w:p w14:paraId="0ACC6658" w14:textId="2596D8CC" w:rsidR="00606717" w:rsidRPr="00E90E78" w:rsidRDefault="6F72C599" w:rsidP="6F72C599">
      <w:pPr>
        <w:ind w:left="360"/>
        <w:rPr>
          <w:rFonts w:asciiTheme="minorHAnsi" w:hAnsiTheme="minorHAnsi"/>
          <w:sz w:val="22"/>
          <w:szCs w:val="22"/>
        </w:rPr>
      </w:pPr>
      <w:r w:rsidRPr="6F72C599">
        <w:rPr>
          <w:rFonts w:asciiTheme="minorHAnsi" w:hAnsiTheme="minorHAnsi"/>
          <w:sz w:val="22"/>
          <w:szCs w:val="22"/>
        </w:rPr>
        <w:t>Poskytovatel dodá předmět plnění dle čl. 1 do 4 týdnů po obdržení potvrzené kopie Licenční smlouvy.</w:t>
      </w:r>
    </w:p>
    <w:p w14:paraId="5E7EE53B" w14:textId="3DE8B5DE" w:rsidR="00606717" w:rsidRPr="00E90E78" w:rsidRDefault="00606717" w:rsidP="00606717">
      <w:pPr>
        <w:ind w:left="360"/>
        <w:rPr>
          <w:rFonts w:asciiTheme="minorHAnsi" w:hAnsiTheme="minorHAnsi"/>
          <w:sz w:val="22"/>
          <w:szCs w:val="22"/>
        </w:rPr>
      </w:pPr>
      <w:r w:rsidRPr="00E90E78">
        <w:rPr>
          <w:rFonts w:asciiTheme="minorHAnsi" w:hAnsiTheme="minorHAnsi"/>
          <w:sz w:val="22"/>
          <w:szCs w:val="22"/>
        </w:rPr>
        <w:t>Uvedený termín plnění se prodlužuje o dobu prodlení nabyvatele s poskytnutí</w:t>
      </w:r>
      <w:r w:rsidR="008A005E">
        <w:rPr>
          <w:rFonts w:asciiTheme="minorHAnsi" w:hAnsiTheme="minorHAnsi"/>
          <w:sz w:val="22"/>
          <w:szCs w:val="22"/>
        </w:rPr>
        <w:t>m další součinnosti nutné ke </w:t>
      </w:r>
      <w:r w:rsidRPr="00E90E78">
        <w:rPr>
          <w:rFonts w:asciiTheme="minorHAnsi" w:hAnsiTheme="minorHAnsi"/>
          <w:sz w:val="22"/>
          <w:szCs w:val="22"/>
        </w:rPr>
        <w:t xml:space="preserve">splnění smlouvy. </w:t>
      </w:r>
    </w:p>
    <w:p w14:paraId="452CE92B" w14:textId="042BB8CA" w:rsidR="00606717" w:rsidRPr="00E90E78" w:rsidRDefault="00606717" w:rsidP="00606717">
      <w:pPr>
        <w:pStyle w:val="Odstavecseseznamem"/>
        <w:ind w:left="360"/>
        <w:rPr>
          <w:rFonts w:asciiTheme="minorHAnsi" w:hAnsiTheme="minorHAnsi"/>
          <w:sz w:val="22"/>
          <w:szCs w:val="22"/>
        </w:rPr>
      </w:pPr>
      <w:r w:rsidRPr="00E90E78">
        <w:rPr>
          <w:rFonts w:asciiTheme="minorHAnsi" w:hAnsiTheme="minorHAnsi"/>
          <w:sz w:val="22"/>
          <w:szCs w:val="22"/>
        </w:rPr>
        <w:t xml:space="preserve">Převzetí plnění dle čl. 1 potvrdí nabyvatel podpisem </w:t>
      </w:r>
      <w:r w:rsidR="00A529D4">
        <w:rPr>
          <w:rFonts w:asciiTheme="minorHAnsi" w:hAnsiTheme="minorHAnsi"/>
          <w:sz w:val="22"/>
          <w:szCs w:val="22"/>
        </w:rPr>
        <w:t>předávacích protokolů</w:t>
      </w:r>
      <w:r w:rsidRPr="00E90E78">
        <w:rPr>
          <w:rFonts w:asciiTheme="minorHAnsi" w:hAnsiTheme="minorHAnsi"/>
          <w:sz w:val="22"/>
          <w:szCs w:val="22"/>
        </w:rPr>
        <w:t>.</w:t>
      </w:r>
    </w:p>
    <w:p w14:paraId="66F9DD34" w14:textId="77777777" w:rsidR="00606717" w:rsidRPr="00E90E78" w:rsidRDefault="00606717" w:rsidP="00606717">
      <w:pPr>
        <w:ind w:left="360"/>
        <w:rPr>
          <w:rFonts w:asciiTheme="minorHAnsi" w:hAnsiTheme="minorHAnsi"/>
          <w:sz w:val="22"/>
          <w:szCs w:val="22"/>
        </w:rPr>
      </w:pPr>
    </w:p>
    <w:p w14:paraId="1AA7F1C7" w14:textId="77777777" w:rsidR="00606717" w:rsidRDefault="00606717" w:rsidP="00606717">
      <w:pPr>
        <w:ind w:left="360"/>
        <w:rPr>
          <w:sz w:val="22"/>
          <w:szCs w:val="22"/>
        </w:rPr>
      </w:pPr>
    </w:p>
    <w:p w14:paraId="1C1CFCB6" w14:textId="77777777" w:rsidR="00135431" w:rsidRDefault="00135431" w:rsidP="00135431">
      <w:pPr>
        <w:rPr>
          <w:rFonts w:ascii="Times New Roman" w:hAnsi="Times New Roman"/>
        </w:rPr>
      </w:pPr>
    </w:p>
    <w:p w14:paraId="1C1CFCB7" w14:textId="77777777" w:rsidR="00135431" w:rsidRDefault="00135431" w:rsidP="00135431">
      <w:pPr>
        <w:tabs>
          <w:tab w:val="left" w:pos="284"/>
        </w:tabs>
        <w:jc w:val="both"/>
        <w:rPr>
          <w:rFonts w:ascii="Cambria" w:hAnsi="Cambria"/>
          <w:b/>
        </w:rPr>
      </w:pPr>
      <w:r>
        <w:rPr>
          <w:rFonts w:ascii="Cambria" w:hAnsi="Cambria"/>
          <w:b/>
        </w:rPr>
        <w:tab/>
        <w:t>3.</w:t>
      </w:r>
      <w:r>
        <w:rPr>
          <w:rFonts w:ascii="Cambria" w:hAnsi="Cambria"/>
          <w:b/>
        </w:rPr>
        <w:tab/>
        <w:t>Oprávněné osoby</w:t>
      </w:r>
    </w:p>
    <w:p w14:paraId="1C1CFCB8" w14:textId="77777777" w:rsidR="00135431" w:rsidRDefault="00135431" w:rsidP="00135431">
      <w:pPr>
        <w:pStyle w:val="Odstavecseseznamem"/>
        <w:jc w:val="both"/>
        <w:rPr>
          <w:rFonts w:ascii="Times New Roman" w:hAnsi="Times New Roman"/>
          <w:b/>
        </w:rPr>
      </w:pPr>
    </w:p>
    <w:p w14:paraId="1C1CFCB9" w14:textId="3B64AD46" w:rsidR="00135431" w:rsidRPr="00BF0272" w:rsidRDefault="00135431" w:rsidP="00135431">
      <w:pPr>
        <w:ind w:left="426"/>
        <w:jc w:val="both"/>
        <w:rPr>
          <w:sz w:val="22"/>
          <w:szCs w:val="22"/>
        </w:rPr>
      </w:pPr>
      <w:r w:rsidRPr="00BF0272">
        <w:rPr>
          <w:sz w:val="22"/>
          <w:szCs w:val="22"/>
        </w:rPr>
        <w:t xml:space="preserve">Za Poskytovatele: </w:t>
      </w:r>
      <w:r w:rsidR="00275229">
        <w:rPr>
          <w:sz w:val="22"/>
          <w:szCs w:val="22"/>
        </w:rPr>
        <w:t xml:space="preserve"> Ing. </w:t>
      </w:r>
      <w:r w:rsidR="00A529D4" w:rsidRPr="00275229">
        <w:rPr>
          <w:sz w:val="22"/>
          <w:szCs w:val="22"/>
        </w:rPr>
        <w:t xml:space="preserve">Jan </w:t>
      </w:r>
      <w:r w:rsidR="00500C7E">
        <w:rPr>
          <w:sz w:val="22"/>
          <w:szCs w:val="22"/>
        </w:rPr>
        <w:t>Černohorský</w:t>
      </w:r>
      <w:r w:rsidRPr="00275229">
        <w:rPr>
          <w:sz w:val="22"/>
          <w:szCs w:val="22"/>
        </w:rPr>
        <w:t xml:space="preserve"> ve</w:t>
      </w:r>
      <w:r w:rsidRPr="00BF0272">
        <w:rPr>
          <w:sz w:val="22"/>
          <w:szCs w:val="22"/>
        </w:rPr>
        <w:t xml:space="preserve"> věcech obchodních</w:t>
      </w:r>
      <w:r w:rsidR="00275229">
        <w:rPr>
          <w:sz w:val="22"/>
          <w:szCs w:val="22"/>
        </w:rPr>
        <w:t xml:space="preserve"> a Ing. Jan Klimeš ve věcech technických</w:t>
      </w:r>
    </w:p>
    <w:p w14:paraId="48B124D7" w14:textId="77777777" w:rsidR="00890431" w:rsidRDefault="6F72C599" w:rsidP="6F72C599">
      <w:pPr>
        <w:ind w:firstLine="426"/>
        <w:jc w:val="both"/>
        <w:rPr>
          <w:sz w:val="22"/>
          <w:szCs w:val="22"/>
        </w:rPr>
      </w:pPr>
      <w:r w:rsidRPr="6F72C599">
        <w:rPr>
          <w:sz w:val="22"/>
          <w:szCs w:val="22"/>
        </w:rPr>
        <w:t xml:space="preserve">Za Nabyvatele:       </w:t>
      </w:r>
    </w:p>
    <w:p w14:paraId="64BF040E" w14:textId="77777777" w:rsidR="00890431" w:rsidRDefault="00890431" w:rsidP="6F72C599">
      <w:pPr>
        <w:ind w:firstLine="426"/>
        <w:jc w:val="both"/>
        <w:rPr>
          <w:sz w:val="22"/>
          <w:szCs w:val="22"/>
        </w:rPr>
      </w:pPr>
    </w:p>
    <w:p w14:paraId="0F0B72B1" w14:textId="77777777" w:rsidR="00890431" w:rsidRDefault="00890431" w:rsidP="6F72C599">
      <w:pPr>
        <w:ind w:firstLine="426"/>
        <w:jc w:val="both"/>
        <w:rPr>
          <w:sz w:val="22"/>
          <w:szCs w:val="22"/>
        </w:rPr>
      </w:pPr>
    </w:p>
    <w:p w14:paraId="453BAF77" w14:textId="77777777" w:rsidR="00890431" w:rsidRDefault="00890431" w:rsidP="6F72C599">
      <w:pPr>
        <w:ind w:firstLine="426"/>
        <w:jc w:val="both"/>
        <w:rPr>
          <w:sz w:val="22"/>
          <w:szCs w:val="22"/>
        </w:rPr>
      </w:pPr>
    </w:p>
    <w:p w14:paraId="1DC746CB" w14:textId="7865E4B1" w:rsidR="00890431" w:rsidRDefault="6F72C599" w:rsidP="6F72C599">
      <w:pPr>
        <w:ind w:firstLine="426"/>
        <w:jc w:val="both"/>
        <w:rPr>
          <w:sz w:val="22"/>
          <w:szCs w:val="22"/>
        </w:rPr>
      </w:pPr>
      <w:r w:rsidRPr="6F72C599">
        <w:rPr>
          <w:sz w:val="22"/>
          <w:szCs w:val="22"/>
        </w:rPr>
        <w:t>ve věcech obchodních a</w:t>
      </w:r>
    </w:p>
    <w:p w14:paraId="1BD0C61F" w14:textId="77777777" w:rsidR="00890431" w:rsidRDefault="00890431" w:rsidP="6F72C599">
      <w:pPr>
        <w:ind w:firstLine="426"/>
        <w:jc w:val="both"/>
        <w:rPr>
          <w:sz w:val="22"/>
          <w:szCs w:val="22"/>
        </w:rPr>
      </w:pPr>
    </w:p>
    <w:p w14:paraId="334D52BA" w14:textId="77777777" w:rsidR="00890431" w:rsidRDefault="00890431" w:rsidP="6F72C599">
      <w:pPr>
        <w:ind w:firstLine="426"/>
        <w:jc w:val="both"/>
        <w:rPr>
          <w:sz w:val="22"/>
          <w:szCs w:val="22"/>
        </w:rPr>
      </w:pPr>
    </w:p>
    <w:p w14:paraId="386B8924" w14:textId="77777777" w:rsidR="00890431" w:rsidRDefault="00890431" w:rsidP="6F72C599">
      <w:pPr>
        <w:ind w:firstLine="426"/>
        <w:jc w:val="both"/>
        <w:rPr>
          <w:sz w:val="22"/>
          <w:szCs w:val="22"/>
        </w:rPr>
      </w:pPr>
    </w:p>
    <w:p w14:paraId="35FE89A2" w14:textId="780359E7" w:rsidR="00685BD5" w:rsidRDefault="6F72C599" w:rsidP="6F72C599">
      <w:pPr>
        <w:ind w:firstLine="426"/>
        <w:jc w:val="both"/>
        <w:rPr>
          <w:sz w:val="22"/>
          <w:szCs w:val="22"/>
        </w:rPr>
      </w:pPr>
      <w:r w:rsidRPr="6F72C599">
        <w:rPr>
          <w:sz w:val="22"/>
          <w:szCs w:val="22"/>
        </w:rPr>
        <w:t>ve věcech technických</w:t>
      </w:r>
    </w:p>
    <w:p w14:paraId="10790AED" w14:textId="77777777" w:rsidR="00890431" w:rsidRPr="00275229" w:rsidRDefault="00890431" w:rsidP="6F72C599">
      <w:pPr>
        <w:ind w:firstLine="426"/>
        <w:jc w:val="both"/>
        <w:rPr>
          <w:b/>
          <w:bCs/>
          <w:sz w:val="22"/>
          <w:szCs w:val="22"/>
        </w:rPr>
        <w:sectPr w:rsidR="00890431" w:rsidRPr="00275229" w:rsidSect="007C2F5A">
          <w:footerReference w:type="default" r:id="rId15"/>
          <w:footerReference w:type="first" r:id="rId16"/>
          <w:pgSz w:w="11906" w:h="16838"/>
          <w:pgMar w:top="1134" w:right="720" w:bottom="1134" w:left="720" w:header="0" w:footer="567" w:gutter="0"/>
          <w:cols w:space="708"/>
          <w:docGrid w:linePitch="360"/>
        </w:sectPr>
      </w:pPr>
    </w:p>
    <w:p w14:paraId="1C1CFCBD" w14:textId="77777777" w:rsidR="00135431" w:rsidRDefault="00135431" w:rsidP="00135431">
      <w:pPr>
        <w:tabs>
          <w:tab w:val="center" w:pos="5102"/>
          <w:tab w:val="right" w:pos="10205"/>
        </w:tabs>
        <w:jc w:val="right"/>
        <w:rPr>
          <w:rFonts w:ascii="Cambria" w:hAnsi="Cambria"/>
          <w:b/>
          <w:sz w:val="28"/>
          <w:szCs w:val="28"/>
        </w:rPr>
      </w:pPr>
      <w:r>
        <w:rPr>
          <w:rFonts w:ascii="Cambria" w:hAnsi="Cambria"/>
          <w:b/>
          <w:sz w:val="28"/>
          <w:szCs w:val="28"/>
        </w:rPr>
        <w:lastRenderedPageBreak/>
        <w:t>Příloha č. 2</w:t>
      </w:r>
    </w:p>
    <w:p w14:paraId="1C1CFCBE" w14:textId="77777777" w:rsidR="00135431" w:rsidRPr="002B1A1F" w:rsidRDefault="00135431" w:rsidP="00135431">
      <w:pPr>
        <w:jc w:val="center"/>
        <w:rPr>
          <w:rFonts w:ascii="Cambria" w:hAnsi="Cambria"/>
          <w:b/>
          <w:sz w:val="28"/>
          <w:szCs w:val="28"/>
        </w:rPr>
      </w:pPr>
      <w:r w:rsidRPr="002B1A1F">
        <w:rPr>
          <w:rFonts w:ascii="Cambria" w:hAnsi="Cambria"/>
          <w:b/>
          <w:sz w:val="28"/>
          <w:szCs w:val="28"/>
        </w:rPr>
        <w:t>Všeobecné dodací podmínky „VDP/14/01“</w:t>
      </w:r>
    </w:p>
    <w:p w14:paraId="1C1CFCBF" w14:textId="77777777" w:rsidR="00135431" w:rsidRPr="00507986" w:rsidRDefault="00135431" w:rsidP="00135431">
      <w:pPr>
        <w:jc w:val="center"/>
        <w:rPr>
          <w:rFonts w:ascii="Times New Roman" w:hAnsi="Times New Roman"/>
          <w:b/>
          <w:sz w:val="14"/>
          <w:szCs w:val="14"/>
        </w:rPr>
      </w:pPr>
    </w:p>
    <w:p w14:paraId="1C1CFCC0" w14:textId="77777777" w:rsidR="00135431" w:rsidRDefault="00135431" w:rsidP="00135431">
      <w:pPr>
        <w:ind w:left="426" w:hanging="426"/>
        <w:jc w:val="center"/>
        <w:rPr>
          <w:rFonts w:ascii="Cambria" w:hAnsi="Cambria"/>
          <w:b/>
        </w:rPr>
      </w:pPr>
      <w:r>
        <w:rPr>
          <w:rFonts w:ascii="Cambria" w:hAnsi="Cambria"/>
          <w:b/>
        </w:rPr>
        <w:t xml:space="preserve">I. </w:t>
      </w:r>
    </w:p>
    <w:p w14:paraId="1C1CFCC1" w14:textId="77777777" w:rsidR="00135431" w:rsidRDefault="00135431" w:rsidP="00135431">
      <w:pPr>
        <w:ind w:left="426" w:hanging="426"/>
        <w:jc w:val="center"/>
        <w:rPr>
          <w:rFonts w:ascii="Cambria" w:hAnsi="Cambria"/>
          <w:b/>
          <w:sz w:val="18"/>
          <w:szCs w:val="18"/>
        </w:rPr>
      </w:pPr>
      <w:r>
        <w:rPr>
          <w:rFonts w:ascii="Cambria" w:hAnsi="Cambria"/>
          <w:b/>
          <w:sz w:val="18"/>
          <w:szCs w:val="18"/>
        </w:rPr>
        <w:t>Úvodní ustanovení</w:t>
      </w:r>
    </w:p>
    <w:p w14:paraId="1C1CFCC2" w14:textId="77777777" w:rsidR="00135431" w:rsidRPr="00BF0272" w:rsidRDefault="00135431" w:rsidP="00135431">
      <w:pPr>
        <w:pStyle w:val="Odstavecseseznamem"/>
        <w:numPr>
          <w:ilvl w:val="0"/>
          <w:numId w:val="9"/>
        </w:numPr>
        <w:ind w:left="426" w:hanging="426"/>
        <w:jc w:val="both"/>
        <w:rPr>
          <w:sz w:val="18"/>
          <w:szCs w:val="18"/>
        </w:rPr>
      </w:pPr>
      <w:r w:rsidRPr="00BF0272">
        <w:rPr>
          <w:sz w:val="18"/>
          <w:szCs w:val="18"/>
        </w:rPr>
        <w:t xml:space="preserve">ORTEX spol. s r.o. se sídlem v Hradci Králové, Resslova 935/3, PSČ: 500 02, IČ: 00529745, e-mail: ortex@ortex.cz (dále jen “poskytovatel“) vyvíjí a poskytuje třetím osobám (dále jen „nabyvatelé“) počítačové programy (dále jen „software“). </w:t>
      </w:r>
    </w:p>
    <w:p w14:paraId="1C1CFCC3" w14:textId="77777777" w:rsidR="00135431" w:rsidRPr="00BF0272" w:rsidRDefault="00135431" w:rsidP="00135431">
      <w:pPr>
        <w:pStyle w:val="Odstavecseseznamem"/>
        <w:numPr>
          <w:ilvl w:val="0"/>
          <w:numId w:val="9"/>
        </w:numPr>
        <w:ind w:left="426" w:hanging="426"/>
        <w:jc w:val="both"/>
        <w:rPr>
          <w:sz w:val="18"/>
          <w:szCs w:val="18"/>
        </w:rPr>
      </w:pPr>
      <w:r w:rsidRPr="00BF0272">
        <w:rPr>
          <w:sz w:val="18"/>
          <w:szCs w:val="18"/>
        </w:rPr>
        <w:t xml:space="preserve">Práva a závazky smluvních stran ze smluv o poskytnutí oprávnění k výkonu práva užít počítačový program (dále jen „licenční smlouva“) se řídí těmito všeobecnými dodacími podmínky (dále jen „VDP“). Odchylná ujednání ve smlouvě mají přednost před VDP. </w:t>
      </w:r>
    </w:p>
    <w:p w14:paraId="1C1CFCC4" w14:textId="77777777" w:rsidR="00135431" w:rsidRPr="00BF0272" w:rsidRDefault="00135431" w:rsidP="00135431">
      <w:pPr>
        <w:pStyle w:val="Odstavecseseznamem"/>
        <w:numPr>
          <w:ilvl w:val="0"/>
          <w:numId w:val="9"/>
        </w:numPr>
        <w:ind w:left="426" w:hanging="426"/>
        <w:jc w:val="both"/>
        <w:rPr>
          <w:sz w:val="18"/>
          <w:szCs w:val="18"/>
        </w:rPr>
      </w:pPr>
      <w:r w:rsidRPr="00BF0272">
        <w:rPr>
          <w:sz w:val="18"/>
          <w:szCs w:val="18"/>
        </w:rPr>
        <w:t>Práva a závazky z této smlouvy se řídí právním řádem České republiky. Pokud smlouva nebo tyto VDP nestanoví odchylnou úpravu, použijí se ustanovení obecně platných předpisů, zejména občanského zákoníku (zákon č. 89/2012 Sb., v platném znění).</w:t>
      </w:r>
    </w:p>
    <w:p w14:paraId="1C1CFCC5" w14:textId="77777777" w:rsidR="00135431" w:rsidRPr="00507986" w:rsidRDefault="00135431" w:rsidP="00135431">
      <w:pPr>
        <w:ind w:left="426" w:hanging="426"/>
        <w:jc w:val="center"/>
        <w:rPr>
          <w:rFonts w:ascii="Times New Roman" w:hAnsi="Times New Roman"/>
          <w:b/>
          <w:sz w:val="14"/>
          <w:szCs w:val="14"/>
        </w:rPr>
      </w:pPr>
    </w:p>
    <w:p w14:paraId="1C1CFCC6" w14:textId="77777777" w:rsidR="00135431" w:rsidRDefault="00135431" w:rsidP="00135431">
      <w:pPr>
        <w:ind w:left="426" w:hanging="426"/>
        <w:jc w:val="center"/>
        <w:rPr>
          <w:rFonts w:ascii="Cambria" w:hAnsi="Cambria"/>
          <w:b/>
          <w:sz w:val="18"/>
          <w:szCs w:val="18"/>
        </w:rPr>
      </w:pPr>
      <w:r>
        <w:rPr>
          <w:rFonts w:ascii="Cambria" w:hAnsi="Cambria"/>
          <w:b/>
          <w:sz w:val="18"/>
          <w:szCs w:val="18"/>
        </w:rPr>
        <w:t xml:space="preserve">II. </w:t>
      </w:r>
    </w:p>
    <w:p w14:paraId="1C1CFCC7" w14:textId="77777777" w:rsidR="00135431" w:rsidRDefault="00135431" w:rsidP="00135431">
      <w:pPr>
        <w:ind w:left="426" w:hanging="426"/>
        <w:jc w:val="center"/>
        <w:rPr>
          <w:rFonts w:ascii="Cambria" w:hAnsi="Cambria"/>
          <w:b/>
          <w:sz w:val="18"/>
          <w:szCs w:val="18"/>
        </w:rPr>
      </w:pPr>
      <w:r>
        <w:rPr>
          <w:rFonts w:ascii="Cambria" w:hAnsi="Cambria"/>
          <w:b/>
          <w:sz w:val="18"/>
          <w:szCs w:val="18"/>
        </w:rPr>
        <w:t>Uzavírání smluv</w:t>
      </w:r>
    </w:p>
    <w:p w14:paraId="1C1CFCC8" w14:textId="77777777" w:rsidR="00135431" w:rsidRPr="00BF0272" w:rsidRDefault="00135431" w:rsidP="00135431">
      <w:pPr>
        <w:pStyle w:val="Odstavecseseznamem"/>
        <w:numPr>
          <w:ilvl w:val="0"/>
          <w:numId w:val="10"/>
        </w:numPr>
        <w:ind w:left="426" w:hanging="426"/>
        <w:jc w:val="both"/>
        <w:rPr>
          <w:sz w:val="18"/>
          <w:szCs w:val="18"/>
        </w:rPr>
      </w:pPr>
      <w:r w:rsidRPr="00BF0272">
        <w:rPr>
          <w:sz w:val="18"/>
          <w:szCs w:val="18"/>
        </w:rPr>
        <w:t xml:space="preserve">Návrh smlouvy předkládá, zpravidla na základě objednávky nebo jinak projeveného zájmu nabyvatele, poskytovatel. </w:t>
      </w:r>
    </w:p>
    <w:p w14:paraId="1C1CFCC9" w14:textId="77777777" w:rsidR="00135431" w:rsidRPr="00BF0272" w:rsidRDefault="00135431" w:rsidP="00135431">
      <w:pPr>
        <w:pStyle w:val="Odstavecseseznamem"/>
        <w:numPr>
          <w:ilvl w:val="0"/>
          <w:numId w:val="10"/>
        </w:numPr>
        <w:ind w:left="426" w:hanging="426"/>
        <w:jc w:val="both"/>
        <w:rPr>
          <w:sz w:val="18"/>
          <w:szCs w:val="18"/>
        </w:rPr>
      </w:pPr>
      <w:r w:rsidRPr="00BF0272">
        <w:rPr>
          <w:sz w:val="18"/>
          <w:szCs w:val="18"/>
        </w:rPr>
        <w:t>Pro přijetí návrhu smlouvy se stanoví lhůta jeden měsíc od data jeho odeslání nabyvateli.</w:t>
      </w:r>
    </w:p>
    <w:p w14:paraId="1C1CFCCA" w14:textId="77777777" w:rsidR="00135431" w:rsidRPr="00507986" w:rsidRDefault="00135431" w:rsidP="00135431">
      <w:pPr>
        <w:ind w:left="426" w:hanging="426"/>
        <w:jc w:val="center"/>
        <w:rPr>
          <w:rFonts w:ascii="Times New Roman" w:hAnsi="Times New Roman"/>
          <w:b/>
          <w:sz w:val="14"/>
          <w:szCs w:val="14"/>
        </w:rPr>
      </w:pPr>
    </w:p>
    <w:p w14:paraId="1C1CFCCB" w14:textId="77777777" w:rsidR="00135431" w:rsidRDefault="00135431" w:rsidP="00135431">
      <w:pPr>
        <w:ind w:left="426" w:hanging="426"/>
        <w:jc w:val="center"/>
        <w:rPr>
          <w:rFonts w:ascii="Cambria" w:hAnsi="Cambria"/>
          <w:b/>
          <w:sz w:val="18"/>
          <w:szCs w:val="18"/>
        </w:rPr>
      </w:pPr>
      <w:r>
        <w:rPr>
          <w:rFonts w:ascii="Cambria" w:hAnsi="Cambria"/>
          <w:b/>
          <w:sz w:val="18"/>
          <w:szCs w:val="18"/>
        </w:rPr>
        <w:t>III.</w:t>
      </w:r>
    </w:p>
    <w:p w14:paraId="1C1CFCCC" w14:textId="77777777" w:rsidR="00135431" w:rsidRDefault="00135431" w:rsidP="00135431">
      <w:pPr>
        <w:ind w:left="426" w:hanging="426"/>
        <w:jc w:val="center"/>
        <w:rPr>
          <w:rFonts w:ascii="Cambria" w:hAnsi="Cambria"/>
          <w:b/>
          <w:sz w:val="18"/>
          <w:szCs w:val="18"/>
        </w:rPr>
      </w:pPr>
      <w:r>
        <w:rPr>
          <w:rFonts w:ascii="Cambria" w:hAnsi="Cambria"/>
          <w:b/>
          <w:sz w:val="18"/>
          <w:szCs w:val="18"/>
        </w:rPr>
        <w:t>Splnění závazku</w:t>
      </w:r>
    </w:p>
    <w:p w14:paraId="1C1CFCCD" w14:textId="77777777" w:rsidR="00135431" w:rsidRPr="00BF0272" w:rsidRDefault="00135431" w:rsidP="00135431">
      <w:pPr>
        <w:pStyle w:val="Odstavecseseznamem"/>
        <w:numPr>
          <w:ilvl w:val="0"/>
          <w:numId w:val="11"/>
        </w:numPr>
        <w:ind w:left="426" w:hanging="426"/>
        <w:jc w:val="both"/>
        <w:rPr>
          <w:sz w:val="18"/>
          <w:szCs w:val="18"/>
        </w:rPr>
      </w:pPr>
      <w:r w:rsidRPr="00BF0272">
        <w:rPr>
          <w:sz w:val="18"/>
          <w:szCs w:val="18"/>
        </w:rPr>
        <w:t xml:space="preserve">Závazek poskytovatele k poskytnutí licence softwaru je splněn: </w:t>
      </w:r>
    </w:p>
    <w:p w14:paraId="1C1CFCCE" w14:textId="77777777" w:rsidR="00135431" w:rsidRPr="00BF0272" w:rsidRDefault="00135431" w:rsidP="00135431">
      <w:pPr>
        <w:pStyle w:val="Odstavecseseznamem"/>
        <w:numPr>
          <w:ilvl w:val="0"/>
          <w:numId w:val="12"/>
        </w:numPr>
        <w:ind w:left="993" w:hanging="567"/>
        <w:jc w:val="both"/>
        <w:rPr>
          <w:sz w:val="18"/>
          <w:szCs w:val="18"/>
        </w:rPr>
      </w:pPr>
      <w:r w:rsidRPr="00BF0272">
        <w:rPr>
          <w:sz w:val="18"/>
          <w:szCs w:val="18"/>
        </w:rPr>
        <w:t>poskytnutím nosiče dat (instalačního média) se smluveným softwarem nabyvateli,</w:t>
      </w:r>
    </w:p>
    <w:p w14:paraId="1C1CFCCF" w14:textId="77777777" w:rsidR="00135431" w:rsidRPr="00BF0272" w:rsidRDefault="00135431" w:rsidP="00135431">
      <w:pPr>
        <w:pStyle w:val="Odstavecseseznamem"/>
        <w:numPr>
          <w:ilvl w:val="0"/>
          <w:numId w:val="12"/>
        </w:numPr>
        <w:ind w:left="993" w:hanging="567"/>
        <w:jc w:val="both"/>
        <w:rPr>
          <w:sz w:val="18"/>
          <w:szCs w:val="18"/>
        </w:rPr>
      </w:pPr>
      <w:r w:rsidRPr="00BF0272">
        <w:rPr>
          <w:sz w:val="18"/>
          <w:szCs w:val="18"/>
        </w:rPr>
        <w:t>poskytnutím přístupu nabyvateli k softwaru dálkovým přístupem.</w:t>
      </w:r>
    </w:p>
    <w:p w14:paraId="1C1CFCD0" w14:textId="77777777" w:rsidR="00135431" w:rsidRPr="00BF0272" w:rsidRDefault="00135431" w:rsidP="00135431">
      <w:pPr>
        <w:pStyle w:val="Odstavecseseznamem"/>
        <w:numPr>
          <w:ilvl w:val="0"/>
          <w:numId w:val="13"/>
        </w:numPr>
        <w:ind w:left="426" w:hanging="426"/>
        <w:jc w:val="both"/>
        <w:rPr>
          <w:sz w:val="18"/>
          <w:szCs w:val="18"/>
        </w:rPr>
      </w:pPr>
      <w:r w:rsidRPr="00BF0272">
        <w:rPr>
          <w:sz w:val="18"/>
          <w:szCs w:val="18"/>
        </w:rPr>
        <w:t>Závazek poskytovatele k poskytnutí jiných plnění je splněn předáním těchto plnění nabyvateli.</w:t>
      </w:r>
    </w:p>
    <w:p w14:paraId="1C1CFCD1" w14:textId="77777777" w:rsidR="00135431" w:rsidRPr="00BF0272" w:rsidRDefault="00135431" w:rsidP="00135431">
      <w:pPr>
        <w:pStyle w:val="Odstavecseseznamem"/>
        <w:numPr>
          <w:ilvl w:val="0"/>
          <w:numId w:val="13"/>
        </w:numPr>
        <w:ind w:left="426" w:hanging="426"/>
        <w:jc w:val="both"/>
        <w:rPr>
          <w:sz w:val="18"/>
          <w:szCs w:val="18"/>
        </w:rPr>
      </w:pPr>
      <w:r w:rsidRPr="00BF0272">
        <w:rPr>
          <w:sz w:val="18"/>
          <w:szCs w:val="18"/>
        </w:rPr>
        <w:t xml:space="preserve">Pokud to umožňuje povaha poskytovaného plnění, může poskytovatel svůj závazek splnit také předáním předmětu plnění dopravci k přepravě na adresu nabyvatele nebo instalací softwaru v sídle nabyvatele. </w:t>
      </w:r>
    </w:p>
    <w:p w14:paraId="1C1CFCD2" w14:textId="77777777" w:rsidR="00135431" w:rsidRPr="00BF0272" w:rsidRDefault="00135431" w:rsidP="00135431">
      <w:pPr>
        <w:pStyle w:val="Odstavecseseznamem"/>
        <w:numPr>
          <w:ilvl w:val="0"/>
          <w:numId w:val="13"/>
        </w:numPr>
        <w:ind w:left="426" w:hanging="426"/>
        <w:jc w:val="both"/>
        <w:rPr>
          <w:sz w:val="18"/>
          <w:szCs w:val="18"/>
        </w:rPr>
      </w:pPr>
      <w:r w:rsidRPr="00BF0272">
        <w:rPr>
          <w:sz w:val="18"/>
          <w:szCs w:val="18"/>
        </w:rPr>
        <w:t>Spolu se softwarem poskytne poskytovatel nabyvateli rovněž návod k jeho použití v písemné nebo v elektronické podobě. Součástí softwaru nejsou zdrojové texty.</w:t>
      </w:r>
    </w:p>
    <w:p w14:paraId="1C1CFCD3" w14:textId="77777777" w:rsidR="00135431" w:rsidRPr="00BF0272" w:rsidRDefault="00135431" w:rsidP="00135431">
      <w:pPr>
        <w:pStyle w:val="Odstavecseseznamem"/>
        <w:numPr>
          <w:ilvl w:val="0"/>
          <w:numId w:val="13"/>
        </w:numPr>
        <w:ind w:left="426" w:hanging="426"/>
        <w:jc w:val="both"/>
        <w:rPr>
          <w:sz w:val="18"/>
          <w:szCs w:val="18"/>
        </w:rPr>
      </w:pPr>
      <w:r w:rsidRPr="00BF0272">
        <w:rPr>
          <w:sz w:val="18"/>
          <w:szCs w:val="18"/>
        </w:rPr>
        <w:t xml:space="preserve">Nabyvatel je povinen převzetí softwaru potvrdit na protokolu o předání (registrační list, předávací protokol apod.). Předává-li poskytovatel software nabyvateli osobně, je oprávněn odepřít plnění, pokud nabyvatel nepotvrdí protokol o předání. Poskytovatel není v prodlení, pokud nabyvatel odmítl potvrdit převzetí softwaru. </w:t>
      </w:r>
    </w:p>
    <w:p w14:paraId="1C1CFCD4" w14:textId="77777777" w:rsidR="00135431" w:rsidRPr="00507986" w:rsidRDefault="00135431" w:rsidP="00135431">
      <w:pPr>
        <w:ind w:left="426" w:hanging="426"/>
        <w:jc w:val="center"/>
        <w:rPr>
          <w:rFonts w:ascii="Times New Roman" w:hAnsi="Times New Roman"/>
          <w:b/>
          <w:sz w:val="14"/>
          <w:szCs w:val="14"/>
        </w:rPr>
      </w:pPr>
    </w:p>
    <w:p w14:paraId="1C1CFCD5" w14:textId="77777777" w:rsidR="00135431" w:rsidRDefault="00135431" w:rsidP="00135431">
      <w:pPr>
        <w:ind w:left="426" w:hanging="426"/>
        <w:jc w:val="center"/>
        <w:rPr>
          <w:rFonts w:ascii="Cambria" w:hAnsi="Cambria"/>
          <w:b/>
          <w:sz w:val="18"/>
          <w:szCs w:val="18"/>
        </w:rPr>
      </w:pPr>
      <w:r>
        <w:rPr>
          <w:rFonts w:ascii="Cambria" w:hAnsi="Cambria"/>
          <w:b/>
          <w:sz w:val="18"/>
          <w:szCs w:val="18"/>
        </w:rPr>
        <w:t>IV.</w:t>
      </w:r>
    </w:p>
    <w:p w14:paraId="1C1CFCD6" w14:textId="77777777" w:rsidR="00135431" w:rsidRDefault="00135431" w:rsidP="00135431">
      <w:pPr>
        <w:tabs>
          <w:tab w:val="left" w:pos="-1843"/>
        </w:tabs>
        <w:ind w:left="426" w:hanging="426"/>
        <w:jc w:val="center"/>
        <w:rPr>
          <w:rFonts w:ascii="Cambria" w:hAnsi="Cambria"/>
          <w:b/>
          <w:sz w:val="18"/>
          <w:szCs w:val="18"/>
        </w:rPr>
      </w:pPr>
      <w:r>
        <w:rPr>
          <w:rFonts w:ascii="Cambria" w:hAnsi="Cambria"/>
          <w:b/>
          <w:sz w:val="18"/>
          <w:szCs w:val="18"/>
        </w:rPr>
        <w:t>Řešitelský servis</w:t>
      </w:r>
    </w:p>
    <w:p w14:paraId="1C1CFCD7" w14:textId="77777777" w:rsidR="00135431" w:rsidRPr="00BF0272" w:rsidRDefault="00135431" w:rsidP="00135431">
      <w:pPr>
        <w:pStyle w:val="Odstavecseseznamem"/>
        <w:numPr>
          <w:ilvl w:val="0"/>
          <w:numId w:val="14"/>
        </w:numPr>
        <w:ind w:left="426" w:hanging="426"/>
        <w:jc w:val="both"/>
        <w:rPr>
          <w:sz w:val="18"/>
          <w:szCs w:val="18"/>
        </w:rPr>
      </w:pPr>
      <w:r w:rsidRPr="00BF0272">
        <w:rPr>
          <w:sz w:val="18"/>
          <w:szCs w:val="18"/>
        </w:rPr>
        <w:t>Řešitelský servis zahrnuje:</w:t>
      </w:r>
    </w:p>
    <w:p w14:paraId="1C1CFCD8" w14:textId="77777777" w:rsidR="00135431" w:rsidRPr="00BF0272" w:rsidRDefault="00135431" w:rsidP="00135431">
      <w:pPr>
        <w:pStyle w:val="Odstavecseseznamem"/>
        <w:numPr>
          <w:ilvl w:val="0"/>
          <w:numId w:val="15"/>
        </w:numPr>
        <w:ind w:left="993" w:hanging="567"/>
        <w:jc w:val="both"/>
        <w:rPr>
          <w:sz w:val="18"/>
          <w:szCs w:val="18"/>
        </w:rPr>
      </w:pPr>
      <w:r w:rsidRPr="00BF0272">
        <w:rPr>
          <w:sz w:val="18"/>
          <w:szCs w:val="18"/>
        </w:rPr>
        <w:t>zapracování změn právních předpisů softwaru,</w:t>
      </w:r>
    </w:p>
    <w:p w14:paraId="1C1CFCD9" w14:textId="77777777" w:rsidR="00135431" w:rsidRPr="00BF0272" w:rsidRDefault="00135431" w:rsidP="00135431">
      <w:pPr>
        <w:pStyle w:val="Odstavecseseznamem"/>
        <w:numPr>
          <w:ilvl w:val="0"/>
          <w:numId w:val="15"/>
        </w:numPr>
        <w:ind w:left="993" w:hanging="567"/>
        <w:jc w:val="both"/>
        <w:rPr>
          <w:sz w:val="18"/>
          <w:szCs w:val="18"/>
        </w:rPr>
      </w:pPr>
      <w:r w:rsidRPr="00BF0272">
        <w:rPr>
          <w:sz w:val="18"/>
          <w:szCs w:val="18"/>
        </w:rPr>
        <w:t>další vývoj software,</w:t>
      </w:r>
    </w:p>
    <w:p w14:paraId="1C1CFCDA" w14:textId="77777777" w:rsidR="00135431" w:rsidRPr="00BF0272" w:rsidRDefault="00135431" w:rsidP="00135431">
      <w:pPr>
        <w:pStyle w:val="Odstavecseseznamem"/>
        <w:numPr>
          <w:ilvl w:val="0"/>
          <w:numId w:val="15"/>
        </w:numPr>
        <w:ind w:left="993" w:hanging="567"/>
        <w:jc w:val="both"/>
        <w:rPr>
          <w:sz w:val="18"/>
          <w:szCs w:val="18"/>
        </w:rPr>
      </w:pPr>
      <w:r w:rsidRPr="00BF0272">
        <w:rPr>
          <w:sz w:val="18"/>
          <w:szCs w:val="18"/>
        </w:rPr>
        <w:t>hot-line 1. úroveň,</w:t>
      </w:r>
    </w:p>
    <w:p w14:paraId="1C1CFCDB" w14:textId="77777777" w:rsidR="00135431" w:rsidRPr="00BF0272" w:rsidRDefault="00135431" w:rsidP="00135431">
      <w:pPr>
        <w:pStyle w:val="Odstavecseseznamem"/>
        <w:numPr>
          <w:ilvl w:val="0"/>
          <w:numId w:val="15"/>
        </w:numPr>
        <w:ind w:left="993" w:hanging="567"/>
        <w:jc w:val="both"/>
        <w:rPr>
          <w:sz w:val="18"/>
          <w:szCs w:val="18"/>
        </w:rPr>
      </w:pPr>
      <w:r w:rsidRPr="00BF0272">
        <w:rPr>
          <w:sz w:val="18"/>
          <w:szCs w:val="18"/>
        </w:rPr>
        <w:t>přístup na Help Desk.</w:t>
      </w:r>
    </w:p>
    <w:p w14:paraId="1C1CFCDC" w14:textId="77777777" w:rsidR="00135431" w:rsidRPr="00BF0272" w:rsidRDefault="00135431" w:rsidP="00135431">
      <w:pPr>
        <w:pStyle w:val="Odstavecseseznamem"/>
        <w:numPr>
          <w:ilvl w:val="0"/>
          <w:numId w:val="14"/>
        </w:numPr>
        <w:ind w:left="426" w:hanging="426"/>
        <w:jc w:val="both"/>
        <w:rPr>
          <w:sz w:val="18"/>
          <w:szCs w:val="18"/>
        </w:rPr>
      </w:pPr>
      <w:r w:rsidRPr="00BF0272">
        <w:rPr>
          <w:sz w:val="18"/>
          <w:szCs w:val="18"/>
        </w:rPr>
        <w:t xml:space="preserve">Zapracování změn právních předpisů do softwaru, včetně distribuce upraveného softwaru bude v maximální možné míře provedena před termínem účinnosti změn právních předpisů. Poskytovatel může tento svůj závazek splnit také umístěním aktualizace (update) na svých webových stránkách. </w:t>
      </w:r>
    </w:p>
    <w:p w14:paraId="1C1CFCDD" w14:textId="77777777" w:rsidR="00135431" w:rsidRPr="00BF0272" w:rsidRDefault="00135431" w:rsidP="00135431">
      <w:pPr>
        <w:pStyle w:val="Odstavecseseznamem"/>
        <w:ind w:left="426"/>
        <w:jc w:val="both"/>
        <w:rPr>
          <w:sz w:val="18"/>
          <w:szCs w:val="18"/>
        </w:rPr>
      </w:pPr>
      <w:r w:rsidRPr="00BF0272">
        <w:rPr>
          <w:sz w:val="18"/>
          <w:szCs w:val="18"/>
        </w:rPr>
        <w:t xml:space="preserve">Dalším vývojem softwaru podle projekčního plánu poskytovatele se rozumí poskytování nových vývojových verzí softwaru, včetně práva na přechod mezi jednotlivými alternativami softwaru, zejména: </w:t>
      </w:r>
    </w:p>
    <w:p w14:paraId="1C1CFCDE" w14:textId="77777777" w:rsidR="00135431" w:rsidRPr="00BF0272" w:rsidRDefault="00135431" w:rsidP="00135431">
      <w:pPr>
        <w:pStyle w:val="Odstavecseseznamem"/>
        <w:numPr>
          <w:ilvl w:val="0"/>
          <w:numId w:val="16"/>
        </w:numPr>
        <w:ind w:left="993" w:right="174" w:hanging="567"/>
        <w:jc w:val="both"/>
        <w:rPr>
          <w:sz w:val="18"/>
          <w:szCs w:val="18"/>
        </w:rPr>
      </w:pPr>
      <w:r w:rsidRPr="00BF0272">
        <w:rPr>
          <w:sz w:val="18"/>
          <w:szCs w:val="18"/>
        </w:rPr>
        <w:t>změna operačního systému dle Port listu,</w:t>
      </w:r>
    </w:p>
    <w:p w14:paraId="1C1CFCDF" w14:textId="77777777" w:rsidR="00135431" w:rsidRPr="00BF0272" w:rsidRDefault="00135431" w:rsidP="00135431">
      <w:pPr>
        <w:pStyle w:val="Odstavecseseznamem"/>
        <w:numPr>
          <w:ilvl w:val="0"/>
          <w:numId w:val="16"/>
        </w:numPr>
        <w:ind w:left="993" w:right="174" w:hanging="567"/>
        <w:jc w:val="both"/>
        <w:rPr>
          <w:sz w:val="18"/>
          <w:szCs w:val="18"/>
        </w:rPr>
      </w:pPr>
      <w:r w:rsidRPr="00BF0272">
        <w:rPr>
          <w:sz w:val="18"/>
          <w:szCs w:val="18"/>
        </w:rPr>
        <w:t>změna databáze (uložení dat) dle Port listu,</w:t>
      </w:r>
    </w:p>
    <w:p w14:paraId="1C1CFCE0" w14:textId="77777777" w:rsidR="00135431" w:rsidRPr="00BF0272" w:rsidRDefault="00135431" w:rsidP="00135431">
      <w:pPr>
        <w:pStyle w:val="Odstavecseseznamem"/>
        <w:numPr>
          <w:ilvl w:val="0"/>
          <w:numId w:val="16"/>
        </w:numPr>
        <w:ind w:left="993" w:right="174" w:hanging="567"/>
        <w:jc w:val="both"/>
        <w:rPr>
          <w:sz w:val="18"/>
          <w:szCs w:val="18"/>
        </w:rPr>
      </w:pPr>
      <w:r w:rsidRPr="00BF0272">
        <w:rPr>
          <w:sz w:val="18"/>
          <w:szCs w:val="18"/>
        </w:rPr>
        <w:t>změna technologické architektury dodaného software (C/S apod.) za rozdíl aktuálních cen při nepřetržitém řešitelském servisu,</w:t>
      </w:r>
    </w:p>
    <w:p w14:paraId="1C1CFCE1" w14:textId="77777777" w:rsidR="00135431" w:rsidRPr="00BF0272" w:rsidRDefault="00135431" w:rsidP="00135431">
      <w:pPr>
        <w:pStyle w:val="Odstavecseseznamem"/>
        <w:numPr>
          <w:ilvl w:val="0"/>
          <w:numId w:val="16"/>
        </w:numPr>
        <w:ind w:left="993" w:right="174" w:hanging="567"/>
        <w:jc w:val="both"/>
        <w:rPr>
          <w:sz w:val="18"/>
          <w:szCs w:val="18"/>
        </w:rPr>
      </w:pPr>
      <w:r w:rsidRPr="00BF0272">
        <w:rPr>
          <w:sz w:val="18"/>
          <w:szCs w:val="18"/>
        </w:rPr>
        <w:t>zvýšení počtu uživatelů za rozdíl aktuálních cen při nepřetržitém řešitelském servisu,</w:t>
      </w:r>
    </w:p>
    <w:p w14:paraId="1C1CFCE2" w14:textId="77777777" w:rsidR="00135431" w:rsidRPr="00BF0272" w:rsidRDefault="00135431" w:rsidP="00135431">
      <w:pPr>
        <w:pStyle w:val="Odstavecseseznamem"/>
        <w:numPr>
          <w:ilvl w:val="0"/>
          <w:numId w:val="16"/>
        </w:numPr>
        <w:ind w:left="993" w:right="174" w:hanging="567"/>
        <w:jc w:val="both"/>
        <w:rPr>
          <w:sz w:val="18"/>
          <w:szCs w:val="18"/>
        </w:rPr>
      </w:pPr>
      <w:r w:rsidRPr="00BF0272">
        <w:rPr>
          <w:sz w:val="18"/>
          <w:szCs w:val="18"/>
        </w:rPr>
        <w:t>zvýšení počtu licencí, komerční využití za rozdíl aktuálních cen při nepřetržitém řešitelském servisu.</w:t>
      </w:r>
    </w:p>
    <w:p w14:paraId="1C1CFCE3" w14:textId="77777777" w:rsidR="00135431" w:rsidRPr="00BF0272" w:rsidRDefault="00135431" w:rsidP="00135431">
      <w:pPr>
        <w:ind w:left="426" w:right="174"/>
        <w:jc w:val="both"/>
        <w:rPr>
          <w:color w:val="000000"/>
          <w:sz w:val="18"/>
          <w:szCs w:val="18"/>
        </w:rPr>
      </w:pPr>
      <w:r w:rsidRPr="00BF0272">
        <w:rPr>
          <w:bCs/>
          <w:color w:val="000000"/>
          <w:sz w:val="18"/>
          <w:szCs w:val="18"/>
        </w:rPr>
        <w:t>Pod pojmem hot-line 1. úrovně</w:t>
      </w:r>
      <w:r w:rsidRPr="00BF0272">
        <w:rPr>
          <w:b/>
          <w:bCs/>
          <w:color w:val="000000"/>
          <w:sz w:val="18"/>
          <w:szCs w:val="18"/>
        </w:rPr>
        <w:t xml:space="preserve"> </w:t>
      </w:r>
      <w:r w:rsidRPr="00BF0272">
        <w:rPr>
          <w:color w:val="000000"/>
          <w:sz w:val="18"/>
          <w:szCs w:val="18"/>
        </w:rPr>
        <w:t>se rozumí základní poradenství k poskytovanému softwaru a příjem hlášení o výskytu havarijních stavů pro poskytovaný software.</w:t>
      </w:r>
    </w:p>
    <w:p w14:paraId="1C1CFCE4" w14:textId="77777777" w:rsidR="00135431" w:rsidRPr="00BF0272" w:rsidRDefault="00135431" w:rsidP="00135431">
      <w:pPr>
        <w:pStyle w:val="Zhlav"/>
        <w:tabs>
          <w:tab w:val="left" w:pos="708"/>
        </w:tabs>
        <w:ind w:left="426" w:right="174"/>
        <w:jc w:val="both"/>
        <w:rPr>
          <w:sz w:val="18"/>
          <w:szCs w:val="18"/>
        </w:rPr>
      </w:pPr>
      <w:r w:rsidRPr="00BF0272">
        <w:rPr>
          <w:sz w:val="18"/>
          <w:szCs w:val="18"/>
        </w:rPr>
        <w:t>Přístupem na Help Desk se rozumní možnost oprávněného přístupu na Help Desk poskytovatele (www.ortex.cz), popř. k dalším informačním zdrojům.</w:t>
      </w:r>
    </w:p>
    <w:p w14:paraId="1C1CFCE5" w14:textId="77777777" w:rsidR="00135431" w:rsidRPr="00BF0272" w:rsidRDefault="00135431" w:rsidP="00135431">
      <w:pPr>
        <w:pStyle w:val="Odstavecseseznamem"/>
        <w:numPr>
          <w:ilvl w:val="0"/>
          <w:numId w:val="14"/>
        </w:numPr>
        <w:ind w:left="426" w:hanging="426"/>
        <w:jc w:val="both"/>
        <w:rPr>
          <w:sz w:val="18"/>
          <w:szCs w:val="18"/>
        </w:rPr>
      </w:pPr>
      <w:r w:rsidRPr="00BF0272">
        <w:rPr>
          <w:sz w:val="18"/>
          <w:szCs w:val="18"/>
        </w:rPr>
        <w:t>Součástí řešitelského servisu je dále také:</w:t>
      </w:r>
    </w:p>
    <w:p w14:paraId="1C1CFCE6" w14:textId="77777777" w:rsidR="00135431" w:rsidRPr="00BF0272" w:rsidRDefault="00135431" w:rsidP="00135431">
      <w:pPr>
        <w:pStyle w:val="Odstavecseseznamem"/>
        <w:numPr>
          <w:ilvl w:val="0"/>
          <w:numId w:val="17"/>
        </w:numPr>
        <w:ind w:left="993" w:hanging="567"/>
        <w:jc w:val="both"/>
        <w:rPr>
          <w:sz w:val="18"/>
          <w:szCs w:val="18"/>
        </w:rPr>
      </w:pPr>
      <w:r w:rsidRPr="00BF0272">
        <w:rPr>
          <w:sz w:val="18"/>
          <w:szCs w:val="18"/>
        </w:rPr>
        <w:t>poskytování základního školení k softwaru nabyvatelům v termínech a místech vyhlášených poskytovatelem,</w:t>
      </w:r>
    </w:p>
    <w:p w14:paraId="1C1CFCE7" w14:textId="77777777" w:rsidR="00135431" w:rsidRPr="00BF0272" w:rsidRDefault="00135431" w:rsidP="00135431">
      <w:pPr>
        <w:pStyle w:val="Odstavecseseznamem"/>
        <w:numPr>
          <w:ilvl w:val="0"/>
          <w:numId w:val="17"/>
        </w:numPr>
        <w:ind w:left="993" w:hanging="567"/>
        <w:jc w:val="both"/>
        <w:rPr>
          <w:sz w:val="18"/>
          <w:szCs w:val="18"/>
        </w:rPr>
      </w:pPr>
      <w:r w:rsidRPr="00BF0272">
        <w:rPr>
          <w:sz w:val="18"/>
          <w:szCs w:val="18"/>
        </w:rPr>
        <w:t>právo účasti nabyvatelů na schůzkách uživatelů software pořádaných poskytovatelem,</w:t>
      </w:r>
    </w:p>
    <w:p w14:paraId="1C1CFCE8" w14:textId="77777777" w:rsidR="00135431" w:rsidRPr="00BF0272" w:rsidRDefault="00135431" w:rsidP="00135431">
      <w:pPr>
        <w:pStyle w:val="Odstavecseseznamem"/>
        <w:numPr>
          <w:ilvl w:val="0"/>
          <w:numId w:val="17"/>
        </w:numPr>
        <w:ind w:left="993" w:hanging="567"/>
        <w:jc w:val="both"/>
        <w:rPr>
          <w:sz w:val="18"/>
          <w:szCs w:val="18"/>
        </w:rPr>
      </w:pPr>
      <w:r w:rsidRPr="00BF0272">
        <w:rPr>
          <w:sz w:val="18"/>
          <w:szCs w:val="18"/>
        </w:rPr>
        <w:t>přístup k Informačnímu zpravodaji poskytovatele (Magazínu ORTEXu), který je v elektronické podobě k dispozici všem zákazníkům na portále  www.ortex.cz. Informační zpravodaj obsahuje informace o nových projektech a směřování vývoje produktů poskytovatele.</w:t>
      </w:r>
    </w:p>
    <w:p w14:paraId="1C1CFCE9" w14:textId="77777777" w:rsidR="00135431" w:rsidRPr="00BF0272" w:rsidRDefault="00135431" w:rsidP="00135431">
      <w:pPr>
        <w:pStyle w:val="Odstavecseseznamem"/>
        <w:numPr>
          <w:ilvl w:val="0"/>
          <w:numId w:val="17"/>
        </w:numPr>
        <w:ind w:left="993" w:hanging="567"/>
        <w:jc w:val="both"/>
        <w:rPr>
          <w:sz w:val="18"/>
          <w:szCs w:val="18"/>
        </w:rPr>
      </w:pPr>
      <w:r w:rsidRPr="00BF0272">
        <w:rPr>
          <w:sz w:val="18"/>
          <w:szCs w:val="18"/>
        </w:rPr>
        <w:t>Zasílání Aktualit z projekce s aktuálními informacemi o změnách v software.</w:t>
      </w:r>
    </w:p>
    <w:p w14:paraId="1C1CFCEA" w14:textId="77777777" w:rsidR="00135431" w:rsidRPr="00BF0272" w:rsidRDefault="00135431" w:rsidP="00135431">
      <w:pPr>
        <w:pStyle w:val="Odstavecseseznamem"/>
        <w:numPr>
          <w:ilvl w:val="0"/>
          <w:numId w:val="14"/>
        </w:numPr>
        <w:ind w:left="426" w:hanging="426"/>
        <w:jc w:val="both"/>
        <w:rPr>
          <w:sz w:val="18"/>
          <w:szCs w:val="18"/>
        </w:rPr>
      </w:pPr>
      <w:r w:rsidRPr="00BF0272">
        <w:rPr>
          <w:sz w:val="18"/>
          <w:szCs w:val="18"/>
        </w:rPr>
        <w:t>Řešitelský servis je poskytovatelem poskytován bezplatně po dobu tří měsíců následujících po měsíci, ve kterém bylo uskutečněno zdanitelné plnění (poskytnuta licence).</w:t>
      </w:r>
    </w:p>
    <w:p w14:paraId="1C1CFCEB" w14:textId="77777777" w:rsidR="00135431" w:rsidRPr="00BF0272" w:rsidRDefault="00135431" w:rsidP="00135431">
      <w:pPr>
        <w:pStyle w:val="Odstavecseseznamem"/>
        <w:ind w:left="426"/>
        <w:jc w:val="both"/>
        <w:rPr>
          <w:sz w:val="18"/>
          <w:szCs w:val="18"/>
        </w:rPr>
      </w:pPr>
      <w:r w:rsidRPr="00BF0272">
        <w:rPr>
          <w:sz w:val="18"/>
          <w:szCs w:val="18"/>
        </w:rPr>
        <w:t>Po uplynutí výše uvedené lhůty bude poskytovatel řešitelský servis poskytovat nabyvateli, na základě samostatně uzavřené smlouvy o dílo, a to po dobu nejméně osmi let od splnění licenční smlouvy.</w:t>
      </w:r>
    </w:p>
    <w:p w14:paraId="1C1CFCEC" w14:textId="77777777" w:rsidR="00135431" w:rsidRPr="00BF0272" w:rsidRDefault="00135431" w:rsidP="00135431">
      <w:pPr>
        <w:pStyle w:val="Odstavecseseznamem"/>
        <w:numPr>
          <w:ilvl w:val="0"/>
          <w:numId w:val="14"/>
        </w:numPr>
        <w:ind w:left="426" w:hanging="426"/>
        <w:jc w:val="both"/>
        <w:rPr>
          <w:sz w:val="18"/>
          <w:szCs w:val="18"/>
        </w:rPr>
      </w:pPr>
      <w:r w:rsidRPr="00BF0272">
        <w:rPr>
          <w:sz w:val="18"/>
          <w:szCs w:val="18"/>
        </w:rPr>
        <w:t>Poskytovatel negarantuje návaznost starých verzí softwaru, pro které nebyla uzavřena smlouva o dílo o poskytování řešitelského servisu, na nově poskytovaný software.</w:t>
      </w:r>
    </w:p>
    <w:p w14:paraId="1C1CFCED" w14:textId="77777777" w:rsidR="00135431" w:rsidRPr="00BF0272" w:rsidRDefault="00135431" w:rsidP="00135431">
      <w:pPr>
        <w:pStyle w:val="Odstavecseseznamem"/>
        <w:numPr>
          <w:ilvl w:val="0"/>
          <w:numId w:val="14"/>
        </w:numPr>
        <w:ind w:left="426" w:hanging="426"/>
        <w:jc w:val="both"/>
        <w:rPr>
          <w:sz w:val="18"/>
          <w:szCs w:val="18"/>
        </w:rPr>
      </w:pPr>
      <w:r w:rsidRPr="00BF0272">
        <w:rPr>
          <w:sz w:val="18"/>
          <w:szCs w:val="18"/>
        </w:rPr>
        <w:t xml:space="preserve">Cena řešitelského servisu na jeden měsíc se sjednává ve výši 1,7 % z ceny za poskytnutí softwaru bez DPH platné podle ceníku poskytovatele k prvému dni měsíce, za který je řešitelský servis účtován. Takto vypočtená cena se zvyšuje o DPH. </w:t>
      </w:r>
    </w:p>
    <w:p w14:paraId="1C1CFCEE" w14:textId="77777777" w:rsidR="00135431" w:rsidRPr="00BF0272" w:rsidRDefault="00135431" w:rsidP="00135431">
      <w:pPr>
        <w:pStyle w:val="Odstavecseseznamem"/>
        <w:ind w:left="426"/>
        <w:jc w:val="both"/>
        <w:rPr>
          <w:sz w:val="18"/>
          <w:szCs w:val="18"/>
        </w:rPr>
      </w:pPr>
      <w:r w:rsidRPr="00BF0272">
        <w:rPr>
          <w:sz w:val="18"/>
          <w:szCs w:val="18"/>
        </w:rPr>
        <w:lastRenderedPageBreak/>
        <w:t>Poskytovatel je oprávněn cenu softwaru zvýšit. Meziroční nárůst ceny může však činit nejvýše tolik, kolik činí procentní míra inflace v ČR za předchozí kalendářní rok zvýšená o tři procentní body. Pokud je však stát nabyvatele odlišný od státu poskytovatele, navyšuje se cena řešitelského servisu o prokazatelné vícenáklady změn softwaru podle předpisů státu nabyvatele, které poskytovateli vzniknou proti nákladům obvyklým, maximálně o 1,7 % z aktuální prodejní ceny poskytnutého softwaru.</w:t>
      </w:r>
    </w:p>
    <w:p w14:paraId="1C1CFCEF" w14:textId="77777777" w:rsidR="00135431" w:rsidRPr="00BF0272" w:rsidRDefault="00135431" w:rsidP="00135431">
      <w:pPr>
        <w:pStyle w:val="Odstavecseseznamem"/>
        <w:numPr>
          <w:ilvl w:val="0"/>
          <w:numId w:val="14"/>
        </w:numPr>
        <w:ind w:left="426" w:hanging="426"/>
        <w:jc w:val="both"/>
        <w:rPr>
          <w:sz w:val="18"/>
          <w:szCs w:val="18"/>
        </w:rPr>
      </w:pPr>
      <w:r w:rsidRPr="00BF0272">
        <w:rPr>
          <w:sz w:val="18"/>
          <w:szCs w:val="18"/>
        </w:rPr>
        <w:t>Provádění změn a distribuce upravených výstupů (sestav, souborů, tabulek RDBS apod. – dále jen „výstupy“) se vztahuje pouze na výstupy zařazené do typového řešení. Tyto výstupy jsou uloženy v systémových vzorech (samostatné datové množiny vyjmenované v typové dokumentaci). Výstupy vytvořené jednorázovou zakázkovou úpravou jsou poskytovatelem udržovány pouze v případě, že je smluvně sjednán řešitelský servis (údržba) této zakázkové úpravy.</w:t>
      </w:r>
    </w:p>
    <w:p w14:paraId="1C1CFCF0" w14:textId="77777777" w:rsidR="00135431" w:rsidRPr="00BF0272" w:rsidRDefault="00135431" w:rsidP="00135431">
      <w:pPr>
        <w:pStyle w:val="Odstavecseseznamem"/>
        <w:numPr>
          <w:ilvl w:val="0"/>
          <w:numId w:val="14"/>
        </w:numPr>
        <w:ind w:left="426" w:hanging="426"/>
        <w:jc w:val="both"/>
        <w:rPr>
          <w:sz w:val="18"/>
          <w:szCs w:val="18"/>
        </w:rPr>
      </w:pPr>
      <w:r w:rsidRPr="00BF0272">
        <w:rPr>
          <w:sz w:val="18"/>
          <w:szCs w:val="18"/>
        </w:rPr>
        <w:t xml:space="preserve">Řešitelský servis nezahrnuje další služby jako je zaškolení uživatelů, konverze dat, organizační doporučení, metodický dohled, instalace softwaru apod. </w:t>
      </w:r>
    </w:p>
    <w:p w14:paraId="1C1CFCF1" w14:textId="77777777" w:rsidR="00135431" w:rsidRPr="00507986" w:rsidRDefault="00135431" w:rsidP="00135431">
      <w:pPr>
        <w:ind w:left="426" w:hanging="426"/>
        <w:jc w:val="center"/>
        <w:rPr>
          <w:rFonts w:ascii="Times New Roman" w:hAnsi="Times New Roman"/>
          <w:b/>
          <w:sz w:val="14"/>
          <w:szCs w:val="14"/>
        </w:rPr>
      </w:pPr>
    </w:p>
    <w:p w14:paraId="1C1CFCF2" w14:textId="77777777" w:rsidR="00135431" w:rsidRDefault="00135431" w:rsidP="00135431">
      <w:pPr>
        <w:ind w:left="426" w:hanging="426"/>
        <w:jc w:val="center"/>
        <w:rPr>
          <w:rFonts w:ascii="Cambria" w:hAnsi="Cambria"/>
          <w:b/>
          <w:sz w:val="18"/>
          <w:szCs w:val="18"/>
        </w:rPr>
      </w:pPr>
      <w:r>
        <w:rPr>
          <w:rFonts w:ascii="Cambria" w:hAnsi="Cambria"/>
          <w:b/>
          <w:sz w:val="18"/>
          <w:szCs w:val="18"/>
        </w:rPr>
        <w:t>V.</w:t>
      </w:r>
    </w:p>
    <w:p w14:paraId="1C1CFCF3" w14:textId="77777777" w:rsidR="00135431" w:rsidRDefault="00135431" w:rsidP="00135431">
      <w:pPr>
        <w:ind w:left="426" w:hanging="426"/>
        <w:jc w:val="center"/>
        <w:rPr>
          <w:rFonts w:ascii="Cambria" w:hAnsi="Cambria"/>
          <w:b/>
          <w:sz w:val="18"/>
          <w:szCs w:val="18"/>
        </w:rPr>
      </w:pPr>
      <w:r>
        <w:rPr>
          <w:rFonts w:ascii="Cambria" w:hAnsi="Cambria"/>
          <w:b/>
          <w:sz w:val="18"/>
          <w:szCs w:val="18"/>
        </w:rPr>
        <w:t>Další povinnosti nabyvatele</w:t>
      </w:r>
    </w:p>
    <w:p w14:paraId="1C1CFCF4" w14:textId="45F3A6E6" w:rsidR="00135431" w:rsidRPr="00BF0272" w:rsidRDefault="00135431" w:rsidP="00135431">
      <w:pPr>
        <w:pStyle w:val="Odstavecseseznamem"/>
        <w:numPr>
          <w:ilvl w:val="0"/>
          <w:numId w:val="18"/>
        </w:numPr>
        <w:ind w:left="426" w:hanging="426"/>
        <w:jc w:val="both"/>
        <w:rPr>
          <w:sz w:val="18"/>
          <w:szCs w:val="18"/>
        </w:rPr>
      </w:pPr>
      <w:r w:rsidRPr="00BF0272">
        <w:rPr>
          <w:sz w:val="18"/>
          <w:szCs w:val="18"/>
        </w:rPr>
        <w:t>Poskytovatel poskytuje nabyvateli nevýhradní licenci na dobu trvání majetkových práv autora počítačového programu (dále jen „software“)</w:t>
      </w:r>
      <w:r w:rsidR="00D26872">
        <w:rPr>
          <w:sz w:val="18"/>
          <w:szCs w:val="18"/>
        </w:rPr>
        <w:t>, v souladu se zákonem č. 121/2000 Sb., autorský zákon v platném znění</w:t>
      </w:r>
      <w:r w:rsidRPr="00BF0272">
        <w:rPr>
          <w:sz w:val="18"/>
          <w:szCs w:val="18"/>
        </w:rPr>
        <w:t>.</w:t>
      </w:r>
    </w:p>
    <w:p w14:paraId="1C1CFCF5" w14:textId="77777777" w:rsidR="00135431" w:rsidRPr="00BF0272" w:rsidRDefault="00135431" w:rsidP="00135431">
      <w:pPr>
        <w:pStyle w:val="Odstavecseseznamem"/>
        <w:numPr>
          <w:ilvl w:val="0"/>
          <w:numId w:val="18"/>
        </w:numPr>
        <w:ind w:left="426" w:hanging="426"/>
        <w:jc w:val="both"/>
        <w:rPr>
          <w:sz w:val="18"/>
          <w:szCs w:val="18"/>
        </w:rPr>
      </w:pPr>
      <w:r w:rsidRPr="00BF0272">
        <w:rPr>
          <w:sz w:val="18"/>
          <w:szCs w:val="18"/>
        </w:rPr>
        <w:t>Nabyvatel se zavazuje, že neposkytne poskytnutý software třetím osobám, s výjimkou případů, kdy mu k tomu dá poskytovatel předchozí písemný souhlas.</w:t>
      </w:r>
    </w:p>
    <w:p w14:paraId="1C1CFCF6" w14:textId="77777777" w:rsidR="00135431" w:rsidRPr="00BF0272" w:rsidRDefault="00135431" w:rsidP="00135431">
      <w:pPr>
        <w:pStyle w:val="Odstavecseseznamem"/>
        <w:numPr>
          <w:ilvl w:val="0"/>
          <w:numId w:val="18"/>
        </w:numPr>
        <w:ind w:left="426" w:hanging="426"/>
        <w:jc w:val="both"/>
        <w:rPr>
          <w:sz w:val="18"/>
          <w:szCs w:val="18"/>
        </w:rPr>
      </w:pPr>
      <w:r w:rsidRPr="00BF0272">
        <w:rPr>
          <w:sz w:val="18"/>
          <w:szCs w:val="18"/>
        </w:rPr>
        <w:t>Nabyvatel se dále zavazuje, že nebude:</w:t>
      </w:r>
    </w:p>
    <w:p w14:paraId="1C1CFCF7" w14:textId="77777777" w:rsidR="00135431" w:rsidRPr="00BF0272" w:rsidRDefault="00135431" w:rsidP="00135431">
      <w:pPr>
        <w:pStyle w:val="Odstavecseseznamem"/>
        <w:numPr>
          <w:ilvl w:val="0"/>
          <w:numId w:val="19"/>
        </w:numPr>
        <w:ind w:left="993" w:hanging="567"/>
        <w:jc w:val="both"/>
        <w:rPr>
          <w:sz w:val="18"/>
          <w:szCs w:val="18"/>
        </w:rPr>
      </w:pPr>
      <w:r w:rsidRPr="00BF0272">
        <w:rPr>
          <w:sz w:val="18"/>
          <w:szCs w:val="18"/>
        </w:rPr>
        <w:t>používat poskytnutý software nebo jeho část pro vývoj a distribuci vlastního softwaru (s výjimkou programů, ke kterým poskytovatel uděluje všeobecné dispoziční právo - jsou označeny v programové dokumentaci poznámkou “všeobecné dispoziční právo“),</w:t>
      </w:r>
    </w:p>
    <w:p w14:paraId="1C1CFCF8" w14:textId="77777777" w:rsidR="00135431" w:rsidRPr="00BF0272" w:rsidRDefault="00135431" w:rsidP="00135431">
      <w:pPr>
        <w:pStyle w:val="Odstavecseseznamem"/>
        <w:numPr>
          <w:ilvl w:val="0"/>
          <w:numId w:val="19"/>
        </w:numPr>
        <w:ind w:left="993" w:hanging="567"/>
        <w:jc w:val="both"/>
        <w:rPr>
          <w:sz w:val="18"/>
          <w:szCs w:val="18"/>
        </w:rPr>
      </w:pPr>
      <w:r w:rsidRPr="00BF0272">
        <w:rPr>
          <w:sz w:val="18"/>
          <w:szCs w:val="18"/>
        </w:rPr>
        <w:t xml:space="preserve">modifikovat nebo zpětně překládat poskytnutý software (reverse engineering), odstraňovat nebo modifikovat čísla licence software, </w:t>
      </w:r>
    </w:p>
    <w:p w14:paraId="1C1CFCF9" w14:textId="25A25D06" w:rsidR="00135431" w:rsidRPr="00BF0272" w:rsidRDefault="00135431" w:rsidP="00135431">
      <w:pPr>
        <w:pStyle w:val="Odstavecseseznamem"/>
        <w:numPr>
          <w:ilvl w:val="0"/>
          <w:numId w:val="19"/>
        </w:numPr>
        <w:ind w:left="993" w:hanging="567"/>
        <w:jc w:val="both"/>
        <w:rPr>
          <w:sz w:val="18"/>
          <w:szCs w:val="18"/>
        </w:rPr>
      </w:pPr>
      <w:r w:rsidRPr="00BF0272">
        <w:rPr>
          <w:sz w:val="18"/>
          <w:szCs w:val="18"/>
        </w:rPr>
        <w:t>používat software poskyto</w:t>
      </w:r>
      <w:r w:rsidR="00D26872">
        <w:rPr>
          <w:sz w:val="18"/>
          <w:szCs w:val="18"/>
        </w:rPr>
        <w:t>vatele ve větším počtu, než je poskytnutý</w:t>
      </w:r>
      <w:r w:rsidRPr="00BF0272">
        <w:rPr>
          <w:sz w:val="18"/>
          <w:szCs w:val="18"/>
        </w:rPr>
        <w:t xml:space="preserve"> počet licencí,</w:t>
      </w:r>
    </w:p>
    <w:p w14:paraId="1C1CFCFA" w14:textId="77777777" w:rsidR="00135431" w:rsidRPr="00BF0272" w:rsidRDefault="00135431" w:rsidP="00135431">
      <w:pPr>
        <w:pStyle w:val="Odstavecseseznamem"/>
        <w:numPr>
          <w:ilvl w:val="0"/>
          <w:numId w:val="19"/>
        </w:numPr>
        <w:ind w:left="993" w:hanging="567"/>
        <w:jc w:val="both"/>
        <w:rPr>
          <w:sz w:val="18"/>
          <w:szCs w:val="18"/>
        </w:rPr>
      </w:pPr>
      <w:r w:rsidRPr="00BF0272">
        <w:rPr>
          <w:sz w:val="18"/>
          <w:szCs w:val="18"/>
        </w:rPr>
        <w:t>poskytovat počítačové zpracování s použitím dodaného softwaru více fyzickým nebo právnickým osobám než je zakoupený počet realizací (počet práv komerčního využití softwaru),</w:t>
      </w:r>
    </w:p>
    <w:p w14:paraId="1C1CFCFB" w14:textId="77777777" w:rsidR="00135431" w:rsidRPr="00BF0272" w:rsidRDefault="00135431" w:rsidP="00135431">
      <w:pPr>
        <w:pStyle w:val="Odstavecseseznamem"/>
        <w:numPr>
          <w:ilvl w:val="0"/>
          <w:numId w:val="19"/>
        </w:numPr>
        <w:ind w:left="993" w:hanging="567"/>
        <w:jc w:val="both"/>
        <w:rPr>
          <w:sz w:val="18"/>
          <w:szCs w:val="18"/>
        </w:rPr>
      </w:pPr>
      <w:r w:rsidRPr="00BF0272">
        <w:rPr>
          <w:sz w:val="18"/>
          <w:szCs w:val="18"/>
        </w:rPr>
        <w:t>v případě koupě na zkoušku používat po uplynutí zkušební doby software, který se rozhodl vrátit.</w:t>
      </w:r>
    </w:p>
    <w:p w14:paraId="1C1CFCFC" w14:textId="77777777" w:rsidR="00135431" w:rsidRPr="00507986" w:rsidRDefault="00135431" w:rsidP="00135431">
      <w:pPr>
        <w:ind w:left="993" w:hanging="567"/>
        <w:jc w:val="both"/>
        <w:rPr>
          <w:b/>
          <w:sz w:val="14"/>
          <w:szCs w:val="14"/>
        </w:rPr>
      </w:pPr>
    </w:p>
    <w:p w14:paraId="1C1CFCFD" w14:textId="77777777" w:rsidR="00135431" w:rsidRDefault="00135431" w:rsidP="00135431">
      <w:pPr>
        <w:ind w:left="426" w:hanging="426"/>
        <w:jc w:val="center"/>
        <w:rPr>
          <w:rFonts w:ascii="Cambria" w:hAnsi="Cambria"/>
          <w:b/>
          <w:sz w:val="18"/>
          <w:szCs w:val="18"/>
        </w:rPr>
      </w:pPr>
      <w:r>
        <w:rPr>
          <w:rFonts w:ascii="Cambria" w:hAnsi="Cambria"/>
          <w:b/>
          <w:sz w:val="18"/>
          <w:szCs w:val="18"/>
        </w:rPr>
        <w:t xml:space="preserve">VI. </w:t>
      </w:r>
    </w:p>
    <w:p w14:paraId="1C1CFCFE" w14:textId="77777777" w:rsidR="00135431" w:rsidRDefault="00135431" w:rsidP="00135431">
      <w:pPr>
        <w:ind w:left="426" w:hanging="426"/>
        <w:jc w:val="center"/>
        <w:rPr>
          <w:rFonts w:ascii="Cambria" w:hAnsi="Cambria"/>
          <w:b/>
          <w:sz w:val="18"/>
          <w:szCs w:val="18"/>
        </w:rPr>
      </w:pPr>
      <w:r>
        <w:rPr>
          <w:rFonts w:ascii="Cambria" w:hAnsi="Cambria"/>
          <w:b/>
          <w:sz w:val="18"/>
          <w:szCs w:val="18"/>
        </w:rPr>
        <w:t>Odpovědnost za vady</w:t>
      </w:r>
    </w:p>
    <w:p w14:paraId="1C1CFCFF" w14:textId="77777777" w:rsidR="00135431" w:rsidRPr="00BF0272" w:rsidRDefault="00135431" w:rsidP="00135431">
      <w:pPr>
        <w:pStyle w:val="Odstavecseseznamem"/>
        <w:numPr>
          <w:ilvl w:val="0"/>
          <w:numId w:val="20"/>
        </w:numPr>
        <w:ind w:left="426" w:hanging="426"/>
        <w:jc w:val="both"/>
        <w:rPr>
          <w:sz w:val="18"/>
          <w:szCs w:val="18"/>
        </w:rPr>
      </w:pPr>
      <w:r w:rsidRPr="00BF0272">
        <w:rPr>
          <w:sz w:val="18"/>
          <w:szCs w:val="18"/>
        </w:rPr>
        <w:t>Poskytovatel odpovídá za to, že software odpovídá svojí jakostí a provedením účelu, pro který se software používá. Za vadu softwaru se považují pouze vady programu, resp. vady na instalačním médiu a v dokumentaci. Za vadu se nepovažuje nepoužitelnost softwaru u nabyvatele v důsledku toho, že se software nehodí k jím zamýšlenému účelu. Za výběr software odpovídá plně nabyvatel.</w:t>
      </w:r>
    </w:p>
    <w:p w14:paraId="1C1CFD00" w14:textId="77777777" w:rsidR="00135431" w:rsidRPr="00BF0272" w:rsidRDefault="00135431" w:rsidP="00135431">
      <w:pPr>
        <w:pStyle w:val="Odstavecseseznamem"/>
        <w:numPr>
          <w:ilvl w:val="0"/>
          <w:numId w:val="20"/>
        </w:numPr>
        <w:ind w:left="426" w:hanging="426"/>
        <w:jc w:val="both"/>
        <w:rPr>
          <w:sz w:val="18"/>
          <w:szCs w:val="18"/>
        </w:rPr>
      </w:pPr>
      <w:r w:rsidRPr="00BF0272">
        <w:rPr>
          <w:sz w:val="18"/>
          <w:szCs w:val="18"/>
        </w:rPr>
        <w:t>Poskytovatel neodpovídá za vady, pokud bude software provozován jinak, než je uvedeno v Seznamu přenositelnosti (Port listu).</w:t>
      </w:r>
    </w:p>
    <w:p w14:paraId="1C1CFD01" w14:textId="77777777" w:rsidR="00135431" w:rsidRPr="00BF0272" w:rsidRDefault="00135431" w:rsidP="00135431">
      <w:pPr>
        <w:pStyle w:val="Odstavecseseznamem"/>
        <w:numPr>
          <w:ilvl w:val="0"/>
          <w:numId w:val="20"/>
        </w:numPr>
        <w:ind w:left="426" w:hanging="426"/>
        <w:jc w:val="both"/>
        <w:rPr>
          <w:sz w:val="18"/>
          <w:szCs w:val="18"/>
        </w:rPr>
      </w:pPr>
      <w:r w:rsidRPr="00BF0272">
        <w:rPr>
          <w:sz w:val="18"/>
          <w:szCs w:val="18"/>
        </w:rPr>
        <w:t>Poskytovatel dále neodpovídá za žádné poškození, ztrátu nebo zničení softwaru na počítači nabyvatele způsobené nesprávným užitím nebo nedbalostí nabyvatele.</w:t>
      </w:r>
    </w:p>
    <w:p w14:paraId="1C1CFD02" w14:textId="77777777" w:rsidR="00135431" w:rsidRPr="00BF0272" w:rsidRDefault="00135431" w:rsidP="00135431">
      <w:pPr>
        <w:pStyle w:val="Odstavecseseznamem"/>
        <w:numPr>
          <w:ilvl w:val="0"/>
          <w:numId w:val="20"/>
        </w:numPr>
        <w:ind w:left="426" w:hanging="426"/>
        <w:jc w:val="both"/>
        <w:rPr>
          <w:sz w:val="18"/>
          <w:szCs w:val="18"/>
        </w:rPr>
      </w:pPr>
      <w:r w:rsidRPr="00BF0272">
        <w:rPr>
          <w:sz w:val="18"/>
          <w:szCs w:val="18"/>
        </w:rPr>
        <w:t>Má-li poskytnutý software vady ve smyslu odst. 1, je nabyvatel oprávněn požadovat:</w:t>
      </w:r>
    </w:p>
    <w:p w14:paraId="1C1CFD03" w14:textId="77777777" w:rsidR="00135431" w:rsidRPr="00BF0272" w:rsidRDefault="00135431" w:rsidP="00135431">
      <w:pPr>
        <w:pStyle w:val="Odstavecseseznamem"/>
        <w:numPr>
          <w:ilvl w:val="0"/>
          <w:numId w:val="21"/>
        </w:numPr>
        <w:ind w:left="993" w:hanging="567"/>
        <w:jc w:val="both"/>
        <w:rPr>
          <w:sz w:val="18"/>
          <w:szCs w:val="18"/>
        </w:rPr>
      </w:pPr>
      <w:r w:rsidRPr="00BF0272">
        <w:rPr>
          <w:sz w:val="18"/>
          <w:szCs w:val="18"/>
        </w:rPr>
        <w:t>výměnu instalačního média, jedná-li se o jeho mechanickou závadu,</w:t>
      </w:r>
    </w:p>
    <w:p w14:paraId="1C1CFD04" w14:textId="77777777" w:rsidR="00135431" w:rsidRPr="00BF0272" w:rsidRDefault="00135431" w:rsidP="00135431">
      <w:pPr>
        <w:pStyle w:val="Odstavecseseznamem"/>
        <w:numPr>
          <w:ilvl w:val="0"/>
          <w:numId w:val="21"/>
        </w:numPr>
        <w:ind w:left="993" w:hanging="567"/>
        <w:jc w:val="both"/>
        <w:rPr>
          <w:sz w:val="18"/>
          <w:szCs w:val="18"/>
        </w:rPr>
      </w:pPr>
      <w:r w:rsidRPr="00BF0272">
        <w:rPr>
          <w:sz w:val="18"/>
          <w:szCs w:val="18"/>
        </w:rPr>
        <w:t xml:space="preserve">bezplatné odstranění vady, jedná-li se o jinou vadu. </w:t>
      </w:r>
    </w:p>
    <w:p w14:paraId="1C1CFD05" w14:textId="77777777" w:rsidR="00135431" w:rsidRPr="00BF0272" w:rsidRDefault="00135431" w:rsidP="00135431">
      <w:pPr>
        <w:pStyle w:val="Odstavecseseznamem"/>
        <w:numPr>
          <w:ilvl w:val="0"/>
          <w:numId w:val="20"/>
        </w:numPr>
        <w:ind w:hanging="720"/>
        <w:jc w:val="both"/>
        <w:rPr>
          <w:sz w:val="18"/>
          <w:szCs w:val="18"/>
        </w:rPr>
      </w:pPr>
      <w:r w:rsidRPr="00BF0272">
        <w:rPr>
          <w:sz w:val="18"/>
          <w:szCs w:val="18"/>
        </w:rPr>
        <w:t>Zjistí-li poskytovatel nebo mu bude oznámena vada softwaru takového charakteru, že:</w:t>
      </w:r>
    </w:p>
    <w:p w14:paraId="1C1CFD06" w14:textId="77777777" w:rsidR="00135431" w:rsidRPr="00BF0272" w:rsidRDefault="00135431" w:rsidP="00135431">
      <w:pPr>
        <w:pStyle w:val="Odstavecseseznamem"/>
        <w:numPr>
          <w:ilvl w:val="0"/>
          <w:numId w:val="22"/>
        </w:numPr>
        <w:ind w:left="993" w:hanging="567"/>
        <w:jc w:val="both"/>
        <w:rPr>
          <w:sz w:val="18"/>
          <w:szCs w:val="18"/>
        </w:rPr>
      </w:pPr>
      <w:r w:rsidRPr="00BF0272">
        <w:rPr>
          <w:sz w:val="18"/>
          <w:szCs w:val="18"/>
        </w:rPr>
        <w:t>může způsobit poškození nebo zničení dat, softwaru nebo hardwaru,</w:t>
      </w:r>
    </w:p>
    <w:p w14:paraId="1C1CFD07" w14:textId="77777777" w:rsidR="00135431" w:rsidRPr="00BF0272" w:rsidRDefault="00135431" w:rsidP="00135431">
      <w:pPr>
        <w:pStyle w:val="Odstavecseseznamem"/>
        <w:numPr>
          <w:ilvl w:val="0"/>
          <w:numId w:val="22"/>
        </w:numPr>
        <w:ind w:left="993" w:hanging="567"/>
        <w:jc w:val="both"/>
        <w:rPr>
          <w:sz w:val="18"/>
          <w:szCs w:val="18"/>
        </w:rPr>
      </w:pPr>
      <w:r w:rsidRPr="00BF0272">
        <w:rPr>
          <w:sz w:val="18"/>
          <w:szCs w:val="18"/>
        </w:rPr>
        <w:t>může chybnou interpretací dat uvést nabyvatele v omyl,</w:t>
      </w:r>
    </w:p>
    <w:p w14:paraId="1C1CFD08" w14:textId="77777777" w:rsidR="00135431" w:rsidRPr="00BF0272" w:rsidRDefault="00135431" w:rsidP="00135431">
      <w:pPr>
        <w:ind w:left="426"/>
        <w:jc w:val="both"/>
        <w:rPr>
          <w:sz w:val="18"/>
          <w:szCs w:val="18"/>
        </w:rPr>
      </w:pPr>
      <w:r w:rsidRPr="00BF0272">
        <w:rPr>
          <w:sz w:val="18"/>
          <w:szCs w:val="18"/>
        </w:rPr>
        <w:t xml:space="preserve">je povinen neprodleně s tím seznámit prokazatelným způsobem nabyvatele. Pokud tak neučiní, nese odpovědnost za škody, které nabyvateli v důsledku takové chyby vznikly. </w:t>
      </w:r>
    </w:p>
    <w:p w14:paraId="1C1CFD09" w14:textId="77777777" w:rsidR="00135431" w:rsidRPr="00507986" w:rsidRDefault="00135431" w:rsidP="00135431">
      <w:pPr>
        <w:jc w:val="both"/>
        <w:rPr>
          <w:rFonts w:ascii="Cambria" w:hAnsi="Cambria"/>
          <w:b/>
          <w:sz w:val="14"/>
          <w:szCs w:val="14"/>
        </w:rPr>
      </w:pPr>
    </w:p>
    <w:p w14:paraId="1C1CFD0A" w14:textId="77777777" w:rsidR="00135431" w:rsidRDefault="00135431" w:rsidP="00135431">
      <w:pPr>
        <w:ind w:left="426" w:hanging="426"/>
        <w:jc w:val="center"/>
        <w:rPr>
          <w:rFonts w:ascii="Cambria" w:hAnsi="Cambria"/>
          <w:b/>
          <w:sz w:val="18"/>
          <w:szCs w:val="18"/>
        </w:rPr>
      </w:pPr>
      <w:r>
        <w:rPr>
          <w:rFonts w:ascii="Cambria" w:hAnsi="Cambria"/>
          <w:b/>
          <w:sz w:val="18"/>
          <w:szCs w:val="18"/>
        </w:rPr>
        <w:t>VII.</w:t>
      </w:r>
    </w:p>
    <w:p w14:paraId="1C1CFD0B" w14:textId="77777777" w:rsidR="00135431" w:rsidRDefault="00135431" w:rsidP="00135431">
      <w:pPr>
        <w:ind w:left="426" w:hanging="426"/>
        <w:jc w:val="center"/>
        <w:rPr>
          <w:rFonts w:ascii="Cambria" w:hAnsi="Cambria"/>
          <w:b/>
          <w:sz w:val="18"/>
          <w:szCs w:val="18"/>
        </w:rPr>
      </w:pPr>
      <w:r>
        <w:rPr>
          <w:rFonts w:ascii="Cambria" w:hAnsi="Cambria"/>
          <w:b/>
          <w:sz w:val="18"/>
          <w:szCs w:val="18"/>
        </w:rPr>
        <w:t>Smluvní pokuta</w:t>
      </w:r>
    </w:p>
    <w:p w14:paraId="1C1CFD0C" w14:textId="77777777" w:rsidR="00135431" w:rsidRPr="00BF0272" w:rsidRDefault="00135431" w:rsidP="00135431">
      <w:pPr>
        <w:pStyle w:val="Odstavecseseznamem"/>
        <w:numPr>
          <w:ilvl w:val="0"/>
          <w:numId w:val="23"/>
        </w:numPr>
        <w:ind w:left="426" w:hanging="426"/>
        <w:jc w:val="both"/>
        <w:rPr>
          <w:sz w:val="18"/>
          <w:szCs w:val="18"/>
        </w:rPr>
      </w:pPr>
      <w:r w:rsidRPr="00BF0272">
        <w:rPr>
          <w:sz w:val="18"/>
          <w:szCs w:val="18"/>
        </w:rPr>
        <w:t>Poskytovatel je oprávněn požadovat na nabyvateli, pokud poruší závazky dle těchto VDP, zaplacení pokuty, a to:</w:t>
      </w:r>
    </w:p>
    <w:p w14:paraId="1C1CFD0D" w14:textId="77777777" w:rsidR="00135431" w:rsidRPr="00BF0272" w:rsidRDefault="00135431" w:rsidP="00135431">
      <w:pPr>
        <w:pStyle w:val="Odstavecseseznamem"/>
        <w:numPr>
          <w:ilvl w:val="0"/>
          <w:numId w:val="24"/>
        </w:numPr>
        <w:ind w:left="993" w:hanging="567"/>
        <w:jc w:val="both"/>
        <w:rPr>
          <w:sz w:val="18"/>
          <w:szCs w:val="18"/>
        </w:rPr>
      </w:pPr>
      <w:r w:rsidRPr="00BF0272">
        <w:rPr>
          <w:sz w:val="18"/>
          <w:szCs w:val="18"/>
        </w:rPr>
        <w:t>ve výši jednonásobku ceny poskytnutého software při porušení závazku dle čl. V, odst. 2,</w:t>
      </w:r>
    </w:p>
    <w:p w14:paraId="1C1CFD0E" w14:textId="77777777" w:rsidR="00135431" w:rsidRPr="00BF0272" w:rsidRDefault="00135431" w:rsidP="00135431">
      <w:pPr>
        <w:pStyle w:val="Odstavecseseznamem"/>
        <w:numPr>
          <w:ilvl w:val="0"/>
          <w:numId w:val="24"/>
        </w:numPr>
        <w:ind w:left="993" w:hanging="567"/>
        <w:jc w:val="both"/>
        <w:rPr>
          <w:sz w:val="18"/>
          <w:szCs w:val="18"/>
        </w:rPr>
      </w:pPr>
      <w:r w:rsidRPr="00BF0272">
        <w:rPr>
          <w:sz w:val="18"/>
          <w:szCs w:val="18"/>
        </w:rPr>
        <w:t>ve výši dvojnásobku ceny poskytnutého software při porušení závazku dle čl. V, odst. 3.</w:t>
      </w:r>
    </w:p>
    <w:p w14:paraId="1C1CFD0F" w14:textId="77777777" w:rsidR="00135431" w:rsidRPr="00BF0272" w:rsidRDefault="00135431" w:rsidP="00135431">
      <w:pPr>
        <w:pStyle w:val="Odstavecseseznamem"/>
        <w:numPr>
          <w:ilvl w:val="0"/>
          <w:numId w:val="23"/>
        </w:numPr>
        <w:ind w:left="426" w:hanging="426"/>
        <w:jc w:val="both"/>
        <w:rPr>
          <w:sz w:val="18"/>
          <w:szCs w:val="18"/>
        </w:rPr>
      </w:pPr>
      <w:r w:rsidRPr="00BF0272">
        <w:rPr>
          <w:sz w:val="18"/>
          <w:szCs w:val="18"/>
        </w:rPr>
        <w:t>Zaplacení pokuty nezbavuje nabyvatele povinnosti uhradit poskytovateli případnou škodu.</w:t>
      </w:r>
    </w:p>
    <w:p w14:paraId="1C1CFD10" w14:textId="030E6F49" w:rsidR="00135431" w:rsidRPr="00BF0272" w:rsidRDefault="00135431" w:rsidP="00135431">
      <w:pPr>
        <w:pStyle w:val="Odstavecseseznamem"/>
        <w:numPr>
          <w:ilvl w:val="0"/>
          <w:numId w:val="23"/>
        </w:numPr>
        <w:ind w:left="426" w:hanging="426"/>
        <w:jc w:val="both"/>
        <w:rPr>
          <w:sz w:val="18"/>
          <w:szCs w:val="18"/>
        </w:rPr>
      </w:pPr>
      <w:r w:rsidRPr="00BF0272">
        <w:rPr>
          <w:sz w:val="18"/>
          <w:szCs w:val="18"/>
        </w:rPr>
        <w:t xml:space="preserve">Pokud poskytovatel zjistí porušení závazků uvedených v čl. V, odst. </w:t>
      </w:r>
      <w:r w:rsidR="007F7B54">
        <w:rPr>
          <w:sz w:val="18"/>
          <w:szCs w:val="18"/>
        </w:rPr>
        <w:t>2</w:t>
      </w:r>
      <w:r w:rsidRPr="00BF0272">
        <w:rPr>
          <w:sz w:val="18"/>
          <w:szCs w:val="18"/>
        </w:rPr>
        <w:t xml:space="preserve"> a </w:t>
      </w:r>
      <w:r w:rsidR="007F7B54">
        <w:rPr>
          <w:sz w:val="18"/>
          <w:szCs w:val="18"/>
        </w:rPr>
        <w:t>3</w:t>
      </w:r>
      <w:r w:rsidRPr="00BF0272">
        <w:rPr>
          <w:sz w:val="18"/>
          <w:szCs w:val="18"/>
        </w:rPr>
        <w:t>, může kromě vyúčtování pokuty odstoupit od této smlouvy. Poskytovatel však může toto své právo uplatnit nejpozději do dvou měsíců ode dne, kdy porušení závazku zjistil.</w:t>
      </w:r>
    </w:p>
    <w:p w14:paraId="1C1CFD11" w14:textId="77777777" w:rsidR="00135431" w:rsidRPr="00507986" w:rsidRDefault="00135431" w:rsidP="00135431">
      <w:pPr>
        <w:ind w:left="426" w:hanging="426"/>
        <w:jc w:val="center"/>
        <w:rPr>
          <w:rFonts w:ascii="Cambria" w:hAnsi="Cambria"/>
          <w:b/>
          <w:sz w:val="14"/>
          <w:szCs w:val="14"/>
        </w:rPr>
      </w:pPr>
    </w:p>
    <w:p w14:paraId="1C1CFD14" w14:textId="77777777" w:rsidR="00135431" w:rsidRDefault="00135431" w:rsidP="00135431">
      <w:pPr>
        <w:ind w:left="426" w:hanging="426"/>
        <w:jc w:val="center"/>
        <w:rPr>
          <w:rFonts w:ascii="Cambria" w:hAnsi="Cambria"/>
          <w:b/>
          <w:sz w:val="18"/>
          <w:szCs w:val="18"/>
        </w:rPr>
      </w:pPr>
      <w:r>
        <w:rPr>
          <w:rFonts w:ascii="Cambria" w:hAnsi="Cambria"/>
          <w:b/>
          <w:sz w:val="18"/>
          <w:szCs w:val="18"/>
        </w:rPr>
        <w:t>VIII.</w:t>
      </w:r>
    </w:p>
    <w:p w14:paraId="1C1CFD15" w14:textId="77777777" w:rsidR="00135431" w:rsidRDefault="00135431" w:rsidP="00135431">
      <w:pPr>
        <w:ind w:left="426" w:hanging="426"/>
        <w:jc w:val="center"/>
        <w:rPr>
          <w:rFonts w:ascii="Cambria" w:hAnsi="Cambria"/>
          <w:b/>
          <w:sz w:val="18"/>
          <w:szCs w:val="18"/>
        </w:rPr>
      </w:pPr>
      <w:r>
        <w:rPr>
          <w:rFonts w:ascii="Cambria" w:hAnsi="Cambria"/>
          <w:b/>
          <w:sz w:val="18"/>
          <w:szCs w:val="18"/>
        </w:rPr>
        <w:t xml:space="preserve">Závěrečná ujednání </w:t>
      </w:r>
    </w:p>
    <w:p w14:paraId="1C1CFD16" w14:textId="77777777" w:rsidR="00135431" w:rsidRPr="00BF0272" w:rsidRDefault="00135431" w:rsidP="00135431">
      <w:pPr>
        <w:pStyle w:val="Odstavecseseznamem"/>
        <w:numPr>
          <w:ilvl w:val="0"/>
          <w:numId w:val="25"/>
        </w:numPr>
        <w:ind w:left="426" w:hanging="426"/>
        <w:jc w:val="both"/>
        <w:rPr>
          <w:sz w:val="18"/>
          <w:szCs w:val="18"/>
        </w:rPr>
      </w:pPr>
      <w:r w:rsidRPr="00BF0272">
        <w:rPr>
          <w:sz w:val="18"/>
          <w:szCs w:val="18"/>
        </w:rPr>
        <w:t xml:space="preserve">Podpisem smlouvy současně nabyvatel dává souhlas k tomu, aby mu firma ORTEX spol. s r.o. se sídlem v Hradci Králové, Resslova 935/3, PSČ: 500 02, IČ: 00529745, e-mail: ortex@ortex.cz (dále jen „firma“) zasílala obchodní sdělení ve smyslu § 2 písm. f) zákona č. 480/2004 Sb., o některých službách informační společnosti, určená k přímé či nepřímé podpoře zboží, služeb nebo image firmy. </w:t>
      </w:r>
    </w:p>
    <w:p w14:paraId="1C1CFD17" w14:textId="77777777" w:rsidR="00135431" w:rsidRPr="00BF0272" w:rsidRDefault="00135431" w:rsidP="00135431">
      <w:pPr>
        <w:pStyle w:val="Zkladntextodsazen"/>
        <w:tabs>
          <w:tab w:val="num" w:pos="426"/>
        </w:tabs>
        <w:ind w:left="426" w:firstLine="0"/>
        <w:jc w:val="both"/>
        <w:rPr>
          <w:sz w:val="18"/>
          <w:szCs w:val="18"/>
        </w:rPr>
      </w:pPr>
      <w:r w:rsidRPr="00BF0272">
        <w:rPr>
          <w:sz w:val="18"/>
          <w:szCs w:val="18"/>
        </w:rPr>
        <w:t>Nabyvatel dále prohlašuje, že má jasnou a zřetelnou možnost jednoduchým způsobem, zdarma nebo na účet firmy odmítnout souhlas s takovýmto využitím svého elektronického kontaktu i při zasílání každé jednotlivé zprávy (obchodní nabídky).</w:t>
      </w:r>
    </w:p>
    <w:p w14:paraId="1C1CFD18" w14:textId="77777777" w:rsidR="00135431" w:rsidRPr="00BF0272" w:rsidRDefault="00135431" w:rsidP="00135431">
      <w:pPr>
        <w:tabs>
          <w:tab w:val="num" w:pos="426"/>
        </w:tabs>
        <w:ind w:left="426"/>
        <w:jc w:val="both"/>
        <w:rPr>
          <w:sz w:val="18"/>
          <w:szCs w:val="18"/>
        </w:rPr>
      </w:pPr>
      <w:r w:rsidRPr="00BF0272">
        <w:rPr>
          <w:sz w:val="18"/>
          <w:szCs w:val="18"/>
        </w:rPr>
        <w:t>Nabyvatel bere na vědomí, že:</w:t>
      </w:r>
    </w:p>
    <w:p w14:paraId="1C1CFD19" w14:textId="77777777" w:rsidR="00135431" w:rsidRPr="00BF0272" w:rsidRDefault="00135431" w:rsidP="00135431">
      <w:pPr>
        <w:pStyle w:val="Odstavecseseznamem"/>
        <w:numPr>
          <w:ilvl w:val="0"/>
          <w:numId w:val="26"/>
        </w:numPr>
        <w:ind w:left="993" w:hanging="567"/>
        <w:jc w:val="both"/>
        <w:rPr>
          <w:sz w:val="18"/>
          <w:szCs w:val="18"/>
        </w:rPr>
      </w:pPr>
      <w:r w:rsidRPr="00BF0272">
        <w:rPr>
          <w:sz w:val="18"/>
          <w:szCs w:val="18"/>
        </w:rPr>
        <w:t>každé obchodní sdělení firmy bude výslovně označeno jako obchodní sdělení,</w:t>
      </w:r>
    </w:p>
    <w:p w14:paraId="1C1CFD1A" w14:textId="77777777" w:rsidR="00135431" w:rsidRPr="00BF0272" w:rsidRDefault="00135431" w:rsidP="00135431">
      <w:pPr>
        <w:pStyle w:val="Odstavecseseznamem"/>
        <w:numPr>
          <w:ilvl w:val="0"/>
          <w:numId w:val="26"/>
        </w:numPr>
        <w:ind w:left="993" w:hanging="567"/>
        <w:jc w:val="both"/>
        <w:rPr>
          <w:sz w:val="18"/>
          <w:szCs w:val="18"/>
        </w:rPr>
      </w:pPr>
      <w:r w:rsidRPr="00BF0272">
        <w:rPr>
          <w:sz w:val="18"/>
          <w:szCs w:val="18"/>
        </w:rPr>
        <w:t>že firma nebude skrývat nebo utajovat svoji totožnost,</w:t>
      </w:r>
    </w:p>
    <w:p w14:paraId="1C1CFD1B" w14:textId="77777777" w:rsidR="00135431" w:rsidRPr="00BF0272" w:rsidRDefault="00135431" w:rsidP="00135431">
      <w:pPr>
        <w:pStyle w:val="Odstavecseseznamem"/>
        <w:numPr>
          <w:ilvl w:val="0"/>
          <w:numId w:val="26"/>
        </w:numPr>
        <w:ind w:left="993" w:hanging="567"/>
        <w:jc w:val="both"/>
        <w:rPr>
          <w:sz w:val="18"/>
          <w:szCs w:val="18"/>
        </w:rPr>
      </w:pPr>
      <w:r w:rsidRPr="00BF0272">
        <w:rPr>
          <w:sz w:val="18"/>
          <w:szCs w:val="18"/>
        </w:rPr>
        <w:t>že obchodní sdělení nebude zasílat bez platné adresy, na kterou by mohl nabyvatel přímo a účinně zaslat informaci o tom, že si nepřeje, aby mu byly obchodní informace firmou nadále zasílány.</w:t>
      </w:r>
    </w:p>
    <w:p w14:paraId="1C1CFD1C" w14:textId="77777777" w:rsidR="00135431" w:rsidRPr="00BF0272" w:rsidRDefault="00135431" w:rsidP="00135431">
      <w:pPr>
        <w:pStyle w:val="Odstavecseseznamem"/>
        <w:numPr>
          <w:ilvl w:val="0"/>
          <w:numId w:val="25"/>
        </w:numPr>
        <w:ind w:left="426" w:hanging="426"/>
        <w:jc w:val="both"/>
        <w:rPr>
          <w:sz w:val="18"/>
          <w:szCs w:val="18"/>
        </w:rPr>
      </w:pPr>
      <w:r w:rsidRPr="00BF0272">
        <w:rPr>
          <w:sz w:val="18"/>
          <w:szCs w:val="18"/>
        </w:rPr>
        <w:t>Nabyvatel si je vědom toho, že poskytnutý software je chráněn jako autorské dílo ve smyslu zákona č. 121/2000 Sb., autorského zákona.</w:t>
      </w:r>
    </w:p>
    <w:p w14:paraId="5305FD7F" w14:textId="7AFD5497" w:rsidR="00F4770E" w:rsidRDefault="00135431" w:rsidP="00B66318">
      <w:pPr>
        <w:spacing w:before="120"/>
        <w:ind w:left="425" w:hanging="425"/>
        <w:rPr>
          <w:sz w:val="18"/>
          <w:szCs w:val="18"/>
        </w:rPr>
      </w:pPr>
      <w:r w:rsidRPr="00BF0272">
        <w:rPr>
          <w:sz w:val="18"/>
          <w:szCs w:val="18"/>
        </w:rPr>
        <w:t>V Hradci Králové 1. ledna 20</w:t>
      </w:r>
      <w:r w:rsidR="008A005E">
        <w:rPr>
          <w:sz w:val="18"/>
          <w:szCs w:val="18"/>
        </w:rPr>
        <w:t>14</w:t>
      </w:r>
    </w:p>
    <w:sectPr w:rsidR="00F4770E" w:rsidSect="008A005E">
      <w:pgSz w:w="11906" w:h="16838"/>
      <w:pgMar w:top="720" w:right="720" w:bottom="720" w:left="720"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0608F" w14:textId="77777777" w:rsidR="00C579EA" w:rsidRDefault="00C579EA" w:rsidP="000761B3">
      <w:r>
        <w:separator/>
      </w:r>
    </w:p>
  </w:endnote>
  <w:endnote w:type="continuationSeparator" w:id="0">
    <w:p w14:paraId="6AEFE6F8" w14:textId="77777777" w:rsidR="00C579EA" w:rsidRDefault="00C579EA" w:rsidP="0007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CFD84" w14:textId="77777777" w:rsidR="003D7CEC" w:rsidRPr="00B00395" w:rsidRDefault="003D7CEC" w:rsidP="00BF0272">
    <w:pPr>
      <w:pStyle w:val="Zhlav"/>
      <w:tabs>
        <w:tab w:val="clear" w:pos="9072"/>
        <w:tab w:val="right" w:pos="10206"/>
      </w:tabs>
      <w:rPr>
        <w:u w:val="single"/>
      </w:rPr>
    </w:pPr>
    <w:r w:rsidRPr="00B00395">
      <w:rPr>
        <w:u w:val="single"/>
      </w:rPr>
      <w:tab/>
    </w:r>
    <w:r w:rsidRPr="00B00395">
      <w:rPr>
        <w:u w:val="single"/>
      </w:rPr>
      <w:tab/>
    </w:r>
  </w:p>
  <w:p w14:paraId="1C1CFD85" w14:textId="5FA61FD3" w:rsidR="003D7CEC" w:rsidRPr="00B00395" w:rsidRDefault="003D7CEC" w:rsidP="00BF0272">
    <w:pPr>
      <w:pStyle w:val="Zpat"/>
      <w:jc w:val="center"/>
      <w:rPr>
        <w:rFonts w:ascii="Times New Roman" w:hAnsi="Times New Roman"/>
        <w:sz w:val="20"/>
      </w:rPr>
    </w:pPr>
    <w:r w:rsidRPr="00B00395">
      <w:rPr>
        <w:rFonts w:ascii="Times New Roman" w:hAnsi="Times New Roman"/>
        <w:b/>
        <w:bCs/>
        <w:sz w:val="20"/>
      </w:rPr>
      <w:fldChar w:fldCharType="begin"/>
    </w:r>
    <w:r w:rsidRPr="00B00395">
      <w:rPr>
        <w:rFonts w:ascii="Times New Roman" w:hAnsi="Times New Roman"/>
        <w:b/>
        <w:bCs/>
        <w:sz w:val="20"/>
      </w:rPr>
      <w:instrText>PAGE</w:instrText>
    </w:r>
    <w:r w:rsidRPr="00B00395">
      <w:rPr>
        <w:rFonts w:ascii="Times New Roman" w:hAnsi="Times New Roman"/>
        <w:b/>
        <w:bCs/>
        <w:sz w:val="20"/>
      </w:rPr>
      <w:fldChar w:fldCharType="separate"/>
    </w:r>
    <w:r w:rsidR="00212009">
      <w:rPr>
        <w:rFonts w:ascii="Times New Roman" w:hAnsi="Times New Roman"/>
        <w:b/>
        <w:bCs/>
        <w:noProof/>
        <w:sz w:val="20"/>
      </w:rPr>
      <w:t>10</w:t>
    </w:r>
    <w:r w:rsidRPr="00B00395">
      <w:rPr>
        <w:rFonts w:ascii="Times New Roman" w:hAnsi="Times New Roman"/>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040784"/>
      <w:docPartObj>
        <w:docPartGallery w:val="Page Numbers (Bottom of Page)"/>
        <w:docPartUnique/>
      </w:docPartObj>
    </w:sdtPr>
    <w:sdtEndPr/>
    <w:sdtContent>
      <w:p w14:paraId="56A1E720" w14:textId="77777777" w:rsidR="003D7CEC" w:rsidRPr="00B00395" w:rsidRDefault="003D7CEC" w:rsidP="00CB5075">
        <w:pPr>
          <w:pStyle w:val="Zhlav"/>
          <w:tabs>
            <w:tab w:val="clear" w:pos="9072"/>
            <w:tab w:val="right" w:pos="10206"/>
          </w:tabs>
          <w:rPr>
            <w:u w:val="single"/>
          </w:rPr>
        </w:pPr>
        <w:r w:rsidRPr="00B00395">
          <w:rPr>
            <w:u w:val="single"/>
          </w:rPr>
          <w:tab/>
        </w:r>
        <w:r w:rsidRPr="00B00395">
          <w:rPr>
            <w:u w:val="single"/>
          </w:rPr>
          <w:tab/>
        </w:r>
      </w:p>
      <w:p w14:paraId="23F2EBF1" w14:textId="3E19DE88" w:rsidR="003D7CEC" w:rsidRDefault="003D7CEC">
        <w:pPr>
          <w:pStyle w:val="Zpat"/>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2163F" w14:textId="77777777" w:rsidR="00C579EA" w:rsidRDefault="00C579EA" w:rsidP="000761B3">
      <w:r>
        <w:separator/>
      </w:r>
    </w:p>
  </w:footnote>
  <w:footnote w:type="continuationSeparator" w:id="0">
    <w:p w14:paraId="24D3134C" w14:textId="77777777" w:rsidR="00C579EA" w:rsidRDefault="00C579EA" w:rsidP="00076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02E7"/>
    <w:multiLevelType w:val="hybridMultilevel"/>
    <w:tmpl w:val="DA544D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4F73E1"/>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C77DF7"/>
    <w:multiLevelType w:val="multilevel"/>
    <w:tmpl w:val="686A223A"/>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344" w:hanging="72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3" w15:restartNumberingAfterBreak="0">
    <w:nsid w:val="07FA3EFE"/>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EA80177"/>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2EA43ED"/>
    <w:multiLevelType w:val="hybridMultilevel"/>
    <w:tmpl w:val="4F6C7646"/>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6" w15:restartNumberingAfterBreak="0">
    <w:nsid w:val="13920EC7"/>
    <w:multiLevelType w:val="hybridMultilevel"/>
    <w:tmpl w:val="3DC28BD8"/>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7" w15:restartNumberingAfterBreak="0">
    <w:nsid w:val="280747FA"/>
    <w:multiLevelType w:val="hybridMultilevel"/>
    <w:tmpl w:val="57EEC6C2"/>
    <w:lvl w:ilvl="0" w:tplc="42BC8516">
      <w:start w:val="1"/>
      <w:numFmt w:val="decimal"/>
      <w:lvlText w:val="%1."/>
      <w:lvlJc w:val="left"/>
      <w:pPr>
        <w:ind w:left="780" w:hanging="4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26049A"/>
    <w:multiLevelType w:val="hybridMultilevel"/>
    <w:tmpl w:val="92FA0972"/>
    <w:lvl w:ilvl="0" w:tplc="9BDCC74C">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4B26FA"/>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1136A64"/>
    <w:multiLevelType w:val="multilevel"/>
    <w:tmpl w:val="3124B060"/>
    <w:lvl w:ilvl="0">
      <w:start w:val="1"/>
      <w:numFmt w:val="decimal"/>
      <w:lvlText w:val="%1."/>
      <w:lvlJc w:val="left"/>
      <w:pPr>
        <w:tabs>
          <w:tab w:val="num" w:pos="360"/>
        </w:tabs>
        <w:ind w:left="340" w:hanging="340"/>
      </w:pPr>
      <w:rPr>
        <w:rFonts w:hint="default"/>
        <w:b w:val="0"/>
        <w:i w:val="0"/>
        <w:sz w:val="24"/>
      </w:rPr>
    </w:lvl>
    <w:lvl w:ilvl="1">
      <w:start w:val="1"/>
      <w:numFmt w:val="decimal"/>
      <w:lvlText w:val="%1.%2."/>
      <w:lvlJc w:val="left"/>
      <w:pPr>
        <w:tabs>
          <w:tab w:val="num" w:pos="720"/>
        </w:tabs>
        <w:ind w:left="340" w:hanging="340"/>
      </w:pPr>
      <w:rPr>
        <w:rFonts w:ascii="Univers" w:hAnsi="Univers" w:hint="default"/>
        <w:b/>
        <w:i w:val="0"/>
        <w:sz w:val="24"/>
      </w:rPr>
    </w:lvl>
    <w:lvl w:ilvl="2">
      <w:start w:val="1"/>
      <w:numFmt w:val="decimal"/>
      <w:lvlText w:val="%1.%2.%3."/>
      <w:lvlJc w:val="left"/>
      <w:pPr>
        <w:tabs>
          <w:tab w:val="num" w:pos="720"/>
        </w:tabs>
        <w:ind w:left="340" w:hanging="340"/>
      </w:pPr>
      <w:rPr>
        <w:rFonts w:hint="default"/>
        <w:b/>
        <w:i w:val="0"/>
        <w:sz w:val="24"/>
      </w:rPr>
    </w:lvl>
    <w:lvl w:ilvl="3">
      <w:start w:val="1"/>
      <w:numFmt w:val="decimal"/>
      <w:lvlText w:val="%1.%2.%3.%4"/>
      <w:lvlJc w:val="left"/>
      <w:pPr>
        <w:tabs>
          <w:tab w:val="num" w:pos="1440"/>
        </w:tabs>
        <w:ind w:left="1077" w:hanging="1077"/>
      </w:pPr>
      <w:rPr>
        <w:rFonts w:hint="default"/>
      </w:rPr>
    </w:lvl>
    <w:lvl w:ilvl="4">
      <w:start w:val="1"/>
      <w:numFmt w:val="decimal"/>
      <w:lvlText w:val="%1.%2.%3.%4.%5"/>
      <w:lvlJc w:val="left"/>
      <w:pPr>
        <w:tabs>
          <w:tab w:val="num" w:pos="1440"/>
        </w:tabs>
        <w:ind w:left="1247" w:hanging="1247"/>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2160"/>
        </w:tabs>
        <w:ind w:left="1588" w:hanging="1588"/>
      </w:pPr>
      <w:rPr>
        <w:rFonts w:hint="default"/>
      </w:rPr>
    </w:lvl>
    <w:lvl w:ilvl="7">
      <w:start w:val="1"/>
      <w:numFmt w:val="decimal"/>
      <w:lvlText w:val="%1.%2.%3.%4.%5.%6.%7.%8"/>
      <w:lvlJc w:val="left"/>
      <w:pPr>
        <w:tabs>
          <w:tab w:val="num" w:pos="2520"/>
        </w:tabs>
        <w:ind w:left="1758" w:hanging="1758"/>
      </w:pPr>
      <w:rPr>
        <w:rFonts w:hint="default"/>
      </w:rPr>
    </w:lvl>
    <w:lvl w:ilvl="8">
      <w:start w:val="1"/>
      <w:numFmt w:val="decimal"/>
      <w:lvlText w:val="%1.%2.%3.%4.%5.%6.%7.%8.%9"/>
      <w:lvlJc w:val="left"/>
      <w:pPr>
        <w:tabs>
          <w:tab w:val="num" w:pos="2880"/>
        </w:tabs>
        <w:ind w:left="1928" w:hanging="1928"/>
      </w:pPr>
      <w:rPr>
        <w:rFonts w:hint="default"/>
      </w:rPr>
    </w:lvl>
  </w:abstractNum>
  <w:abstractNum w:abstractNumId="11" w15:restartNumberingAfterBreak="0">
    <w:nsid w:val="31315080"/>
    <w:multiLevelType w:val="hybridMultilevel"/>
    <w:tmpl w:val="E0AA9DC0"/>
    <w:lvl w:ilvl="0" w:tplc="9F2C0518">
      <w:start w:val="6"/>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2" w15:restartNumberingAfterBreak="0">
    <w:nsid w:val="385B47EE"/>
    <w:multiLevelType w:val="hybridMultilevel"/>
    <w:tmpl w:val="237CC11C"/>
    <w:lvl w:ilvl="0" w:tplc="42BC8516">
      <w:start w:val="1"/>
      <w:numFmt w:val="decimal"/>
      <w:lvlText w:val="%1."/>
      <w:lvlJc w:val="left"/>
      <w:pPr>
        <w:ind w:left="780" w:hanging="4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88572AC"/>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9442256"/>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28E0370"/>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6A5592A"/>
    <w:multiLevelType w:val="hybridMultilevel"/>
    <w:tmpl w:val="CE88B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BE666E"/>
    <w:multiLevelType w:val="hybridMultilevel"/>
    <w:tmpl w:val="D318D0E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74426D2"/>
    <w:multiLevelType w:val="hybridMultilevel"/>
    <w:tmpl w:val="04F470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D055F49"/>
    <w:multiLevelType w:val="multilevel"/>
    <w:tmpl w:val="686A223A"/>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344" w:hanging="72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0" w15:restartNumberingAfterBreak="0">
    <w:nsid w:val="5F7718BC"/>
    <w:multiLevelType w:val="multilevel"/>
    <w:tmpl w:val="3124B060"/>
    <w:lvl w:ilvl="0">
      <w:start w:val="1"/>
      <w:numFmt w:val="decimal"/>
      <w:lvlText w:val="%1."/>
      <w:lvlJc w:val="left"/>
      <w:pPr>
        <w:tabs>
          <w:tab w:val="num" w:pos="360"/>
        </w:tabs>
        <w:ind w:left="340" w:hanging="340"/>
      </w:pPr>
      <w:rPr>
        <w:rFonts w:hint="default"/>
        <w:b w:val="0"/>
        <w:i w:val="0"/>
        <w:sz w:val="24"/>
      </w:rPr>
    </w:lvl>
    <w:lvl w:ilvl="1">
      <w:start w:val="1"/>
      <w:numFmt w:val="decimal"/>
      <w:lvlText w:val="%1.%2."/>
      <w:lvlJc w:val="left"/>
      <w:pPr>
        <w:tabs>
          <w:tab w:val="num" w:pos="720"/>
        </w:tabs>
        <w:ind w:left="340" w:hanging="340"/>
      </w:pPr>
      <w:rPr>
        <w:rFonts w:ascii="Univers" w:hAnsi="Univers" w:hint="default"/>
        <w:b/>
        <w:i w:val="0"/>
        <w:sz w:val="24"/>
      </w:rPr>
    </w:lvl>
    <w:lvl w:ilvl="2">
      <w:start w:val="1"/>
      <w:numFmt w:val="decimal"/>
      <w:lvlText w:val="%1.%2.%3."/>
      <w:lvlJc w:val="left"/>
      <w:pPr>
        <w:tabs>
          <w:tab w:val="num" w:pos="720"/>
        </w:tabs>
        <w:ind w:left="340" w:hanging="340"/>
      </w:pPr>
      <w:rPr>
        <w:rFonts w:hint="default"/>
        <w:b/>
        <w:i w:val="0"/>
        <w:sz w:val="24"/>
      </w:rPr>
    </w:lvl>
    <w:lvl w:ilvl="3">
      <w:start w:val="1"/>
      <w:numFmt w:val="decimal"/>
      <w:lvlText w:val="%1.%2.%3.%4"/>
      <w:lvlJc w:val="left"/>
      <w:pPr>
        <w:tabs>
          <w:tab w:val="num" w:pos="1440"/>
        </w:tabs>
        <w:ind w:left="1077" w:hanging="1077"/>
      </w:pPr>
      <w:rPr>
        <w:rFonts w:hint="default"/>
      </w:rPr>
    </w:lvl>
    <w:lvl w:ilvl="4">
      <w:start w:val="1"/>
      <w:numFmt w:val="decimal"/>
      <w:lvlText w:val="%1.%2.%3.%4.%5"/>
      <w:lvlJc w:val="left"/>
      <w:pPr>
        <w:tabs>
          <w:tab w:val="num" w:pos="1440"/>
        </w:tabs>
        <w:ind w:left="1247" w:hanging="1247"/>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2160"/>
        </w:tabs>
        <w:ind w:left="1588" w:hanging="1588"/>
      </w:pPr>
      <w:rPr>
        <w:rFonts w:hint="default"/>
      </w:rPr>
    </w:lvl>
    <w:lvl w:ilvl="7">
      <w:start w:val="1"/>
      <w:numFmt w:val="decimal"/>
      <w:lvlText w:val="%1.%2.%3.%4.%5.%6.%7.%8"/>
      <w:lvlJc w:val="left"/>
      <w:pPr>
        <w:tabs>
          <w:tab w:val="num" w:pos="2520"/>
        </w:tabs>
        <w:ind w:left="1758" w:hanging="1758"/>
      </w:pPr>
      <w:rPr>
        <w:rFonts w:hint="default"/>
      </w:rPr>
    </w:lvl>
    <w:lvl w:ilvl="8">
      <w:start w:val="1"/>
      <w:numFmt w:val="decimal"/>
      <w:lvlText w:val="%1.%2.%3.%4.%5.%6.%7.%8.%9"/>
      <w:lvlJc w:val="left"/>
      <w:pPr>
        <w:tabs>
          <w:tab w:val="num" w:pos="2880"/>
        </w:tabs>
        <w:ind w:left="1928" w:hanging="1928"/>
      </w:pPr>
      <w:rPr>
        <w:rFonts w:hint="default"/>
      </w:rPr>
    </w:lvl>
  </w:abstractNum>
  <w:abstractNum w:abstractNumId="21" w15:restartNumberingAfterBreak="0">
    <w:nsid w:val="5F9E732F"/>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6911A8"/>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98E3B13"/>
    <w:multiLevelType w:val="hybridMultilevel"/>
    <w:tmpl w:val="223A84A8"/>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24" w15:restartNumberingAfterBreak="0">
    <w:nsid w:val="69C15097"/>
    <w:multiLevelType w:val="hybridMultilevel"/>
    <w:tmpl w:val="E9D8BEC0"/>
    <w:lvl w:ilvl="0" w:tplc="AC606680">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5" w15:restartNumberingAfterBreak="0">
    <w:nsid w:val="6D841D93"/>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08613C9"/>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531359C"/>
    <w:multiLevelType w:val="hybridMultilevel"/>
    <w:tmpl w:val="E5D83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782CB1"/>
    <w:multiLevelType w:val="hybridMultilevel"/>
    <w:tmpl w:val="A614DF2E"/>
    <w:lvl w:ilvl="0" w:tplc="689A6914">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9" w15:restartNumberingAfterBreak="0">
    <w:nsid w:val="79E7771D"/>
    <w:multiLevelType w:val="hybridMultilevel"/>
    <w:tmpl w:val="AFD40088"/>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0" w15:restartNumberingAfterBreak="0">
    <w:nsid w:val="7A6D0258"/>
    <w:multiLevelType w:val="hybridMultilevel"/>
    <w:tmpl w:val="0C5C6D44"/>
    <w:lvl w:ilvl="0" w:tplc="AC606680">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1" w15:restartNumberingAfterBreak="0">
    <w:nsid w:val="7CB57EAD"/>
    <w:multiLevelType w:val="hybridMultilevel"/>
    <w:tmpl w:val="E5D833FC"/>
    <w:lvl w:ilvl="0" w:tplc="0405000F">
      <w:start w:val="1"/>
      <w:numFmt w:val="decimal"/>
      <w:lvlText w:val="%1."/>
      <w:lvlJc w:val="left"/>
      <w:pPr>
        <w:ind w:left="1061" w:hanging="360"/>
      </w:pPr>
    </w:lvl>
    <w:lvl w:ilvl="1" w:tplc="04050019" w:tentative="1">
      <w:start w:val="1"/>
      <w:numFmt w:val="lowerLetter"/>
      <w:lvlText w:val="%2."/>
      <w:lvlJc w:val="left"/>
      <w:pPr>
        <w:ind w:left="1781" w:hanging="360"/>
      </w:pPr>
    </w:lvl>
    <w:lvl w:ilvl="2" w:tplc="0405001B" w:tentative="1">
      <w:start w:val="1"/>
      <w:numFmt w:val="lowerRoman"/>
      <w:lvlText w:val="%3."/>
      <w:lvlJc w:val="right"/>
      <w:pPr>
        <w:ind w:left="2501" w:hanging="180"/>
      </w:pPr>
    </w:lvl>
    <w:lvl w:ilvl="3" w:tplc="0405000F" w:tentative="1">
      <w:start w:val="1"/>
      <w:numFmt w:val="decimal"/>
      <w:lvlText w:val="%4."/>
      <w:lvlJc w:val="left"/>
      <w:pPr>
        <w:ind w:left="3221" w:hanging="360"/>
      </w:pPr>
    </w:lvl>
    <w:lvl w:ilvl="4" w:tplc="04050019" w:tentative="1">
      <w:start w:val="1"/>
      <w:numFmt w:val="lowerLetter"/>
      <w:lvlText w:val="%5."/>
      <w:lvlJc w:val="left"/>
      <w:pPr>
        <w:ind w:left="3941" w:hanging="360"/>
      </w:pPr>
    </w:lvl>
    <w:lvl w:ilvl="5" w:tplc="0405001B" w:tentative="1">
      <w:start w:val="1"/>
      <w:numFmt w:val="lowerRoman"/>
      <w:lvlText w:val="%6."/>
      <w:lvlJc w:val="right"/>
      <w:pPr>
        <w:ind w:left="4661" w:hanging="180"/>
      </w:pPr>
    </w:lvl>
    <w:lvl w:ilvl="6" w:tplc="0405000F" w:tentative="1">
      <w:start w:val="1"/>
      <w:numFmt w:val="decimal"/>
      <w:lvlText w:val="%7."/>
      <w:lvlJc w:val="left"/>
      <w:pPr>
        <w:ind w:left="5381" w:hanging="360"/>
      </w:pPr>
    </w:lvl>
    <w:lvl w:ilvl="7" w:tplc="04050019" w:tentative="1">
      <w:start w:val="1"/>
      <w:numFmt w:val="lowerLetter"/>
      <w:lvlText w:val="%8."/>
      <w:lvlJc w:val="left"/>
      <w:pPr>
        <w:ind w:left="6101" w:hanging="360"/>
      </w:pPr>
    </w:lvl>
    <w:lvl w:ilvl="8" w:tplc="0405001B" w:tentative="1">
      <w:start w:val="1"/>
      <w:numFmt w:val="lowerRoman"/>
      <w:lvlText w:val="%9."/>
      <w:lvlJc w:val="right"/>
      <w:pPr>
        <w:ind w:left="6821" w:hanging="180"/>
      </w:pPr>
    </w:lvl>
  </w:abstractNum>
  <w:abstractNum w:abstractNumId="32" w15:restartNumberingAfterBreak="0">
    <w:nsid w:val="7CCF57B3"/>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3"/>
  </w:num>
  <w:num w:numId="5">
    <w:abstractNumId w:val="5"/>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6"/>
  </w:num>
  <w:num w:numId="29">
    <w:abstractNumId w:val="19"/>
  </w:num>
  <w:num w:numId="30">
    <w:abstractNumId w:val="27"/>
  </w:num>
  <w:num w:numId="31">
    <w:abstractNumId w:val="20"/>
  </w:num>
  <w:num w:numId="32">
    <w:abstractNumId w:val="1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72"/>
    <w:rsid w:val="000323B3"/>
    <w:rsid w:val="000719CC"/>
    <w:rsid w:val="000761B3"/>
    <w:rsid w:val="0009414E"/>
    <w:rsid w:val="00094F8C"/>
    <w:rsid w:val="000A10BA"/>
    <w:rsid w:val="000A2E47"/>
    <w:rsid w:val="000A7906"/>
    <w:rsid w:val="000B0475"/>
    <w:rsid w:val="001037FC"/>
    <w:rsid w:val="001161B0"/>
    <w:rsid w:val="00131823"/>
    <w:rsid w:val="00135431"/>
    <w:rsid w:val="00144194"/>
    <w:rsid w:val="00145AFD"/>
    <w:rsid w:val="00156A17"/>
    <w:rsid w:val="00162EE5"/>
    <w:rsid w:val="00176332"/>
    <w:rsid w:val="00186843"/>
    <w:rsid w:val="001D7D0B"/>
    <w:rsid w:val="001E3B33"/>
    <w:rsid w:val="0020442A"/>
    <w:rsid w:val="0020612F"/>
    <w:rsid w:val="00212009"/>
    <w:rsid w:val="00214C1E"/>
    <w:rsid w:val="00242789"/>
    <w:rsid w:val="00251848"/>
    <w:rsid w:val="00275229"/>
    <w:rsid w:val="00287666"/>
    <w:rsid w:val="002A6073"/>
    <w:rsid w:val="002B1A1F"/>
    <w:rsid w:val="002E045C"/>
    <w:rsid w:val="002E1740"/>
    <w:rsid w:val="002E6F68"/>
    <w:rsid w:val="00305268"/>
    <w:rsid w:val="00307664"/>
    <w:rsid w:val="00310C5C"/>
    <w:rsid w:val="00347AF2"/>
    <w:rsid w:val="003A1041"/>
    <w:rsid w:val="003A31E8"/>
    <w:rsid w:val="003D2C82"/>
    <w:rsid w:val="003D6708"/>
    <w:rsid w:val="003D7CEC"/>
    <w:rsid w:val="003F036E"/>
    <w:rsid w:val="003F5DE9"/>
    <w:rsid w:val="00402030"/>
    <w:rsid w:val="004025C1"/>
    <w:rsid w:val="0042136A"/>
    <w:rsid w:val="00424B72"/>
    <w:rsid w:val="0043054F"/>
    <w:rsid w:val="0043687D"/>
    <w:rsid w:val="00453823"/>
    <w:rsid w:val="00462264"/>
    <w:rsid w:val="00464984"/>
    <w:rsid w:val="00472EE7"/>
    <w:rsid w:val="00475682"/>
    <w:rsid w:val="004A4005"/>
    <w:rsid w:val="004B4BE7"/>
    <w:rsid w:val="004D2FC2"/>
    <w:rsid w:val="004D3B8D"/>
    <w:rsid w:val="004F3881"/>
    <w:rsid w:val="00500C7E"/>
    <w:rsid w:val="00502812"/>
    <w:rsid w:val="00506A40"/>
    <w:rsid w:val="00507986"/>
    <w:rsid w:val="00515E4A"/>
    <w:rsid w:val="00516E63"/>
    <w:rsid w:val="00523988"/>
    <w:rsid w:val="005432D4"/>
    <w:rsid w:val="00547EA1"/>
    <w:rsid w:val="00557157"/>
    <w:rsid w:val="005829CD"/>
    <w:rsid w:val="005C376A"/>
    <w:rsid w:val="005C50D9"/>
    <w:rsid w:val="005D414B"/>
    <w:rsid w:val="005D45AC"/>
    <w:rsid w:val="005F40BD"/>
    <w:rsid w:val="00606717"/>
    <w:rsid w:val="006165D4"/>
    <w:rsid w:val="00617476"/>
    <w:rsid w:val="006703A1"/>
    <w:rsid w:val="00685BD5"/>
    <w:rsid w:val="006A40EB"/>
    <w:rsid w:val="006C1C93"/>
    <w:rsid w:val="006C5016"/>
    <w:rsid w:val="006C58CB"/>
    <w:rsid w:val="006E7A5C"/>
    <w:rsid w:val="0070682D"/>
    <w:rsid w:val="007158F9"/>
    <w:rsid w:val="00726AB0"/>
    <w:rsid w:val="0074532C"/>
    <w:rsid w:val="00775B91"/>
    <w:rsid w:val="00776339"/>
    <w:rsid w:val="0079556B"/>
    <w:rsid w:val="007A6A6F"/>
    <w:rsid w:val="007C2F5A"/>
    <w:rsid w:val="007C76C1"/>
    <w:rsid w:val="007E0F7C"/>
    <w:rsid w:val="007E3844"/>
    <w:rsid w:val="007F7B54"/>
    <w:rsid w:val="008056FA"/>
    <w:rsid w:val="008125A4"/>
    <w:rsid w:val="00821054"/>
    <w:rsid w:val="00822A11"/>
    <w:rsid w:val="0083053C"/>
    <w:rsid w:val="0083082F"/>
    <w:rsid w:val="00834739"/>
    <w:rsid w:val="00866007"/>
    <w:rsid w:val="00890431"/>
    <w:rsid w:val="008A005E"/>
    <w:rsid w:val="008A34B8"/>
    <w:rsid w:val="008A4529"/>
    <w:rsid w:val="008C310F"/>
    <w:rsid w:val="008C48C6"/>
    <w:rsid w:val="008F2E79"/>
    <w:rsid w:val="008F3243"/>
    <w:rsid w:val="00923539"/>
    <w:rsid w:val="009261B5"/>
    <w:rsid w:val="009373D0"/>
    <w:rsid w:val="00937C07"/>
    <w:rsid w:val="00972037"/>
    <w:rsid w:val="00972B4A"/>
    <w:rsid w:val="009735FB"/>
    <w:rsid w:val="009B0DA7"/>
    <w:rsid w:val="009D5474"/>
    <w:rsid w:val="009F72B5"/>
    <w:rsid w:val="00A012A5"/>
    <w:rsid w:val="00A0625C"/>
    <w:rsid w:val="00A20DB6"/>
    <w:rsid w:val="00A345E7"/>
    <w:rsid w:val="00A529D4"/>
    <w:rsid w:val="00A738AD"/>
    <w:rsid w:val="00A8028E"/>
    <w:rsid w:val="00A96710"/>
    <w:rsid w:val="00B176F1"/>
    <w:rsid w:val="00B22E83"/>
    <w:rsid w:val="00B260B5"/>
    <w:rsid w:val="00B317D5"/>
    <w:rsid w:val="00B438D0"/>
    <w:rsid w:val="00B66318"/>
    <w:rsid w:val="00B928CD"/>
    <w:rsid w:val="00B976E2"/>
    <w:rsid w:val="00BC78DF"/>
    <w:rsid w:val="00BE28DE"/>
    <w:rsid w:val="00BF0272"/>
    <w:rsid w:val="00C148D2"/>
    <w:rsid w:val="00C47CB8"/>
    <w:rsid w:val="00C5223F"/>
    <w:rsid w:val="00C579EA"/>
    <w:rsid w:val="00C60D11"/>
    <w:rsid w:val="00C84814"/>
    <w:rsid w:val="00CA6B6D"/>
    <w:rsid w:val="00CB5075"/>
    <w:rsid w:val="00CB5628"/>
    <w:rsid w:val="00CD3D25"/>
    <w:rsid w:val="00CD5BC6"/>
    <w:rsid w:val="00CE1EAE"/>
    <w:rsid w:val="00D0274E"/>
    <w:rsid w:val="00D03702"/>
    <w:rsid w:val="00D26872"/>
    <w:rsid w:val="00D301DC"/>
    <w:rsid w:val="00D40390"/>
    <w:rsid w:val="00D47D14"/>
    <w:rsid w:val="00D5460E"/>
    <w:rsid w:val="00D62E04"/>
    <w:rsid w:val="00D6741D"/>
    <w:rsid w:val="00D85E48"/>
    <w:rsid w:val="00D944FC"/>
    <w:rsid w:val="00DA1AEE"/>
    <w:rsid w:val="00DB3B2E"/>
    <w:rsid w:val="00DC6685"/>
    <w:rsid w:val="00DD0422"/>
    <w:rsid w:val="00DD1D73"/>
    <w:rsid w:val="00DD3182"/>
    <w:rsid w:val="00DE56BC"/>
    <w:rsid w:val="00E119C4"/>
    <w:rsid w:val="00E26E16"/>
    <w:rsid w:val="00E36A3E"/>
    <w:rsid w:val="00E75AF6"/>
    <w:rsid w:val="00E81A76"/>
    <w:rsid w:val="00ED12BD"/>
    <w:rsid w:val="00EE1DE0"/>
    <w:rsid w:val="00EF4394"/>
    <w:rsid w:val="00EF6724"/>
    <w:rsid w:val="00F10165"/>
    <w:rsid w:val="00F2778A"/>
    <w:rsid w:val="00F4770E"/>
    <w:rsid w:val="00F63F9F"/>
    <w:rsid w:val="00F70217"/>
    <w:rsid w:val="00F73C48"/>
    <w:rsid w:val="00F80431"/>
    <w:rsid w:val="00F92DBC"/>
    <w:rsid w:val="00FB0546"/>
    <w:rsid w:val="00FB3802"/>
    <w:rsid w:val="00FB4740"/>
    <w:rsid w:val="00FB4FD2"/>
    <w:rsid w:val="00FC3998"/>
    <w:rsid w:val="00FC723F"/>
    <w:rsid w:val="00FD0F01"/>
    <w:rsid w:val="00FD3786"/>
    <w:rsid w:val="00FE74EB"/>
    <w:rsid w:val="09C4CBC8"/>
    <w:rsid w:val="5433E93C"/>
    <w:rsid w:val="6F72C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CFB20"/>
  <w15:docId w15:val="{FC20AC99-3C74-4541-A7A1-527BD7AF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5431"/>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d"/>
    <w:basedOn w:val="Normln"/>
    <w:link w:val="ZhlavChar"/>
    <w:unhideWhenUsed/>
    <w:rsid w:val="000761B3"/>
    <w:pPr>
      <w:tabs>
        <w:tab w:val="center" w:pos="4536"/>
        <w:tab w:val="right" w:pos="9072"/>
      </w:tabs>
    </w:pPr>
  </w:style>
  <w:style w:type="character" w:customStyle="1" w:styleId="ZhlavChar">
    <w:name w:val="Záhlaví Char"/>
    <w:aliases w:val="hd Char"/>
    <w:basedOn w:val="Standardnpsmoodstavce"/>
    <w:link w:val="Zhlav"/>
    <w:rsid w:val="000761B3"/>
  </w:style>
  <w:style w:type="paragraph" w:styleId="Zpat">
    <w:name w:val="footer"/>
    <w:basedOn w:val="Normln"/>
    <w:link w:val="ZpatChar"/>
    <w:uiPriority w:val="99"/>
    <w:unhideWhenUsed/>
    <w:rsid w:val="000761B3"/>
    <w:pPr>
      <w:tabs>
        <w:tab w:val="center" w:pos="4536"/>
        <w:tab w:val="right" w:pos="9072"/>
      </w:tabs>
    </w:pPr>
  </w:style>
  <w:style w:type="character" w:customStyle="1" w:styleId="ZpatChar">
    <w:name w:val="Zápatí Char"/>
    <w:basedOn w:val="Standardnpsmoodstavce"/>
    <w:link w:val="Zpat"/>
    <w:uiPriority w:val="99"/>
    <w:rsid w:val="000761B3"/>
  </w:style>
  <w:style w:type="table" w:styleId="Mkatabulky">
    <w:name w:val="Table Grid"/>
    <w:basedOn w:val="Normlntabulka"/>
    <w:uiPriority w:val="39"/>
    <w:rsid w:val="00076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0761B3"/>
    <w:rPr>
      <w:color w:val="0563C1"/>
      <w:u w:val="single"/>
    </w:rPr>
  </w:style>
  <w:style w:type="paragraph" w:styleId="Textbubliny">
    <w:name w:val="Balloon Text"/>
    <w:basedOn w:val="Normln"/>
    <w:link w:val="TextbublinyChar"/>
    <w:uiPriority w:val="99"/>
    <w:semiHidden/>
    <w:unhideWhenUsed/>
    <w:rsid w:val="00866007"/>
    <w:rPr>
      <w:rFonts w:ascii="Segoe UI" w:hAnsi="Segoe UI" w:cs="Segoe UI"/>
      <w:sz w:val="18"/>
      <w:szCs w:val="18"/>
    </w:rPr>
  </w:style>
  <w:style w:type="character" w:customStyle="1" w:styleId="TextbublinyChar">
    <w:name w:val="Text bubliny Char"/>
    <w:link w:val="Textbubliny"/>
    <w:uiPriority w:val="99"/>
    <w:semiHidden/>
    <w:rsid w:val="00866007"/>
    <w:rPr>
      <w:rFonts w:ascii="Segoe UI" w:hAnsi="Segoe UI" w:cs="Segoe UI"/>
      <w:sz w:val="18"/>
      <w:szCs w:val="18"/>
    </w:rPr>
  </w:style>
  <w:style w:type="paragraph" w:styleId="Odstavecseseznamem">
    <w:name w:val="List Paragraph"/>
    <w:basedOn w:val="Normln"/>
    <w:uiPriority w:val="34"/>
    <w:qFormat/>
    <w:rsid w:val="00EF4394"/>
    <w:pPr>
      <w:ind w:left="720"/>
      <w:contextualSpacing/>
    </w:pPr>
  </w:style>
  <w:style w:type="paragraph" w:styleId="Zkladntext">
    <w:name w:val="Body Text"/>
    <w:basedOn w:val="Normln"/>
    <w:link w:val="ZkladntextChar1"/>
    <w:semiHidden/>
    <w:unhideWhenUsed/>
    <w:rsid w:val="00135431"/>
    <w:pPr>
      <w:spacing w:after="120"/>
    </w:pPr>
    <w:rPr>
      <w:lang w:eastAsia="en-US"/>
    </w:rPr>
  </w:style>
  <w:style w:type="character" w:customStyle="1" w:styleId="ZkladntextChar">
    <w:name w:val="Základní text Char"/>
    <w:uiPriority w:val="99"/>
    <w:semiHidden/>
    <w:rsid w:val="00135431"/>
    <w:rPr>
      <w:rFonts w:ascii="Calibri" w:eastAsia="Times New Roman" w:hAnsi="Calibri" w:cs="Times New Roman"/>
      <w:sz w:val="24"/>
      <w:szCs w:val="20"/>
      <w:lang w:eastAsia="cs-CZ"/>
    </w:rPr>
  </w:style>
  <w:style w:type="paragraph" w:styleId="Zkladntextodsazen">
    <w:name w:val="Body Text Indent"/>
    <w:basedOn w:val="Normln"/>
    <w:link w:val="ZkladntextodsazenChar"/>
    <w:unhideWhenUsed/>
    <w:rsid w:val="00135431"/>
    <w:pPr>
      <w:ind w:firstLine="705"/>
    </w:pPr>
  </w:style>
  <w:style w:type="character" w:customStyle="1" w:styleId="ZkladntextodsazenChar">
    <w:name w:val="Základní text odsazený Char"/>
    <w:link w:val="Zkladntextodsazen"/>
    <w:rsid w:val="00135431"/>
    <w:rPr>
      <w:rFonts w:ascii="Calibri" w:eastAsia="Times New Roman" w:hAnsi="Calibri" w:cs="Times New Roman"/>
      <w:sz w:val="24"/>
      <w:szCs w:val="20"/>
      <w:lang w:eastAsia="cs-CZ"/>
    </w:rPr>
  </w:style>
  <w:style w:type="paragraph" w:customStyle="1" w:styleId="Smluvnstrana">
    <w:name w:val="Smluvní strana"/>
    <w:basedOn w:val="Normln"/>
    <w:rsid w:val="00135431"/>
    <w:pPr>
      <w:spacing w:line="280" w:lineRule="atLeast"/>
      <w:jc w:val="both"/>
    </w:pPr>
    <w:rPr>
      <w:rFonts w:ascii="Times New Roman" w:hAnsi="Times New Roman"/>
      <w:b/>
      <w:sz w:val="28"/>
    </w:rPr>
  </w:style>
  <w:style w:type="paragraph" w:customStyle="1" w:styleId="Identifikacestran">
    <w:name w:val="Identifikace stran"/>
    <w:basedOn w:val="Normln"/>
    <w:rsid w:val="00135431"/>
    <w:pPr>
      <w:spacing w:line="280" w:lineRule="atLeast"/>
      <w:jc w:val="both"/>
    </w:pPr>
    <w:rPr>
      <w:rFonts w:ascii="Times New Roman" w:hAnsi="Times New Roman"/>
    </w:rPr>
  </w:style>
  <w:style w:type="paragraph" w:customStyle="1" w:styleId="Nzevsmlouvy">
    <w:name w:val="Název smlouvy"/>
    <w:basedOn w:val="Normln"/>
    <w:rsid w:val="00135431"/>
    <w:pPr>
      <w:spacing w:line="280" w:lineRule="atLeast"/>
      <w:jc w:val="center"/>
    </w:pPr>
    <w:rPr>
      <w:rFonts w:ascii="Times New Roman" w:hAnsi="Times New Roman"/>
      <w:b/>
      <w:sz w:val="36"/>
    </w:rPr>
  </w:style>
  <w:style w:type="character" w:customStyle="1" w:styleId="ZkladntextChar1">
    <w:name w:val="Základní text Char1"/>
    <w:link w:val="Zkladntext"/>
    <w:semiHidden/>
    <w:locked/>
    <w:rsid w:val="00135431"/>
    <w:rPr>
      <w:rFonts w:ascii="Calibri" w:eastAsia="Times New Roman" w:hAnsi="Calibri" w:cs="Times New Roman"/>
      <w:sz w:val="24"/>
      <w:szCs w:val="20"/>
    </w:rPr>
  </w:style>
  <w:style w:type="paragraph" w:styleId="Textkomente">
    <w:name w:val="annotation text"/>
    <w:basedOn w:val="Normln"/>
    <w:link w:val="TextkomenteChar"/>
    <w:uiPriority w:val="99"/>
    <w:semiHidden/>
    <w:unhideWhenUsed/>
    <w:rPr>
      <w:sz w:val="20"/>
    </w:rPr>
  </w:style>
  <w:style w:type="character" w:customStyle="1" w:styleId="TextkomenteChar">
    <w:name w:val="Text komentáře Char"/>
    <w:basedOn w:val="Standardnpsmoodstavce"/>
    <w:link w:val="Textkomente"/>
    <w:uiPriority w:val="99"/>
    <w:semiHidden/>
    <w:rPr>
      <w:rFonts w:eastAsia="Times New Roman"/>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20442A"/>
    <w:rPr>
      <w:b/>
      <w:bCs/>
    </w:rPr>
  </w:style>
  <w:style w:type="character" w:customStyle="1" w:styleId="PedmtkomenteChar">
    <w:name w:val="Předmět komentáře Char"/>
    <w:basedOn w:val="TextkomenteChar"/>
    <w:link w:val="Pedmtkomente"/>
    <w:uiPriority w:val="99"/>
    <w:semiHidden/>
    <w:rsid w:val="0020442A"/>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482">
      <w:bodyDiv w:val="1"/>
      <w:marLeft w:val="0"/>
      <w:marRight w:val="0"/>
      <w:marTop w:val="0"/>
      <w:marBottom w:val="0"/>
      <w:divBdr>
        <w:top w:val="none" w:sz="0" w:space="0" w:color="auto"/>
        <w:left w:val="none" w:sz="0" w:space="0" w:color="auto"/>
        <w:bottom w:val="none" w:sz="0" w:space="0" w:color="auto"/>
        <w:right w:val="none" w:sz="0" w:space="0" w:color="auto"/>
      </w:divBdr>
    </w:div>
    <w:div w:id="116417208">
      <w:bodyDiv w:val="1"/>
      <w:marLeft w:val="0"/>
      <w:marRight w:val="0"/>
      <w:marTop w:val="0"/>
      <w:marBottom w:val="0"/>
      <w:divBdr>
        <w:top w:val="none" w:sz="0" w:space="0" w:color="auto"/>
        <w:left w:val="none" w:sz="0" w:space="0" w:color="auto"/>
        <w:bottom w:val="none" w:sz="0" w:space="0" w:color="auto"/>
        <w:right w:val="none" w:sz="0" w:space="0" w:color="auto"/>
      </w:divBdr>
    </w:div>
    <w:div w:id="671563270">
      <w:bodyDiv w:val="1"/>
      <w:marLeft w:val="0"/>
      <w:marRight w:val="0"/>
      <w:marTop w:val="0"/>
      <w:marBottom w:val="0"/>
      <w:divBdr>
        <w:top w:val="none" w:sz="0" w:space="0" w:color="auto"/>
        <w:left w:val="none" w:sz="0" w:space="0" w:color="auto"/>
        <w:bottom w:val="none" w:sz="0" w:space="0" w:color="auto"/>
        <w:right w:val="none" w:sz="0" w:space="0" w:color="auto"/>
      </w:divBdr>
    </w:div>
    <w:div w:id="928805670">
      <w:bodyDiv w:val="1"/>
      <w:marLeft w:val="0"/>
      <w:marRight w:val="0"/>
      <w:marTop w:val="0"/>
      <w:marBottom w:val="0"/>
      <w:divBdr>
        <w:top w:val="none" w:sz="0" w:space="0" w:color="auto"/>
        <w:left w:val="none" w:sz="0" w:space="0" w:color="auto"/>
        <w:bottom w:val="none" w:sz="0" w:space="0" w:color="auto"/>
        <w:right w:val="none" w:sz="0" w:space="0" w:color="auto"/>
      </w:divBdr>
    </w:div>
    <w:div w:id="952325200">
      <w:bodyDiv w:val="1"/>
      <w:marLeft w:val="0"/>
      <w:marRight w:val="0"/>
      <w:marTop w:val="0"/>
      <w:marBottom w:val="0"/>
      <w:divBdr>
        <w:top w:val="none" w:sz="0" w:space="0" w:color="auto"/>
        <w:left w:val="none" w:sz="0" w:space="0" w:color="auto"/>
        <w:bottom w:val="none" w:sz="0" w:space="0" w:color="auto"/>
        <w:right w:val="none" w:sz="0" w:space="0" w:color="auto"/>
      </w:divBdr>
    </w:div>
    <w:div w:id="1325819619">
      <w:bodyDiv w:val="1"/>
      <w:marLeft w:val="0"/>
      <w:marRight w:val="0"/>
      <w:marTop w:val="0"/>
      <w:marBottom w:val="0"/>
      <w:divBdr>
        <w:top w:val="none" w:sz="0" w:space="0" w:color="auto"/>
        <w:left w:val="none" w:sz="0" w:space="0" w:color="auto"/>
        <w:bottom w:val="none" w:sz="0" w:space="0" w:color="auto"/>
        <w:right w:val="none" w:sz="0" w:space="0" w:color="auto"/>
      </w:divBdr>
    </w:div>
    <w:div w:id="1455826870">
      <w:bodyDiv w:val="1"/>
      <w:marLeft w:val="0"/>
      <w:marRight w:val="0"/>
      <w:marTop w:val="0"/>
      <w:marBottom w:val="0"/>
      <w:divBdr>
        <w:top w:val="none" w:sz="0" w:space="0" w:color="auto"/>
        <w:left w:val="none" w:sz="0" w:space="0" w:color="auto"/>
        <w:bottom w:val="none" w:sz="0" w:space="0" w:color="auto"/>
        <w:right w:val="none" w:sz="0" w:space="0" w:color="auto"/>
      </w:divBdr>
    </w:div>
    <w:div w:id="21217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tex.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tex@ortex.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ortexf/obchod/SMLOUVY-SKELETY/2015/LICEN&#268;N&#205;%20SMLOUVA/upr_LICENCNI%20SMLOUVA_FINAL%20SKELET_NOV&#201;%20LOGO.doc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59dc5a8-7d26-472a-91d0-095ab1f50785">
      <UserInfo>
        <DisplayName>Vaněk Jan</DisplayName>
        <AccountId>22</AccountId>
        <AccountType/>
      </UserInfo>
      <UserInfo>
        <DisplayName>Černohorský Jan</DisplayName>
        <AccountId>105</AccountId>
        <AccountType/>
      </UserInfo>
      <UserInfo>
        <DisplayName>Nováková Hana</DisplayName>
        <AccountId>72</AccountId>
        <AccountType/>
      </UserInfo>
      <UserInfo>
        <DisplayName>Rousová Zdenka</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82B94FDFDDED45BBAE543A16AE9888" ma:contentTypeVersion="10" ma:contentTypeDescription="Vytvoří nový dokument" ma:contentTypeScope="" ma:versionID="552a6b46e239f598c1b79922c1179be0">
  <xsd:schema xmlns:xsd="http://www.w3.org/2001/XMLSchema" xmlns:xs="http://www.w3.org/2001/XMLSchema" xmlns:p="http://schemas.microsoft.com/office/2006/metadata/properties" xmlns:ns2="359dc5a8-7d26-472a-91d0-095ab1f50785" xmlns:ns3="c570d677-45f2-4845-a708-941d101dee2a" targetNamespace="http://schemas.microsoft.com/office/2006/metadata/properties" ma:root="true" ma:fieldsID="b1a65f06fc041f33e68af28f6c6cd137" ns2:_="" ns3:_="">
    <xsd:import namespace="359dc5a8-7d26-472a-91d0-095ab1f50785"/>
    <xsd:import namespace="c570d677-45f2-4845-a708-941d101dee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dc5a8-7d26-472a-91d0-095ab1f5078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0d677-45f2-4845-a708-941d101dee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3E39B-C2E2-4634-B985-89F782717658}">
  <ds:schemaRefs>
    <ds:schemaRef ds:uri="http://schemas.microsoft.com/sharepoint/v3/contenttype/forms"/>
  </ds:schemaRefs>
</ds:datastoreItem>
</file>

<file path=customXml/itemProps2.xml><?xml version="1.0" encoding="utf-8"?>
<ds:datastoreItem xmlns:ds="http://schemas.openxmlformats.org/officeDocument/2006/customXml" ds:itemID="{60E8997C-4187-4C5F-A2F7-BE04CB822DE2}">
  <ds:schemaRefs>
    <ds:schemaRef ds:uri="http://schemas.microsoft.com/office/2006/metadata/properties"/>
    <ds:schemaRef ds:uri="http://schemas.microsoft.com/office/infopath/2007/PartnerControls"/>
    <ds:schemaRef ds:uri="359dc5a8-7d26-472a-91d0-095ab1f50785"/>
  </ds:schemaRefs>
</ds:datastoreItem>
</file>

<file path=customXml/itemProps3.xml><?xml version="1.0" encoding="utf-8"?>
<ds:datastoreItem xmlns:ds="http://schemas.openxmlformats.org/officeDocument/2006/customXml" ds:itemID="{E92C4A71-DB5D-4DB1-965C-845D90C79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dc5a8-7d26-472a-91d0-095ab1f50785"/>
    <ds:schemaRef ds:uri="c570d677-45f2-4845-a708-941d101de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2A184-B08E-4E2E-9C73-5A4FB37F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4208</Words>
  <Characters>24832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ORTEX spol. s r.o.</Company>
  <LinksUpToDate>false</LinksUpToDate>
  <CharactersWithSpaces>28983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Nováková</dc:creator>
  <cp:lastModifiedBy>KAŠÍKOVÁ Kamila</cp:lastModifiedBy>
  <cp:revision>3</cp:revision>
  <cp:lastPrinted>2019-11-12T12:05:00Z</cp:lastPrinted>
  <dcterms:created xsi:type="dcterms:W3CDTF">2020-02-07T09:21:00Z</dcterms:created>
  <dcterms:modified xsi:type="dcterms:W3CDTF">2020-02-07T09:21:00Z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0x0101008482B94FDFDDED45BBAE543A16AE9888</vt:lpwstr>
  </property>
</Properties>
</file>