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E5" w:rsidRDefault="00382341">
      <w:pPr>
        <w:pStyle w:val="Bodytext10"/>
        <w:shd w:val="clear" w:color="auto" w:fill="auto"/>
        <w:spacing w:after="300" w:line="240" w:lineRule="auto"/>
        <w:jc w:val="right"/>
        <w:rPr>
          <w:sz w:val="19"/>
          <w:szCs w:val="19"/>
        </w:rPr>
      </w:pPr>
      <w:r>
        <w:rPr>
          <w:sz w:val="19"/>
          <w:szCs w:val="19"/>
        </w:rPr>
        <w:t>202-REI-20</w:t>
      </w:r>
    </w:p>
    <w:p w:rsidR="00C11DE5" w:rsidRDefault="00382341">
      <w:pPr>
        <w:pStyle w:val="Heading110"/>
        <w:keepNext/>
        <w:keepLines/>
        <w:shd w:val="clear" w:color="auto" w:fill="auto"/>
      </w:pPr>
      <w:bookmarkStart w:id="0" w:name="bookmark0"/>
      <w:bookmarkStart w:id="1" w:name="bookmark1"/>
      <w:r>
        <w:t xml:space="preserve">Národní </w:t>
      </w:r>
      <w:r>
        <w:t>divadlo</w:t>
      </w:r>
      <w:bookmarkEnd w:id="0"/>
      <w:bookmarkEnd w:id="1"/>
    </w:p>
    <w:p w:rsidR="00C11DE5" w:rsidRDefault="00382341">
      <w:pPr>
        <w:pStyle w:val="Heading210"/>
        <w:keepNext/>
        <w:keepLines/>
        <w:shd w:val="clear" w:color="auto" w:fill="auto"/>
      </w:pPr>
      <w:bookmarkStart w:id="2" w:name="bookmark2"/>
      <w:bookmarkStart w:id="3" w:name="bookmark3"/>
      <w:r>
        <w:t>Nájemní smlouva</w:t>
      </w:r>
      <w:bookmarkEnd w:id="2"/>
      <w:bookmarkEnd w:id="3"/>
    </w:p>
    <w:p w:rsidR="00C11DE5" w:rsidRDefault="00382341">
      <w:pPr>
        <w:pStyle w:val="Bodytext10"/>
        <w:shd w:val="clear" w:color="auto" w:fill="auto"/>
        <w:spacing w:after="30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podle § 2201 a násl. občanského zákoníku</w:t>
      </w:r>
    </w:p>
    <w:p w:rsidR="00C11DE5" w:rsidRDefault="00382341">
      <w:pPr>
        <w:pStyle w:val="Bodytext10"/>
        <w:shd w:val="clear" w:color="auto" w:fill="auto"/>
        <w:spacing w:after="60" w:line="240" w:lineRule="auto"/>
        <w:rPr>
          <w:sz w:val="19"/>
          <w:szCs w:val="19"/>
        </w:rPr>
      </w:pPr>
      <w:r>
        <w:rPr>
          <w:sz w:val="19"/>
          <w:szCs w:val="19"/>
        </w:rPr>
        <w:t>Pronajímatel:</w:t>
      </w:r>
    </w:p>
    <w:p w:rsidR="00C11DE5" w:rsidRDefault="00382341">
      <w:pPr>
        <w:pStyle w:val="Heading310"/>
        <w:keepNext/>
        <w:keepLines/>
        <w:shd w:val="clear" w:color="auto" w:fill="auto"/>
        <w:spacing w:after="60" w:line="240" w:lineRule="auto"/>
      </w:pPr>
      <w:bookmarkStart w:id="4" w:name="bookmark4"/>
      <w:bookmarkStart w:id="5" w:name="bookmark5"/>
      <w:r>
        <w:t>Národní divadlo</w:t>
      </w:r>
      <w:bookmarkEnd w:id="4"/>
      <w:bookmarkEnd w:id="5"/>
    </w:p>
    <w:p w:rsidR="00C11DE5" w:rsidRDefault="00382341">
      <w:pPr>
        <w:pStyle w:val="Bodytext10"/>
        <w:shd w:val="clear" w:color="auto" w:fill="auto"/>
        <w:spacing w:after="60" w:line="240" w:lineRule="auto"/>
        <w:rPr>
          <w:sz w:val="19"/>
          <w:szCs w:val="19"/>
        </w:rPr>
      </w:pPr>
      <w:r>
        <w:rPr>
          <w:sz w:val="19"/>
          <w:szCs w:val="19"/>
        </w:rPr>
        <w:t>Ostrovní 1</w:t>
      </w:r>
    </w:p>
    <w:p w:rsidR="00C11DE5" w:rsidRDefault="00382341">
      <w:pPr>
        <w:pStyle w:val="Bodytext10"/>
        <w:shd w:val="clear" w:color="auto" w:fill="auto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112 30 Praha 1</w:t>
      </w:r>
    </w:p>
    <w:p w:rsidR="00C11DE5" w:rsidRDefault="00382341">
      <w:pPr>
        <w:pStyle w:val="Bodytext10"/>
        <w:shd w:val="clear" w:color="auto" w:fill="auto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IČ: 00023337</w:t>
      </w:r>
    </w:p>
    <w:p w:rsidR="00C11DE5" w:rsidRDefault="00382341">
      <w:pPr>
        <w:pStyle w:val="Bodytext10"/>
        <w:shd w:val="clear" w:color="auto" w:fill="auto"/>
        <w:tabs>
          <w:tab w:val="left" w:pos="1690"/>
        </w:tabs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DIČ: CZ00023337</w:t>
      </w:r>
    </w:p>
    <w:p w:rsidR="00E82704" w:rsidRDefault="00382341">
      <w:pPr>
        <w:pStyle w:val="Bodytext10"/>
        <w:shd w:val="clear" w:color="auto" w:fill="auto"/>
        <w:spacing w:after="1160" w:line="240" w:lineRule="auto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sz w:val="19"/>
          <w:szCs w:val="19"/>
        </w:rPr>
        <w:t>dále jen „Pronajímatel“)</w:t>
      </w:r>
    </w:p>
    <w:p w:rsidR="00E82704" w:rsidRDefault="00E82704">
      <w:pPr>
        <w:pStyle w:val="Bodytext10"/>
        <w:shd w:val="clear" w:color="auto" w:fill="auto"/>
        <w:spacing w:after="1160" w:line="240" w:lineRule="auto"/>
        <w:rPr>
          <w:sz w:val="19"/>
          <w:szCs w:val="19"/>
        </w:rPr>
      </w:pPr>
      <w:r>
        <w:rPr>
          <w:sz w:val="19"/>
          <w:szCs w:val="19"/>
        </w:rPr>
        <w:t>a</w:t>
      </w:r>
    </w:p>
    <w:p w:rsidR="00C11DE5" w:rsidRDefault="00382341">
      <w:pPr>
        <w:pStyle w:val="Bodytext10"/>
        <w:shd w:val="clear" w:color="auto" w:fill="auto"/>
        <w:spacing w:line="295" w:lineRule="auto"/>
        <w:rPr>
          <w:sz w:val="19"/>
          <w:szCs w:val="19"/>
        </w:rPr>
      </w:pPr>
      <w:r>
        <w:rPr>
          <w:sz w:val="19"/>
          <w:szCs w:val="19"/>
        </w:rPr>
        <w:t>Nájemce:</w:t>
      </w:r>
    </w:p>
    <w:p w:rsidR="00C11DE5" w:rsidRDefault="00382341">
      <w:pPr>
        <w:pStyle w:val="Heading310"/>
        <w:keepNext/>
        <w:keepLines/>
        <w:shd w:val="clear" w:color="auto" w:fill="auto"/>
        <w:spacing w:after="0" w:line="295" w:lineRule="auto"/>
      </w:pPr>
      <w:bookmarkStart w:id="6" w:name="bookmark6"/>
      <w:bookmarkStart w:id="7" w:name="bookmark7"/>
      <w:r>
        <w:t>Jednota hudebního divadla</w:t>
      </w:r>
      <w:bookmarkEnd w:id="6"/>
      <w:bookmarkEnd w:id="7"/>
    </w:p>
    <w:p w:rsidR="00C11DE5" w:rsidRDefault="00382341">
      <w:pPr>
        <w:pStyle w:val="Bodytext10"/>
        <w:shd w:val="clear" w:color="auto" w:fill="auto"/>
        <w:spacing w:line="295" w:lineRule="auto"/>
        <w:rPr>
          <w:sz w:val="19"/>
          <w:szCs w:val="19"/>
        </w:rPr>
      </w:pPr>
      <w:r>
        <w:rPr>
          <w:sz w:val="19"/>
          <w:szCs w:val="19"/>
        </w:rPr>
        <w:t>se sídlem K Vltavě 18/22, Modřany, 143 00 Praha 10:60447711</w:t>
      </w:r>
    </w:p>
    <w:p w:rsidR="00C11DE5" w:rsidRDefault="00382341">
      <w:pPr>
        <w:pStyle w:val="Bodytext10"/>
        <w:shd w:val="clear" w:color="auto" w:fill="auto"/>
        <w:spacing w:line="295" w:lineRule="auto"/>
        <w:rPr>
          <w:sz w:val="19"/>
          <w:szCs w:val="19"/>
        </w:rPr>
      </w:pPr>
      <w:r>
        <w:rPr>
          <w:sz w:val="19"/>
          <w:szCs w:val="19"/>
        </w:rPr>
        <w:t>DIČ: CZ60447711</w:t>
      </w:r>
    </w:p>
    <w:p w:rsidR="00C11DE5" w:rsidRDefault="00E82704">
      <w:pPr>
        <w:pStyle w:val="Bodytext10"/>
        <w:shd w:val="clear" w:color="auto" w:fill="auto"/>
        <w:spacing w:after="300" w:line="295" w:lineRule="auto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382341">
        <w:rPr>
          <w:sz w:val="19"/>
          <w:szCs w:val="19"/>
        </w:rPr>
        <w:t>(dále jen „Nájemce“)</w:t>
      </w:r>
    </w:p>
    <w:p w:rsidR="00C11DE5" w:rsidRDefault="00382341">
      <w:pPr>
        <w:pStyle w:val="Bodytext10"/>
        <w:shd w:val="clear" w:color="auto" w:fill="auto"/>
        <w:spacing w:after="540" w:line="295" w:lineRule="auto"/>
        <w:jc w:val="center"/>
        <w:rPr>
          <w:sz w:val="19"/>
          <w:szCs w:val="19"/>
        </w:rPr>
      </w:pPr>
      <w:r>
        <w:rPr>
          <w:sz w:val="19"/>
          <w:szCs w:val="19"/>
        </w:rPr>
        <w:t>uzavírají dnešního dne tuto smlouvu</w:t>
      </w:r>
    </w:p>
    <w:p w:rsidR="00C11DE5" w:rsidRDefault="00382341">
      <w:pPr>
        <w:pStyle w:val="Heading410"/>
        <w:keepNext/>
        <w:keepLines/>
        <w:shd w:val="clear" w:color="auto" w:fill="auto"/>
        <w:spacing w:after="0" w:line="298" w:lineRule="auto"/>
      </w:pPr>
      <w:bookmarkStart w:id="8" w:name="bookmark8"/>
      <w:bookmarkStart w:id="9" w:name="bookmark9"/>
      <w:r>
        <w:t>Předmět smlouvy</w:t>
      </w:r>
      <w:bookmarkEnd w:id="8"/>
      <w:bookmarkEnd w:id="9"/>
    </w:p>
    <w:p w:rsidR="00C11DE5" w:rsidRDefault="00382341">
      <w:pPr>
        <w:pStyle w:val="Bodytext10"/>
        <w:shd w:val="clear" w:color="auto" w:fill="auto"/>
        <w:spacing w:line="298" w:lineRule="auto"/>
      </w:pPr>
      <w:r>
        <w:t>Předmětem této smlouvy je pronájem hudebních nástrojů specifikovaných v seznamu hudebních nástrojů, se kterými je Pronajímatel oprávněn hospodařit (dále jen</w:t>
      </w:r>
      <w:r>
        <w:t xml:space="preserve"> „předmět nájmu“), a které Pronajímatel přenechává dočasně za úplatu Nájemci, aby jej po dobu platnosti této smlouvy užíval k obvyklému účelu (operní představení v Národním divadle, Státní opeře a ve Stavovském divadle). Nájemce se zavazuje zaplatit za to </w:t>
      </w:r>
      <w:r>
        <w:t>Pronají</w:t>
      </w:r>
      <w:r>
        <w:t>mateli nájemné. Představení se uskuteční ve dnech:</w:t>
      </w:r>
    </w:p>
    <w:p w:rsidR="00C11DE5" w:rsidRDefault="00382341">
      <w:pPr>
        <w:pStyle w:val="Bodytext10"/>
        <w:numPr>
          <w:ilvl w:val="0"/>
          <w:numId w:val="1"/>
        </w:numPr>
        <w:shd w:val="clear" w:color="auto" w:fill="auto"/>
        <w:tabs>
          <w:tab w:val="left" w:pos="536"/>
        </w:tabs>
        <w:spacing w:line="298" w:lineRule="auto"/>
      </w:pPr>
      <w:r>
        <w:t>Národní divadlo</w:t>
      </w:r>
    </w:p>
    <w:p w:rsidR="00C11DE5" w:rsidRDefault="00382341">
      <w:pPr>
        <w:pStyle w:val="Bodytext10"/>
        <w:numPr>
          <w:ilvl w:val="0"/>
          <w:numId w:val="2"/>
        </w:numPr>
        <w:shd w:val="clear" w:color="auto" w:fill="auto"/>
        <w:tabs>
          <w:tab w:val="left" w:pos="536"/>
        </w:tabs>
        <w:spacing w:line="298" w:lineRule="auto"/>
      </w:pPr>
      <w:r>
        <w:t>Národní divadlo</w:t>
      </w:r>
    </w:p>
    <w:p w:rsidR="00C11DE5" w:rsidRDefault="00382341">
      <w:pPr>
        <w:pStyle w:val="Bodytext10"/>
        <w:numPr>
          <w:ilvl w:val="0"/>
          <w:numId w:val="3"/>
        </w:numPr>
        <w:shd w:val="clear" w:color="auto" w:fill="auto"/>
        <w:tabs>
          <w:tab w:val="left" w:pos="536"/>
        </w:tabs>
        <w:spacing w:line="298" w:lineRule="auto"/>
      </w:pPr>
      <w:r>
        <w:t>Stavovské divadlo</w:t>
      </w:r>
    </w:p>
    <w:p w:rsidR="00C11DE5" w:rsidRDefault="00382341">
      <w:pPr>
        <w:pStyle w:val="Bodytext10"/>
        <w:numPr>
          <w:ilvl w:val="0"/>
          <w:numId w:val="4"/>
        </w:numPr>
        <w:shd w:val="clear" w:color="auto" w:fill="auto"/>
        <w:tabs>
          <w:tab w:val="left" w:pos="536"/>
        </w:tabs>
        <w:spacing w:line="298" w:lineRule="auto"/>
      </w:pPr>
      <w:r>
        <w:t>Stavovské divadlo</w:t>
      </w:r>
    </w:p>
    <w:p w:rsidR="00C11DE5" w:rsidRDefault="00382341">
      <w:pPr>
        <w:pStyle w:val="Bodytext10"/>
        <w:numPr>
          <w:ilvl w:val="0"/>
          <w:numId w:val="5"/>
        </w:numPr>
        <w:shd w:val="clear" w:color="auto" w:fill="auto"/>
        <w:tabs>
          <w:tab w:val="left" w:pos="618"/>
        </w:tabs>
        <w:spacing w:line="298" w:lineRule="auto"/>
      </w:pPr>
      <w:r>
        <w:t>Stavovské divadlo</w:t>
      </w:r>
    </w:p>
    <w:p w:rsidR="00C11DE5" w:rsidRDefault="00382341">
      <w:pPr>
        <w:pStyle w:val="Bodytext10"/>
        <w:shd w:val="clear" w:color="auto" w:fill="auto"/>
        <w:spacing w:line="298" w:lineRule="auto"/>
      </w:pPr>
      <w:r>
        <w:t>10. 2. Státní opera</w:t>
      </w:r>
    </w:p>
    <w:p w:rsidR="00C11DE5" w:rsidRDefault="00382341">
      <w:pPr>
        <w:pStyle w:val="Bodytext10"/>
        <w:numPr>
          <w:ilvl w:val="0"/>
          <w:numId w:val="6"/>
        </w:numPr>
        <w:shd w:val="clear" w:color="auto" w:fill="auto"/>
        <w:tabs>
          <w:tab w:val="left" w:pos="622"/>
        </w:tabs>
        <w:spacing w:line="298" w:lineRule="auto"/>
      </w:pPr>
      <w:r>
        <w:t>Stavovské divadlo</w:t>
      </w:r>
    </w:p>
    <w:p w:rsidR="00C11DE5" w:rsidRDefault="00382341">
      <w:pPr>
        <w:pStyle w:val="Bodytext10"/>
        <w:shd w:val="clear" w:color="auto" w:fill="auto"/>
        <w:spacing w:line="298" w:lineRule="auto"/>
      </w:pPr>
      <w:r>
        <w:t>17. 2. Státní opera</w:t>
      </w:r>
    </w:p>
    <w:p w:rsidR="00C11DE5" w:rsidRDefault="00382341">
      <w:pPr>
        <w:pStyle w:val="Bodytext10"/>
        <w:shd w:val="clear" w:color="auto" w:fill="auto"/>
        <w:spacing w:line="298" w:lineRule="auto"/>
      </w:pPr>
      <w:r>
        <w:t>1.3. Stavovské divadlo</w:t>
      </w:r>
    </w:p>
    <w:p w:rsidR="00C11DE5" w:rsidRDefault="00382341">
      <w:pPr>
        <w:pStyle w:val="Bodytext10"/>
        <w:shd w:val="clear" w:color="auto" w:fill="auto"/>
        <w:spacing w:line="298" w:lineRule="auto"/>
      </w:pPr>
      <w:r>
        <w:t>Seznam hudebních nástrojů na jednotlivá představení</w:t>
      </w:r>
      <w:r>
        <w:t xml:space="preserve"> předá Nájemce Správci hudebních nástrojů </w:t>
      </w:r>
      <w:r>
        <w:rPr>
          <w:lang w:val="en-US" w:eastAsia="en-US" w:bidi="en-US"/>
        </w:rPr>
        <w:t>ND</w:t>
      </w:r>
      <w:r>
        <w:t xml:space="preserve"> a </w:t>
      </w:r>
      <w:r>
        <w:t xml:space="preserve">Správci hudebních nástrojů </w:t>
      </w:r>
      <w:r>
        <w:rPr>
          <w:lang w:val="en-US" w:eastAsia="en-US" w:bidi="en-US"/>
        </w:rPr>
        <w:t xml:space="preserve">SO </w:t>
      </w:r>
      <w:r>
        <w:t>nejpozději 10 dnů před představením. Pronají</w:t>
      </w:r>
      <w:r>
        <w:t>matel zapůjčí</w:t>
      </w:r>
      <w:r>
        <w:t xml:space="preserve"> pouze „velké“ </w:t>
      </w:r>
      <w:proofErr w:type="spellStart"/>
      <w:r>
        <w:t>hud</w:t>
      </w:r>
      <w:proofErr w:type="spellEnd"/>
      <w:r>
        <w:t>. nástroje (tympány, velký buben, zvony, kontrabasy, klavír, cembalo, celestu, varhany, atd.).</w:t>
      </w:r>
    </w:p>
    <w:p w:rsidR="00C11DE5" w:rsidRDefault="00382341">
      <w:pPr>
        <w:pStyle w:val="Bodytext10"/>
        <w:shd w:val="clear" w:color="auto" w:fill="auto"/>
        <w:spacing w:line="298" w:lineRule="auto"/>
      </w:pPr>
      <w:r>
        <w:t>Pronajímatel prohlašuje, že v době trvání nájmu dle této smlouvy nepotřebuje předmět nájmu k plnění svých vlastních úkolů a činností a prohlašu</w:t>
      </w:r>
      <w:r>
        <w:t>je, že je schopen přenechat Nájemci předmět nájmu k dočasnému užíváni.</w:t>
      </w:r>
    </w:p>
    <w:p w:rsidR="00382341" w:rsidRDefault="00382341">
      <w:pPr>
        <w:pStyle w:val="Bodytext10"/>
        <w:shd w:val="clear" w:color="auto" w:fill="auto"/>
        <w:spacing w:line="276" w:lineRule="auto"/>
        <w:jc w:val="right"/>
        <w:rPr>
          <w:sz w:val="19"/>
          <w:szCs w:val="19"/>
        </w:rPr>
      </w:pPr>
    </w:p>
    <w:p w:rsidR="00382341" w:rsidRDefault="00382341">
      <w:pPr>
        <w:pStyle w:val="Bodytext10"/>
        <w:shd w:val="clear" w:color="auto" w:fill="auto"/>
        <w:spacing w:line="276" w:lineRule="auto"/>
        <w:jc w:val="right"/>
        <w:rPr>
          <w:sz w:val="19"/>
          <w:szCs w:val="19"/>
        </w:rPr>
      </w:pPr>
    </w:p>
    <w:p w:rsidR="00382341" w:rsidRDefault="00382341">
      <w:pPr>
        <w:pStyle w:val="Bodytext10"/>
        <w:shd w:val="clear" w:color="auto" w:fill="auto"/>
        <w:spacing w:line="276" w:lineRule="auto"/>
        <w:jc w:val="right"/>
        <w:rPr>
          <w:sz w:val="19"/>
          <w:szCs w:val="19"/>
        </w:rPr>
      </w:pPr>
      <w:bookmarkStart w:id="10" w:name="_GoBack"/>
      <w:bookmarkEnd w:id="10"/>
    </w:p>
    <w:p w:rsidR="00382341" w:rsidRDefault="00382341">
      <w:pPr>
        <w:pStyle w:val="Bodytext10"/>
        <w:shd w:val="clear" w:color="auto" w:fill="auto"/>
        <w:spacing w:line="276" w:lineRule="auto"/>
        <w:jc w:val="right"/>
        <w:rPr>
          <w:sz w:val="19"/>
          <w:szCs w:val="19"/>
        </w:rPr>
      </w:pPr>
    </w:p>
    <w:p w:rsidR="00382341" w:rsidRDefault="00382341">
      <w:pPr>
        <w:pStyle w:val="Bodytext10"/>
        <w:shd w:val="clear" w:color="auto" w:fill="auto"/>
        <w:spacing w:line="276" w:lineRule="auto"/>
        <w:jc w:val="right"/>
        <w:rPr>
          <w:sz w:val="19"/>
          <w:szCs w:val="19"/>
        </w:rPr>
      </w:pPr>
    </w:p>
    <w:p w:rsidR="00382341" w:rsidRDefault="00382341">
      <w:pPr>
        <w:pStyle w:val="Bodytext10"/>
        <w:shd w:val="clear" w:color="auto" w:fill="auto"/>
        <w:spacing w:line="276" w:lineRule="auto"/>
        <w:jc w:val="right"/>
        <w:rPr>
          <w:sz w:val="19"/>
          <w:szCs w:val="19"/>
        </w:rPr>
      </w:pPr>
    </w:p>
    <w:p w:rsidR="00C11DE5" w:rsidRDefault="00382341">
      <w:pPr>
        <w:pStyle w:val="Bodytext10"/>
        <w:shd w:val="clear" w:color="auto" w:fill="auto"/>
        <w:spacing w:line="276" w:lineRule="auto"/>
        <w:jc w:val="right"/>
        <w:rPr>
          <w:sz w:val="19"/>
          <w:szCs w:val="19"/>
        </w:rPr>
      </w:pPr>
      <w:r>
        <w:rPr>
          <w:sz w:val="19"/>
          <w:szCs w:val="19"/>
        </w:rPr>
        <w:t>202-REI-20</w:t>
      </w:r>
    </w:p>
    <w:p w:rsidR="00C11DE5" w:rsidRDefault="00382341">
      <w:pPr>
        <w:pStyle w:val="Bodytext10"/>
        <w:shd w:val="clear" w:color="auto" w:fill="auto"/>
        <w:spacing w:after="240" w:line="295" w:lineRule="auto"/>
        <w:jc w:val="both"/>
      </w:pPr>
      <w:r>
        <w:t xml:space="preserve">Podpisem této smlouvy příslušný vedoucí zaměstnanec </w:t>
      </w:r>
      <w:r>
        <w:rPr>
          <w:lang w:val="en-US" w:eastAsia="en-US" w:bidi="en-US"/>
        </w:rPr>
        <w:t xml:space="preserve">ND </w:t>
      </w:r>
      <w:r>
        <w:t xml:space="preserve">rozhodl o dočasné nepotřebnosti předmětu nájmu, a to na základě Podpisového řádu </w:t>
      </w:r>
      <w:r>
        <w:rPr>
          <w:lang w:val="en-US" w:eastAsia="en-US" w:bidi="en-US"/>
        </w:rPr>
        <w:t xml:space="preserve">ND </w:t>
      </w:r>
      <w:r>
        <w:t>č. 009/15 a § 14 odst. 7 a § 27 ods</w:t>
      </w:r>
      <w:r>
        <w:t>t. 1 zákona č. 219/2000 Sb.</w:t>
      </w:r>
    </w:p>
    <w:p w:rsidR="00C11DE5" w:rsidRDefault="00382341">
      <w:pPr>
        <w:pStyle w:val="Bodytext10"/>
        <w:shd w:val="clear" w:color="auto" w:fill="auto"/>
        <w:jc w:val="center"/>
      </w:pPr>
      <w:r>
        <w:rPr>
          <w:b/>
          <w:bCs/>
        </w:rPr>
        <w:t>II.</w:t>
      </w:r>
    </w:p>
    <w:p w:rsidR="00C11DE5" w:rsidRDefault="00382341">
      <w:pPr>
        <w:pStyle w:val="Heading410"/>
        <w:keepNext/>
        <w:keepLines/>
        <w:shd w:val="clear" w:color="auto" w:fill="auto"/>
        <w:spacing w:after="240" w:line="293" w:lineRule="auto"/>
      </w:pPr>
      <w:bookmarkStart w:id="11" w:name="bookmark10"/>
      <w:bookmarkStart w:id="12" w:name="bookmark11"/>
      <w:r>
        <w:t>Práva a povinnosti smluvních stran</w:t>
      </w:r>
      <w:bookmarkEnd w:id="11"/>
      <w:bookmarkEnd w:id="12"/>
    </w:p>
    <w:p w:rsidR="00C11DE5" w:rsidRDefault="00382341">
      <w:pPr>
        <w:pStyle w:val="Bodytext10"/>
        <w:numPr>
          <w:ilvl w:val="0"/>
          <w:numId w:val="7"/>
        </w:numPr>
        <w:shd w:val="clear" w:color="auto" w:fill="auto"/>
        <w:tabs>
          <w:tab w:val="left" w:pos="358"/>
        </w:tabs>
        <w:ind w:left="380" w:hanging="380"/>
        <w:jc w:val="both"/>
      </w:pPr>
      <w:r>
        <w:t xml:space="preserve">Pronajímatel prohlašuje, že jeho oprávněni hospodařit s majetkem uvedeným v čl. I této smlouvy je založeno tím, že tento movitý majetek byl pořízen Pronajímatelem v rámci jeho činnosti dle Statutu </w:t>
      </w:r>
      <w:r>
        <w:rPr>
          <w:lang w:val="en-US" w:eastAsia="en-US" w:bidi="en-US"/>
        </w:rPr>
        <w:t>ND.</w:t>
      </w:r>
    </w:p>
    <w:p w:rsidR="00C11DE5" w:rsidRDefault="00382341">
      <w:pPr>
        <w:pStyle w:val="Bodytext10"/>
        <w:numPr>
          <w:ilvl w:val="0"/>
          <w:numId w:val="7"/>
        </w:numPr>
        <w:shd w:val="clear" w:color="auto" w:fill="auto"/>
        <w:tabs>
          <w:tab w:val="left" w:pos="358"/>
        </w:tabs>
        <w:ind w:left="380" w:hanging="380"/>
        <w:jc w:val="both"/>
      </w:pPr>
      <w:r>
        <w:t>Pronají</w:t>
      </w:r>
      <w:r>
        <w:t>matel přenechává pronajatou věc nájemci ve stavu</w:t>
      </w:r>
      <w:r>
        <w:t xml:space="preserve"> způsobilém ke smluvnímu užívání</w:t>
      </w:r>
      <w:r>
        <w:t xml:space="preserve"> a Nájemce je povinen věc v tomto stavu svým nákladem udržovat a vrátit.</w:t>
      </w:r>
    </w:p>
    <w:p w:rsidR="00C11DE5" w:rsidRDefault="00382341">
      <w:pPr>
        <w:pStyle w:val="Bodytext10"/>
        <w:numPr>
          <w:ilvl w:val="0"/>
          <w:numId w:val="7"/>
        </w:numPr>
        <w:shd w:val="clear" w:color="auto" w:fill="auto"/>
        <w:tabs>
          <w:tab w:val="left" w:pos="358"/>
        </w:tabs>
        <w:ind w:left="380" w:hanging="380"/>
        <w:jc w:val="both"/>
      </w:pPr>
      <w:r>
        <w:t>Pronajímatel se zavazuje udržovat předmět nájmu v takovém stavu, aby mohl řádně sloužit k užívání, pro které má být pronajat.</w:t>
      </w:r>
    </w:p>
    <w:p w:rsidR="00C11DE5" w:rsidRDefault="00382341">
      <w:pPr>
        <w:pStyle w:val="Bodytext10"/>
        <w:numPr>
          <w:ilvl w:val="0"/>
          <w:numId w:val="7"/>
        </w:numPr>
        <w:shd w:val="clear" w:color="auto" w:fill="auto"/>
        <w:tabs>
          <w:tab w:val="left" w:pos="358"/>
        </w:tabs>
        <w:ind w:left="380" w:hanging="380"/>
        <w:jc w:val="both"/>
      </w:pPr>
      <w:r>
        <w:t>Nájemce je oprávněn užíva</w:t>
      </w:r>
      <w:r>
        <w:t>t věc způsobem stanoveným ve smlouvě a je povinen provádět běžnou údržbu věci. Ostatní údržbu předmětu nájmu a jeho nezbytné opravy provádí Pronají</w:t>
      </w:r>
      <w:r>
        <w:t>matel. Jakékoliv opravy hudebních nástrojů může provést pouze Pronajímatel.</w:t>
      </w:r>
    </w:p>
    <w:p w:rsidR="00C11DE5" w:rsidRDefault="00382341">
      <w:pPr>
        <w:pStyle w:val="Bodytext10"/>
        <w:numPr>
          <w:ilvl w:val="0"/>
          <w:numId w:val="7"/>
        </w:numPr>
        <w:shd w:val="clear" w:color="auto" w:fill="auto"/>
        <w:tabs>
          <w:tab w:val="left" w:pos="358"/>
        </w:tabs>
        <w:ind w:left="380" w:hanging="380"/>
        <w:jc w:val="both"/>
      </w:pPr>
      <w:r>
        <w:t>Nájemce má právo Pronajímateli oz</w:t>
      </w:r>
      <w:r>
        <w:t>námit vadu na předmětu nájmu, kterou má Pronají</w:t>
      </w:r>
      <w:r>
        <w:t>matel povinnost odstranit. Neodstraní-li Pronají</w:t>
      </w:r>
      <w:r>
        <w:t>matel vadu bez zbytečného odkladu, takže lze předmět nájmu užívat jen s obtížemi, má Nájemce právo na přiměřenou slevu z nájemného. Je-li však vadou předmětu náj</w:t>
      </w:r>
      <w:r>
        <w:t>mu jeho užívání zásadním způsobem ztíženo, nebo nelze předmět nájmu zcela užívat, má Nájemce právo na slevu z nájemného nebo může od smlouvy odstoupit.</w:t>
      </w:r>
    </w:p>
    <w:p w:rsidR="00C11DE5" w:rsidRDefault="00382341">
      <w:pPr>
        <w:pStyle w:val="Bodytext10"/>
        <w:numPr>
          <w:ilvl w:val="0"/>
          <w:numId w:val="7"/>
        </w:numPr>
        <w:shd w:val="clear" w:color="auto" w:fill="auto"/>
        <w:tabs>
          <w:tab w:val="left" w:pos="358"/>
        </w:tabs>
        <w:jc w:val="both"/>
      </w:pPr>
      <w:r>
        <w:t>Nájemce není oprávněn dát pronajatou věc dále do podnájmu.</w:t>
      </w:r>
    </w:p>
    <w:p w:rsidR="00C11DE5" w:rsidRDefault="00382341">
      <w:pPr>
        <w:pStyle w:val="Bodytext10"/>
        <w:numPr>
          <w:ilvl w:val="0"/>
          <w:numId w:val="7"/>
        </w:numPr>
        <w:shd w:val="clear" w:color="auto" w:fill="auto"/>
        <w:tabs>
          <w:tab w:val="left" w:pos="358"/>
        </w:tabs>
        <w:ind w:left="380" w:hanging="380"/>
        <w:jc w:val="both"/>
      </w:pPr>
      <w:r>
        <w:t xml:space="preserve">Nájemce je povinen užívat předmět nájmu jako </w:t>
      </w:r>
      <w:r>
        <w:t>řádný hospodář k obvyklému účelu a pečovat o to, aby na předmětu nájmu nevznikla škoda.</w:t>
      </w:r>
    </w:p>
    <w:p w:rsidR="00C11DE5" w:rsidRDefault="00382341">
      <w:pPr>
        <w:pStyle w:val="Bodytext10"/>
        <w:numPr>
          <w:ilvl w:val="0"/>
          <w:numId w:val="7"/>
        </w:numPr>
        <w:shd w:val="clear" w:color="auto" w:fill="auto"/>
        <w:tabs>
          <w:tab w:val="left" w:pos="358"/>
        </w:tabs>
        <w:jc w:val="both"/>
      </w:pPr>
      <w:r>
        <w:t>Nájemce prohlašuje, že je odborně způsobilý k používání pronajatých hudebních nástrojů.</w:t>
      </w:r>
    </w:p>
    <w:p w:rsidR="00C11DE5" w:rsidRDefault="00382341">
      <w:pPr>
        <w:pStyle w:val="Bodytext10"/>
        <w:numPr>
          <w:ilvl w:val="0"/>
          <w:numId w:val="7"/>
        </w:numPr>
        <w:shd w:val="clear" w:color="auto" w:fill="auto"/>
        <w:tabs>
          <w:tab w:val="left" w:pos="358"/>
        </w:tabs>
        <w:spacing w:after="980" w:line="317" w:lineRule="auto"/>
        <w:ind w:left="380" w:hanging="380"/>
        <w:jc w:val="both"/>
      </w:pPr>
      <w:r>
        <w:t xml:space="preserve">Nájemce se zavazuje na ladění klavíru a cembala oslovit ladiče </w:t>
      </w:r>
      <w:r>
        <w:rPr>
          <w:lang w:val="en-US" w:eastAsia="en-US" w:bidi="en-US"/>
        </w:rPr>
        <w:t>ND</w:t>
      </w:r>
      <w:r>
        <w:t xml:space="preserve"> a uhradit náklady spojené s laděním.</w:t>
      </w:r>
    </w:p>
    <w:p w:rsidR="00C11DE5" w:rsidRDefault="00382341">
      <w:pPr>
        <w:pStyle w:val="Heading410"/>
        <w:keepNext/>
        <w:keepLines/>
        <w:shd w:val="clear" w:color="auto" w:fill="auto"/>
        <w:spacing w:after="0"/>
      </w:pPr>
      <w:bookmarkStart w:id="13" w:name="bookmark12"/>
      <w:bookmarkStart w:id="14" w:name="bookmark13"/>
      <w:r>
        <w:rPr>
          <w:lang w:val="en-US" w:eastAsia="en-US" w:bidi="en-US"/>
        </w:rPr>
        <w:t>III.</w:t>
      </w:r>
      <w:bookmarkEnd w:id="13"/>
      <w:bookmarkEnd w:id="14"/>
    </w:p>
    <w:p w:rsidR="00C11DE5" w:rsidRDefault="00382341">
      <w:pPr>
        <w:pStyle w:val="Bodytext10"/>
        <w:shd w:val="clear" w:color="auto" w:fill="auto"/>
        <w:spacing w:after="240" w:line="290" w:lineRule="auto"/>
        <w:jc w:val="center"/>
      </w:pPr>
      <w:r>
        <w:t>Nájemné</w:t>
      </w:r>
    </w:p>
    <w:p w:rsidR="00C11DE5" w:rsidRDefault="00382341">
      <w:pPr>
        <w:pStyle w:val="Bodytext10"/>
        <w:numPr>
          <w:ilvl w:val="0"/>
          <w:numId w:val="8"/>
        </w:numPr>
        <w:shd w:val="clear" w:color="auto" w:fill="auto"/>
        <w:tabs>
          <w:tab w:val="left" w:pos="358"/>
        </w:tabs>
        <w:spacing w:line="290" w:lineRule="auto"/>
        <w:ind w:left="380" w:hanging="380"/>
        <w:jc w:val="both"/>
      </w:pPr>
      <w:r>
        <w:t>Cena nájmu dle čl. I smlouvy byla stanovena dohodou v celkové výši 55 000,- Kč bez DPH, cena celkem vč. DPH 66 550,- Kč.</w:t>
      </w:r>
    </w:p>
    <w:p w:rsidR="00C11DE5" w:rsidRDefault="00382341">
      <w:pPr>
        <w:pStyle w:val="Bodytext10"/>
        <w:shd w:val="clear" w:color="auto" w:fill="auto"/>
        <w:spacing w:after="760" w:line="290" w:lineRule="auto"/>
        <w:ind w:left="380" w:firstLine="20"/>
        <w:jc w:val="both"/>
      </w:pPr>
      <w:r>
        <w:t xml:space="preserve">Nájemné je splatné převodem na základě faktury vystavené </w:t>
      </w:r>
      <w:r>
        <w:t xml:space="preserve">Pronajímatelem 15. </w:t>
      </w:r>
      <w:r>
        <w:t xml:space="preserve">2. </w:t>
      </w:r>
      <w:r>
        <w:t>2020. Datum uskutečnění zdanitelného plnění bude datum vystavení faktury. Za okamžik uhrazení faktury se považuje datum, kdy byla předmětná částka nájemného připsána na bankovní účet Pronajímatele.</w:t>
      </w:r>
    </w:p>
    <w:p w:rsidR="00C11DE5" w:rsidRDefault="00382341">
      <w:pPr>
        <w:pStyle w:val="Heading410"/>
        <w:keepNext/>
        <w:keepLines/>
        <w:shd w:val="clear" w:color="auto" w:fill="auto"/>
        <w:spacing w:after="0"/>
      </w:pPr>
      <w:bookmarkStart w:id="15" w:name="bookmark14"/>
      <w:bookmarkStart w:id="16" w:name="bookmark15"/>
      <w:r>
        <w:lastRenderedPageBreak/>
        <w:t>IV.</w:t>
      </w:r>
      <w:bookmarkEnd w:id="15"/>
      <w:bookmarkEnd w:id="16"/>
    </w:p>
    <w:p w:rsidR="00C11DE5" w:rsidRDefault="00382341">
      <w:pPr>
        <w:pStyle w:val="Bodytext10"/>
        <w:shd w:val="clear" w:color="auto" w:fill="auto"/>
        <w:spacing w:after="240" w:line="290" w:lineRule="auto"/>
        <w:jc w:val="center"/>
      </w:pPr>
      <w:r>
        <w:t>Doba nájmu</w:t>
      </w:r>
    </w:p>
    <w:p w:rsidR="00C11DE5" w:rsidRDefault="00382341">
      <w:pPr>
        <w:pStyle w:val="Bodytext10"/>
        <w:numPr>
          <w:ilvl w:val="0"/>
          <w:numId w:val="9"/>
        </w:numPr>
        <w:shd w:val="clear" w:color="auto" w:fill="auto"/>
        <w:tabs>
          <w:tab w:val="left" w:pos="358"/>
        </w:tabs>
        <w:spacing w:line="290" w:lineRule="auto"/>
        <w:jc w:val="both"/>
      </w:pPr>
      <w:r>
        <w:t xml:space="preserve">Nájemní smlouva na </w:t>
      </w:r>
      <w:r>
        <w:t>předmět nájmu dle čl. I smlouvy je sjednána na dobu určitou, a to od 4.1. - 2. 3. 2020.</w:t>
      </w:r>
    </w:p>
    <w:p w:rsidR="00C11DE5" w:rsidRDefault="00382341">
      <w:pPr>
        <w:pStyle w:val="Bodytext10"/>
        <w:numPr>
          <w:ilvl w:val="0"/>
          <w:numId w:val="9"/>
        </w:numPr>
        <w:shd w:val="clear" w:color="auto" w:fill="auto"/>
        <w:tabs>
          <w:tab w:val="left" w:pos="358"/>
        </w:tabs>
        <w:spacing w:line="290" w:lineRule="auto"/>
        <w:ind w:left="380" w:hanging="380"/>
        <w:jc w:val="both"/>
      </w:pPr>
      <w:r>
        <w:t>Za Nájemce si vyzvedne a vrátí zpět předmět nájmu kustod jednotlivých orchestrů. Osoby pověřené za Pronajímatele k předání předmětu nájmu a jeho převzetí zpět jsou kust</w:t>
      </w:r>
      <w:r>
        <w:t xml:space="preserve">odi orchestru </w:t>
      </w:r>
      <w:r>
        <w:rPr>
          <w:lang w:val="en-US" w:eastAsia="en-US" w:bidi="en-US"/>
        </w:rPr>
        <w:t xml:space="preserve">ND </w:t>
      </w:r>
      <w:r>
        <w:t xml:space="preserve">a orchestru </w:t>
      </w:r>
      <w:r>
        <w:rPr>
          <w:lang w:val="en-US" w:eastAsia="en-US" w:bidi="en-US"/>
        </w:rPr>
        <w:t>SO.</w:t>
      </w:r>
    </w:p>
    <w:p w:rsidR="00C11DE5" w:rsidRDefault="00382341">
      <w:pPr>
        <w:pStyle w:val="Bodytext10"/>
        <w:numPr>
          <w:ilvl w:val="0"/>
          <w:numId w:val="9"/>
        </w:numPr>
        <w:shd w:val="clear" w:color="auto" w:fill="auto"/>
        <w:tabs>
          <w:tab w:val="left" w:pos="358"/>
        </w:tabs>
        <w:spacing w:line="290" w:lineRule="auto"/>
        <w:ind w:left="380" w:hanging="380"/>
        <w:jc w:val="both"/>
      </w:pPr>
      <w:r>
        <w:t>Nájemce je povinen vrátit pronajatý předmět nájmu do místa, odkud si předmět nájmu vyzvedl, a v takovém stavu, v jakém byl v době, kdy ho převzal, s přihlédnutím k obvyklému opotřebení při řádném užíváni. Nájemce je povinen</w:t>
      </w:r>
      <w:r>
        <w:t xml:space="preserve"> vrátit předmět nájmu Pronajímateli vždy ihned po představení, pro které byl hudební nástroj zapůjčen.</w:t>
      </w:r>
    </w:p>
    <w:p w:rsidR="00C11DE5" w:rsidRDefault="00382341">
      <w:pPr>
        <w:pStyle w:val="Bodytext10"/>
        <w:numPr>
          <w:ilvl w:val="0"/>
          <w:numId w:val="9"/>
        </w:numPr>
        <w:shd w:val="clear" w:color="auto" w:fill="auto"/>
        <w:tabs>
          <w:tab w:val="left" w:pos="358"/>
        </w:tabs>
        <w:spacing w:after="240" w:line="290" w:lineRule="auto"/>
        <w:jc w:val="both"/>
      </w:pPr>
      <w:r>
        <w:t>Smluvní strany mají právo na odstoupení od smlouvy v případě podstatného porušení závazků.</w:t>
      </w:r>
    </w:p>
    <w:p w:rsidR="00C11DE5" w:rsidRDefault="00382341">
      <w:pPr>
        <w:pStyle w:val="Bodytext10"/>
        <w:shd w:val="clear" w:color="auto" w:fill="auto"/>
        <w:spacing w:line="290" w:lineRule="auto"/>
        <w:jc w:val="center"/>
      </w:pPr>
      <w:r>
        <w:rPr>
          <w:b/>
          <w:bCs/>
        </w:rPr>
        <w:t>V.</w:t>
      </w:r>
    </w:p>
    <w:p w:rsidR="00C11DE5" w:rsidRDefault="00382341">
      <w:pPr>
        <w:pStyle w:val="Heading410"/>
        <w:keepNext/>
        <w:keepLines/>
        <w:shd w:val="clear" w:color="auto" w:fill="auto"/>
        <w:spacing w:after="240"/>
      </w:pPr>
      <w:bookmarkStart w:id="17" w:name="bookmark16"/>
      <w:bookmarkStart w:id="18" w:name="bookmark17"/>
      <w:r>
        <w:t>Smluvní pokuty</w:t>
      </w:r>
      <w:bookmarkEnd w:id="17"/>
      <w:bookmarkEnd w:id="18"/>
    </w:p>
    <w:p w:rsidR="00C11DE5" w:rsidRDefault="00382341">
      <w:pPr>
        <w:pStyle w:val="Bodytext10"/>
        <w:numPr>
          <w:ilvl w:val="0"/>
          <w:numId w:val="10"/>
        </w:numPr>
        <w:shd w:val="clear" w:color="auto" w:fill="auto"/>
        <w:tabs>
          <w:tab w:val="left" w:pos="358"/>
        </w:tabs>
        <w:spacing w:line="288" w:lineRule="auto"/>
        <w:ind w:left="380" w:hanging="380"/>
        <w:jc w:val="both"/>
      </w:pPr>
      <w:r>
        <w:t xml:space="preserve">Bude-li Nájemce v prodlení s úhradou </w:t>
      </w:r>
      <w:r>
        <w:t>faktury, bude Pronajímatel účtovat úrok z prodlení ve výši stanovené nařízením vlády č.351/2013 Sb. ve znění platném a účinném ke dni vzniku prodlení s úhradou.</w:t>
      </w:r>
      <w:r>
        <w:br w:type="page"/>
      </w:r>
    </w:p>
    <w:p w:rsidR="00C11DE5" w:rsidRDefault="00382341">
      <w:pPr>
        <w:pStyle w:val="Bodytext10"/>
        <w:shd w:val="clear" w:color="auto" w:fill="auto"/>
        <w:spacing w:line="276" w:lineRule="auto"/>
        <w:jc w:val="right"/>
        <w:rPr>
          <w:sz w:val="19"/>
          <w:szCs w:val="19"/>
        </w:rPr>
      </w:pPr>
      <w:r>
        <w:rPr>
          <w:sz w:val="19"/>
          <w:szCs w:val="19"/>
        </w:rPr>
        <w:lastRenderedPageBreak/>
        <w:t>202-REI-20</w:t>
      </w:r>
    </w:p>
    <w:p w:rsidR="00C11DE5" w:rsidRDefault="00382341">
      <w:pPr>
        <w:pStyle w:val="Bodytext10"/>
        <w:numPr>
          <w:ilvl w:val="0"/>
          <w:numId w:val="10"/>
        </w:numPr>
        <w:shd w:val="clear" w:color="auto" w:fill="auto"/>
        <w:tabs>
          <w:tab w:val="left" w:pos="357"/>
        </w:tabs>
        <w:spacing w:line="290" w:lineRule="auto"/>
        <w:ind w:left="360" w:hanging="360"/>
        <w:jc w:val="both"/>
      </w:pPr>
      <w:r>
        <w:t>V případě ztráty nebo zničení předmětů nájmu se Nájemce zavazuje uhradit Pronajímat</w:t>
      </w:r>
      <w:r>
        <w:t>eli škodu v plné výši ceny hudebního nástroje. V případě poškození předmětů nájmu se nájemce zavazuje zaplatit Pronajímateli náklady, které prokazatelně vynaložil na jeho opravu.</w:t>
      </w:r>
    </w:p>
    <w:p w:rsidR="00C11DE5" w:rsidRDefault="00382341">
      <w:pPr>
        <w:pStyle w:val="Bodytext10"/>
        <w:numPr>
          <w:ilvl w:val="0"/>
          <w:numId w:val="10"/>
        </w:numPr>
        <w:shd w:val="clear" w:color="auto" w:fill="auto"/>
        <w:tabs>
          <w:tab w:val="left" w:pos="357"/>
        </w:tabs>
        <w:spacing w:after="1260" w:line="290" w:lineRule="auto"/>
        <w:ind w:left="360" w:hanging="360"/>
        <w:jc w:val="both"/>
      </w:pPr>
      <w:r>
        <w:t>V případě nedodržení terminu vrácení předmětu nájmu (nebo jeho jednotlivých č</w:t>
      </w:r>
      <w:r>
        <w:t xml:space="preserve">ásti/nástrojů) je Nájemce povinen uhradit Pronajímateli smluvní pokutu ve výši 0,5% z celkové výše nájemného dle čl. </w:t>
      </w:r>
      <w:r>
        <w:rPr>
          <w:lang w:val="en-US" w:eastAsia="en-US" w:bidi="en-US"/>
        </w:rPr>
        <w:t xml:space="preserve">Ill </w:t>
      </w:r>
      <w:r>
        <w:t>této smlouvy za každý den prodlení.</w:t>
      </w:r>
    </w:p>
    <w:p w:rsidR="00C11DE5" w:rsidRDefault="00382341">
      <w:pPr>
        <w:pStyle w:val="Bodytext10"/>
        <w:shd w:val="clear" w:color="auto" w:fill="auto"/>
        <w:jc w:val="center"/>
      </w:pPr>
      <w:r>
        <w:rPr>
          <w:b/>
          <w:bCs/>
        </w:rPr>
        <w:t>VI.</w:t>
      </w:r>
    </w:p>
    <w:p w:rsidR="00C11DE5" w:rsidRDefault="00382341">
      <w:pPr>
        <w:pStyle w:val="Heading410"/>
        <w:keepNext/>
        <w:keepLines/>
        <w:shd w:val="clear" w:color="auto" w:fill="auto"/>
        <w:spacing w:after="240" w:line="293" w:lineRule="auto"/>
      </w:pPr>
      <w:bookmarkStart w:id="19" w:name="bookmark18"/>
      <w:bookmarkStart w:id="20" w:name="bookmark19"/>
      <w:r>
        <w:t>Závěrečná ustanovení</w:t>
      </w:r>
      <w:bookmarkEnd w:id="19"/>
      <w:bookmarkEnd w:id="20"/>
    </w:p>
    <w:p w:rsidR="00C11DE5" w:rsidRDefault="00382341">
      <w:pPr>
        <w:pStyle w:val="Bodytext10"/>
        <w:numPr>
          <w:ilvl w:val="0"/>
          <w:numId w:val="11"/>
        </w:numPr>
        <w:shd w:val="clear" w:color="auto" w:fill="auto"/>
        <w:tabs>
          <w:tab w:val="left" w:pos="357"/>
        </w:tabs>
        <w:ind w:left="360" w:hanging="360"/>
        <w:jc w:val="both"/>
      </w:pPr>
      <w:r>
        <w:t xml:space="preserve">Odpovědnost za nesplnění některého bodu této smlouvy a případný vznik a </w:t>
      </w:r>
      <w:r>
        <w:t>náhrada škody se řídí obecně závaznými předpisy platnými v době porušení povinností.</w:t>
      </w:r>
    </w:p>
    <w:p w:rsidR="00C11DE5" w:rsidRDefault="00382341">
      <w:pPr>
        <w:pStyle w:val="Bodytext10"/>
        <w:numPr>
          <w:ilvl w:val="0"/>
          <w:numId w:val="11"/>
        </w:numPr>
        <w:shd w:val="clear" w:color="auto" w:fill="auto"/>
        <w:tabs>
          <w:tab w:val="left" w:pos="357"/>
        </w:tabs>
        <w:ind w:left="360" w:hanging="360"/>
        <w:jc w:val="both"/>
      </w:pPr>
      <w:r>
        <w:t>Tato smlouva je vyhotovena ve třech stejnopisech, z nichž Pronajímatel obdrží dva originály a Nájemce jeden originál.</w:t>
      </w:r>
    </w:p>
    <w:p w:rsidR="00C11DE5" w:rsidRDefault="00382341">
      <w:pPr>
        <w:pStyle w:val="Bodytext10"/>
        <w:numPr>
          <w:ilvl w:val="0"/>
          <w:numId w:val="11"/>
        </w:numPr>
        <w:shd w:val="clear" w:color="auto" w:fill="auto"/>
        <w:tabs>
          <w:tab w:val="left" w:pos="357"/>
        </w:tabs>
        <w:ind w:left="360" w:hanging="360"/>
        <w:jc w:val="both"/>
      </w:pPr>
      <w:r>
        <w:t>Veškeré změny a dodatky k této smlouvě mohou být sjed</w:t>
      </w:r>
      <w:r>
        <w:t>nány pouze po vzájemné dohodě a to jen písemnou formou.</w:t>
      </w:r>
    </w:p>
    <w:p w:rsidR="00C11DE5" w:rsidRDefault="00382341">
      <w:pPr>
        <w:pStyle w:val="Bodytext10"/>
        <w:numPr>
          <w:ilvl w:val="0"/>
          <w:numId w:val="11"/>
        </w:numPr>
        <w:shd w:val="clear" w:color="auto" w:fill="auto"/>
        <w:tabs>
          <w:tab w:val="left" w:pos="357"/>
        </w:tabs>
        <w:ind w:left="360" w:hanging="360"/>
        <w:jc w:val="both"/>
      </w:pPr>
      <w:r>
        <w:t>Práva a povinnosti vyplývající z této smlouvy se řídí občanským zákoníkem č. 89/2012 Sb. Ustanovení § 2230 občanského zákoníku o obnovení nájemní smlouvy se nepoužije.</w:t>
      </w:r>
    </w:p>
    <w:p w:rsidR="00C11DE5" w:rsidRDefault="00382341">
      <w:pPr>
        <w:pStyle w:val="Bodytext10"/>
        <w:numPr>
          <w:ilvl w:val="0"/>
          <w:numId w:val="11"/>
        </w:numPr>
        <w:shd w:val="clear" w:color="auto" w:fill="auto"/>
        <w:tabs>
          <w:tab w:val="left" w:pos="357"/>
        </w:tabs>
        <w:spacing w:after="760"/>
      </w:pPr>
      <w:r>
        <w:t xml:space="preserve">Tato smlouva nabývá platnosti a </w:t>
      </w:r>
      <w:r>
        <w:t>účinnosti dnem jejího podpisu oběma smluvními stranami.</w:t>
      </w:r>
    </w:p>
    <w:p w:rsidR="00382341" w:rsidRDefault="00382341">
      <w:pPr>
        <w:pStyle w:val="Bodytext10"/>
        <w:shd w:val="clear" w:color="auto" w:fill="auto"/>
        <w:spacing w:after="76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823595</wp:posOffset>
                </wp:positionH>
                <wp:positionV relativeFrom="paragraph">
                  <wp:posOffset>1288415</wp:posOffset>
                </wp:positionV>
                <wp:extent cx="1536065" cy="16446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1DE5" w:rsidRDefault="00C11DE5">
                            <w:pPr>
                              <w:pStyle w:val="Picturecaption1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4.85pt;margin-top:101.45pt;width:120.95pt;height:12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" filled="f" stroked="f">
                <v:textbox inset="0,0,0,0">
                  <w:txbxContent>
                    <w:p w:rsidR="00C11DE5" w:rsidRDefault="00C11DE5">
                      <w:pPr>
                        <w:pStyle w:val="Picturecaption1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4871085</wp:posOffset>
                </wp:positionH>
                <wp:positionV relativeFrom="paragraph">
                  <wp:posOffset>635000</wp:posOffset>
                </wp:positionV>
                <wp:extent cx="734695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1DE5" w:rsidRDefault="00C11DE5">
                            <w:pPr>
                              <w:pStyle w:val="Bodytext1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83.55pt;margin-top:50pt;width:57.85pt;height:15.8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" filled="f" stroked="f">
                <v:textbox inset="0,0,0,0">
                  <w:txbxContent>
                    <w:p w:rsidR="00C11DE5" w:rsidRDefault="00C11DE5">
                      <w:pPr>
                        <w:pStyle w:val="Bodytext1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V Praze dne:</w:t>
      </w:r>
    </w:p>
    <w:p w:rsidR="00382341" w:rsidRDefault="00382341" w:rsidP="00382341">
      <w:pPr>
        <w:pStyle w:val="Bodytext10"/>
        <w:shd w:val="clear" w:color="auto" w:fill="auto"/>
        <w:spacing w:after="760" w:line="240" w:lineRule="auto"/>
        <w:rPr>
          <w:sz w:val="19"/>
          <w:szCs w:val="19"/>
        </w:rPr>
      </w:pPr>
      <w:r>
        <w:t>Nájemce:                                                                                                  Pronajímatel:</w:t>
      </w:r>
    </w:p>
    <w:p w:rsidR="00C11DE5" w:rsidRDefault="00382341" w:rsidP="00382341">
      <w:pPr>
        <w:pStyle w:val="Bodytext10"/>
        <w:shd w:val="clear" w:color="auto" w:fill="auto"/>
        <w:spacing w:before="460" w:line="240" w:lineRule="auto"/>
        <w:ind w:left="218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</w:t>
      </w:r>
    </w:p>
    <w:sectPr w:rsidR="00C11DE5">
      <w:headerReference w:type="default" r:id="rId7"/>
      <w:pgSz w:w="11900" w:h="16840"/>
      <w:pgMar w:top="989" w:right="1455" w:bottom="463" w:left="1297" w:header="0" w:footer="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2341">
      <w:r>
        <w:separator/>
      </w:r>
    </w:p>
  </w:endnote>
  <w:endnote w:type="continuationSeparator" w:id="0">
    <w:p w:rsidR="00000000" w:rsidRDefault="0038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E5" w:rsidRDefault="00C11DE5"/>
  </w:footnote>
  <w:footnote w:type="continuationSeparator" w:id="0">
    <w:p w:rsidR="00C11DE5" w:rsidRDefault="00C11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E5" w:rsidRDefault="0038234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6734810</wp:posOffset>
              </wp:positionH>
              <wp:positionV relativeFrom="page">
                <wp:posOffset>448310</wp:posOffset>
              </wp:positionV>
              <wp:extent cx="618490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1DE5" w:rsidRDefault="00382341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202/011/20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30.29999999999995pt;margin-top:35.299999999999997pt;width:48.700000000000003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202/011/20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0309"/>
    <w:multiLevelType w:val="multilevel"/>
    <w:tmpl w:val="2D5A5AFC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57B88"/>
    <w:multiLevelType w:val="multilevel"/>
    <w:tmpl w:val="BF1C19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46294"/>
    <w:multiLevelType w:val="multilevel"/>
    <w:tmpl w:val="05EEC73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A20AD"/>
    <w:multiLevelType w:val="multilevel"/>
    <w:tmpl w:val="679E7D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14796"/>
    <w:multiLevelType w:val="multilevel"/>
    <w:tmpl w:val="01DEE1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D327C6"/>
    <w:multiLevelType w:val="multilevel"/>
    <w:tmpl w:val="2A9C180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220E0"/>
    <w:multiLevelType w:val="multilevel"/>
    <w:tmpl w:val="EE42E7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FD49C6"/>
    <w:multiLevelType w:val="multilevel"/>
    <w:tmpl w:val="D3E6D2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AA4ED8"/>
    <w:multiLevelType w:val="multilevel"/>
    <w:tmpl w:val="CE8C6CA8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224CFC"/>
    <w:multiLevelType w:val="multilevel"/>
    <w:tmpl w:val="3CD8AF5C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B8104E"/>
    <w:multiLevelType w:val="multilevel"/>
    <w:tmpl w:val="554CDFB2"/>
    <w:lvl w:ilvl="0">
      <w:start w:val="2"/>
      <w:numFmt w:val="decimal"/>
      <w:lvlText w:val="11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E5"/>
    <w:rsid w:val="00382341"/>
    <w:rsid w:val="00C11DE5"/>
    <w:rsid w:val="00E17D72"/>
    <w:rsid w:val="00E8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283F"/>
  <w15:docId w15:val="{A74BC106-EA99-45D9-B5C2-C90E9DCE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line="293" w:lineRule="auto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60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30" w:line="266" w:lineRule="auto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after="120" w:line="290" w:lineRule="auto"/>
      <w:jc w:val="center"/>
      <w:outlineLvl w:val="3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883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Linhartová</dc:creator>
  <cp:keywords/>
  <cp:lastModifiedBy>Linhartová Romana</cp:lastModifiedBy>
  <cp:revision>3</cp:revision>
  <dcterms:created xsi:type="dcterms:W3CDTF">2020-02-06T15:13:00Z</dcterms:created>
  <dcterms:modified xsi:type="dcterms:W3CDTF">2020-02-06T15:34:00Z</dcterms:modified>
</cp:coreProperties>
</file>