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14" w:rsidRPr="00BD172D" w:rsidRDefault="00E62B14" w:rsidP="00081146">
      <w:pPr>
        <w:widowControl w:val="0"/>
        <w:jc w:val="center"/>
        <w:rPr>
          <w:rFonts w:cs="Times New Roman"/>
          <w:b/>
          <w:bCs/>
          <w:sz w:val="36"/>
          <w:szCs w:val="20"/>
        </w:rPr>
      </w:pPr>
      <w:bookmarkStart w:id="0" w:name="_Hlk7198194"/>
    </w:p>
    <w:p w:rsidR="00BD172D" w:rsidRPr="00BD172D" w:rsidRDefault="00762E02" w:rsidP="00081146">
      <w:pPr>
        <w:widowControl w:val="0"/>
        <w:jc w:val="center"/>
        <w:rPr>
          <w:rFonts w:cs="Times New Roman"/>
          <w:b/>
          <w:bCs/>
          <w:sz w:val="36"/>
          <w:szCs w:val="20"/>
        </w:rPr>
      </w:pPr>
      <w:r>
        <w:rPr>
          <w:rFonts w:cs="Times New Roman"/>
          <w:b/>
          <w:bCs/>
          <w:sz w:val="36"/>
          <w:szCs w:val="20"/>
        </w:rPr>
        <w:t>RÁMCOVÁ KUPNÍ SMLOUVA</w:t>
      </w:r>
    </w:p>
    <w:p w:rsidR="00BD172D" w:rsidRPr="00BD172D" w:rsidRDefault="00BD172D" w:rsidP="00081146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:rsidR="0031516A" w:rsidRPr="00BD172D" w:rsidRDefault="0031516A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BD172D">
        <w:rPr>
          <w:rStyle w:val="Heading211pt"/>
          <w:b/>
          <w:sz w:val="20"/>
          <w:szCs w:val="20"/>
          <w:u w:val="none"/>
        </w:rPr>
        <w:t>Smluvní strany</w:t>
      </w:r>
    </w:p>
    <w:p w:rsidR="00401E48" w:rsidRPr="00115679" w:rsidRDefault="00401E48" w:rsidP="00081146">
      <w:pPr>
        <w:widowControl w:val="0"/>
        <w:jc w:val="both"/>
        <w:rPr>
          <w:rFonts w:cs="Times New Roman"/>
          <w:b/>
          <w:bCs/>
          <w:sz w:val="20"/>
          <w:szCs w:val="20"/>
        </w:rPr>
      </w:pPr>
    </w:p>
    <w:p w:rsidR="00E62B14" w:rsidRPr="00BD172D" w:rsidRDefault="00E62B14" w:rsidP="00081146">
      <w:pPr>
        <w:widowControl w:val="0"/>
        <w:spacing w:after="0" w:line="240" w:lineRule="auto"/>
        <w:jc w:val="center"/>
        <w:rPr>
          <w:rFonts w:eastAsia="Times New Roman" w:cs="Tahoma"/>
          <w:b/>
          <w:sz w:val="20"/>
          <w:szCs w:val="20"/>
          <w:lang w:eastAsia="cs-CZ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762E02" w:rsidRPr="00BD172D" w:rsidTr="00E62B14">
        <w:tc>
          <w:tcPr>
            <w:tcW w:w="3168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cs-CZ"/>
              </w:rPr>
              <w:t>Kupující</w:t>
            </w:r>
            <w:r w:rsidRPr="00BD172D">
              <w:rPr>
                <w:rFonts w:eastAsia="Times New Roman" w:cs="Tahoma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00" w:type="dxa"/>
          </w:tcPr>
          <w:p w:rsidR="00762E02" w:rsidRPr="00762E02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cs-CZ"/>
              </w:rPr>
            </w:pPr>
            <w:r w:rsidRPr="00762E02">
              <w:rPr>
                <w:rFonts w:cs="TimesNewRomanPSMT"/>
                <w:b/>
                <w:bCs/>
                <w:sz w:val="20"/>
                <w:szCs w:val="20"/>
              </w:rPr>
              <w:t>Domov U Biřičky</w:t>
            </w:r>
          </w:p>
        </w:tc>
      </w:tr>
      <w:tr w:rsidR="00762E02" w:rsidRPr="00BD172D" w:rsidTr="00E62B14">
        <w:tc>
          <w:tcPr>
            <w:tcW w:w="3168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300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93B72">
              <w:rPr>
                <w:rFonts w:cs="TimesNewRomanPSMT"/>
                <w:bCs/>
                <w:sz w:val="20"/>
                <w:szCs w:val="20"/>
              </w:rPr>
              <w:t>K Biřičce 1240</w:t>
            </w:r>
            <w:r>
              <w:rPr>
                <w:rFonts w:cs="TimesNewRomanPSMT"/>
                <w:bCs/>
                <w:sz w:val="20"/>
                <w:szCs w:val="20"/>
              </w:rPr>
              <w:t>, 500 08 Hradec Králové</w:t>
            </w:r>
          </w:p>
        </w:tc>
      </w:tr>
      <w:tr w:rsidR="00762E02" w:rsidRPr="00BD172D" w:rsidTr="00E62B14">
        <w:tc>
          <w:tcPr>
            <w:tcW w:w="3168" w:type="dxa"/>
            <w:vAlign w:val="center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Zastoupen:</w:t>
            </w:r>
          </w:p>
        </w:tc>
        <w:tc>
          <w:tcPr>
            <w:tcW w:w="6300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93B72">
              <w:rPr>
                <w:rFonts w:cs="TimesNewRomanPSMT"/>
                <w:bCs/>
                <w:sz w:val="20"/>
                <w:szCs w:val="20"/>
              </w:rPr>
              <w:t>Ing. Daniela Lusková, MPA</w:t>
            </w:r>
            <w:r>
              <w:rPr>
                <w:rFonts w:cs="TimesNewRomanPSMT"/>
                <w:bCs/>
                <w:sz w:val="20"/>
                <w:szCs w:val="20"/>
              </w:rPr>
              <w:t>,</w:t>
            </w:r>
            <w:r w:rsidRPr="00BD05E8">
              <w:rPr>
                <w:rFonts w:cs="TimesNewRomanPSMT"/>
                <w:bCs/>
                <w:sz w:val="20"/>
                <w:szCs w:val="20"/>
              </w:rPr>
              <w:t xml:space="preserve"> ředitel</w:t>
            </w:r>
            <w:r>
              <w:rPr>
                <w:rFonts w:cs="TimesNewRomanPSMT"/>
                <w:bCs/>
                <w:sz w:val="20"/>
                <w:szCs w:val="20"/>
              </w:rPr>
              <w:t>ka</w:t>
            </w:r>
          </w:p>
        </w:tc>
      </w:tr>
      <w:tr w:rsidR="00762E02" w:rsidRPr="00BD172D" w:rsidTr="00E62B14">
        <w:trPr>
          <w:trHeight w:val="273"/>
        </w:trPr>
        <w:tc>
          <w:tcPr>
            <w:tcW w:w="3168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300" w:type="dxa"/>
            <w:vAlign w:val="bottom"/>
          </w:tcPr>
          <w:p w:rsidR="00762E02" w:rsidRPr="00BD172D" w:rsidRDefault="00762E02" w:rsidP="00081146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993B72">
              <w:rPr>
                <w:rFonts w:cs="Arial"/>
                <w:bCs/>
                <w:color w:val="000000"/>
                <w:sz w:val="20"/>
                <w:szCs w:val="20"/>
              </w:rPr>
              <w:t>00579033</w:t>
            </w:r>
          </w:p>
        </w:tc>
      </w:tr>
      <w:tr w:rsidR="00762E02" w:rsidRPr="00BD172D" w:rsidTr="00E62B14">
        <w:trPr>
          <w:trHeight w:val="273"/>
        </w:trPr>
        <w:tc>
          <w:tcPr>
            <w:tcW w:w="3168" w:type="dxa"/>
          </w:tcPr>
          <w:p w:rsidR="00762E02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300" w:type="dxa"/>
            <w:vAlign w:val="bottom"/>
          </w:tcPr>
          <w:p w:rsidR="00762E02" w:rsidRPr="00BD172D" w:rsidRDefault="00762E02" w:rsidP="00081146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62E02">
              <w:rPr>
                <w:rFonts w:cs="Arial"/>
                <w:bCs/>
                <w:color w:val="000000"/>
                <w:sz w:val="20"/>
                <w:szCs w:val="20"/>
              </w:rPr>
              <w:t>CZ00579033</w:t>
            </w:r>
          </w:p>
        </w:tc>
      </w:tr>
    </w:tbl>
    <w:p w:rsidR="00E62B14" w:rsidRPr="00BD172D" w:rsidRDefault="00E62B14" w:rsidP="00081146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r w:rsidRPr="00BD172D">
        <w:rPr>
          <w:rFonts w:eastAsia="Times New Roman" w:cs="Tahoma"/>
          <w:sz w:val="20"/>
          <w:szCs w:val="20"/>
          <w:lang w:eastAsia="cs-CZ"/>
        </w:rPr>
        <w:t>(dále jen „</w:t>
      </w:r>
      <w:r w:rsidR="00762E02">
        <w:rPr>
          <w:rFonts w:eastAsia="Times New Roman" w:cs="Tahoma"/>
          <w:b/>
          <w:i/>
          <w:sz w:val="20"/>
          <w:szCs w:val="20"/>
          <w:lang w:eastAsia="cs-CZ"/>
        </w:rPr>
        <w:t>kupující</w:t>
      </w:r>
      <w:r w:rsidRPr="00BD172D">
        <w:rPr>
          <w:rFonts w:eastAsia="Times New Roman" w:cs="Tahoma"/>
          <w:sz w:val="20"/>
          <w:szCs w:val="20"/>
          <w:lang w:eastAsia="cs-CZ"/>
        </w:rPr>
        <w:t>“).</w:t>
      </w:r>
    </w:p>
    <w:p w:rsidR="00E62B14" w:rsidRPr="00BD172D" w:rsidRDefault="00E62B14" w:rsidP="00081146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</w:p>
    <w:p w:rsidR="00E62B14" w:rsidRPr="00BD172D" w:rsidRDefault="00E62B14" w:rsidP="00081146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r w:rsidRPr="00BD172D">
        <w:rPr>
          <w:rFonts w:eastAsia="Times New Roman" w:cs="Tahoma"/>
          <w:sz w:val="20"/>
          <w:szCs w:val="20"/>
          <w:lang w:eastAsia="cs-CZ"/>
        </w:rPr>
        <w:t>a</w:t>
      </w:r>
    </w:p>
    <w:p w:rsidR="00E62B14" w:rsidRPr="00BD172D" w:rsidRDefault="00E62B14" w:rsidP="00081146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b/>
          <w:i/>
          <w:sz w:val="20"/>
          <w:szCs w:val="20"/>
          <w:lang w:eastAsia="cs-CZ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E62B14" w:rsidRPr="00BD172D" w:rsidTr="00E62B14">
        <w:tc>
          <w:tcPr>
            <w:tcW w:w="3168" w:type="dxa"/>
          </w:tcPr>
          <w:p w:rsidR="00E62B14" w:rsidRPr="00BD172D" w:rsidRDefault="00762E02" w:rsidP="00081146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ahoma"/>
                <w:b/>
                <w:sz w:val="20"/>
                <w:szCs w:val="20"/>
                <w:lang w:eastAsia="cs-CZ"/>
              </w:rPr>
              <w:t>Prodávající</w:t>
            </w:r>
            <w:r w:rsidR="00E62B14" w:rsidRPr="00BD172D">
              <w:rPr>
                <w:rFonts w:eastAsia="Times New Roman" w:cs="Tahoma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b/>
                <w:sz w:val="20"/>
                <w:szCs w:val="20"/>
                <w:lang w:eastAsia="cs-CZ"/>
              </w:rPr>
            </w:pPr>
            <w:r w:rsidRPr="006D0D92">
              <w:rPr>
                <w:rFonts w:eastAsia="Times New Roman" w:cs="Tahoma"/>
                <w:b/>
                <w:sz w:val="20"/>
                <w:szCs w:val="20"/>
                <w:lang w:eastAsia="cs-CZ"/>
              </w:rPr>
              <w:t>ING. PETR TRÁVNÍK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Nám. K.V.Raise 16, 507 81 Lázně Bělohrad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45533393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CZ530425014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Zapsán v obch. rejstříku: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zapsaná v OR vedeném KS v Hradci Králové, oddíl A, vložka12384.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618340541/0100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6300" w:type="dxa"/>
          </w:tcPr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highlight w:val="yellow"/>
                <w:lang w:eastAsia="cs-CZ"/>
              </w:rPr>
            </w:pPr>
            <w:r w:rsidRPr="006D0D92">
              <w:rPr>
                <w:rFonts w:eastAsia="Times New Roman" w:cs="Tahoma"/>
                <w:sz w:val="20"/>
                <w:szCs w:val="20"/>
                <w:lang w:eastAsia="cs-CZ"/>
              </w:rPr>
              <w:t>+420 721 519 816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:rsidR="006D0D92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highlight w:val="yellow"/>
                <w:lang w:eastAsia="cs-CZ"/>
              </w:rPr>
            </w:pPr>
          </w:p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0"/>
                <w:szCs w:val="20"/>
                <w:lang w:eastAsia="cs-CZ"/>
              </w:rPr>
              <w:t>Ing. Petr Trávník</w:t>
            </w:r>
          </w:p>
        </w:tc>
      </w:tr>
      <w:tr w:rsidR="00E62B14" w:rsidRPr="00BD172D" w:rsidTr="00E62B14">
        <w:tc>
          <w:tcPr>
            <w:tcW w:w="3168" w:type="dxa"/>
          </w:tcPr>
          <w:p w:rsidR="00E62B14" w:rsidRPr="00BD172D" w:rsidRDefault="00E62B14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BD172D">
              <w:rPr>
                <w:rFonts w:eastAsia="Times New Roman" w:cs="Tahoma"/>
                <w:sz w:val="20"/>
                <w:szCs w:val="20"/>
                <w:lang w:eastAsia="cs-CZ"/>
              </w:rPr>
              <w:t xml:space="preserve">Pověřen k jednání ve věcech technických: </w:t>
            </w:r>
          </w:p>
        </w:tc>
        <w:tc>
          <w:tcPr>
            <w:tcW w:w="6300" w:type="dxa"/>
          </w:tcPr>
          <w:p w:rsidR="006D0D92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0"/>
                <w:szCs w:val="20"/>
                <w:highlight w:val="yellow"/>
                <w:lang w:eastAsia="cs-CZ"/>
              </w:rPr>
            </w:pPr>
          </w:p>
          <w:p w:rsidR="00E62B14" w:rsidRPr="00BD172D" w:rsidRDefault="006D0D92" w:rsidP="00081146">
            <w:pPr>
              <w:widowControl w:val="0"/>
              <w:spacing w:after="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0"/>
                <w:szCs w:val="20"/>
                <w:lang w:eastAsia="cs-CZ"/>
              </w:rPr>
              <w:t>Ing. Ondřej Trávník</w:t>
            </w:r>
          </w:p>
        </w:tc>
      </w:tr>
    </w:tbl>
    <w:p w:rsidR="00E62B14" w:rsidRPr="00BD172D" w:rsidRDefault="00E62B14" w:rsidP="00081146">
      <w:pPr>
        <w:widowControl w:val="0"/>
        <w:tabs>
          <w:tab w:val="left" w:pos="3240"/>
        </w:tabs>
        <w:spacing w:before="120" w:after="0" w:line="240" w:lineRule="auto"/>
        <w:jc w:val="both"/>
        <w:rPr>
          <w:rFonts w:eastAsia="Times New Roman" w:cs="Tahoma"/>
          <w:sz w:val="20"/>
          <w:szCs w:val="20"/>
          <w:lang w:eastAsia="cs-CZ"/>
        </w:rPr>
      </w:pPr>
      <w:r w:rsidRPr="00BD172D">
        <w:rPr>
          <w:rFonts w:eastAsia="Times New Roman" w:cs="Tahoma"/>
          <w:sz w:val="20"/>
          <w:szCs w:val="20"/>
          <w:lang w:eastAsia="cs-CZ"/>
        </w:rPr>
        <w:t>(dále jen „</w:t>
      </w:r>
      <w:r w:rsidR="00762E02">
        <w:rPr>
          <w:rFonts w:eastAsia="Times New Roman" w:cs="Tahoma"/>
          <w:b/>
          <w:i/>
          <w:sz w:val="20"/>
          <w:szCs w:val="20"/>
          <w:lang w:eastAsia="cs-CZ"/>
        </w:rPr>
        <w:t>prodávající</w:t>
      </w:r>
      <w:r w:rsidRPr="00BD172D">
        <w:rPr>
          <w:rFonts w:eastAsia="Times New Roman" w:cs="Tahoma"/>
          <w:sz w:val="20"/>
          <w:szCs w:val="20"/>
          <w:lang w:eastAsia="cs-CZ"/>
        </w:rPr>
        <w:t>“).</w:t>
      </w:r>
    </w:p>
    <w:p w:rsidR="00E62B14" w:rsidRPr="00BD172D" w:rsidRDefault="00E62B14" w:rsidP="00081146">
      <w:pPr>
        <w:widowControl w:val="0"/>
        <w:spacing w:line="276" w:lineRule="auto"/>
        <w:jc w:val="both"/>
        <w:rPr>
          <w:rFonts w:cs="Times New Roman"/>
        </w:rPr>
      </w:pPr>
    </w:p>
    <w:p w:rsidR="002F27A9" w:rsidRPr="00CC58F2" w:rsidRDefault="00BD172D" w:rsidP="00081146">
      <w:pPr>
        <w:pStyle w:val="Odstavecseseznamem"/>
        <w:widowControl w:val="0"/>
        <w:ind w:left="0"/>
        <w:jc w:val="center"/>
        <w:rPr>
          <w:rFonts w:cs="Times New Roman"/>
          <w:b/>
          <w:bCs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se dnešního dne dohodly, že uzavírají tuto </w:t>
      </w:r>
      <w:r w:rsidR="00762E02" w:rsidRPr="00CC58F2">
        <w:rPr>
          <w:rFonts w:cs="Times New Roman"/>
          <w:sz w:val="20"/>
          <w:szCs w:val="20"/>
        </w:rPr>
        <w:t xml:space="preserve">rámcovou kupní </w:t>
      </w:r>
      <w:r w:rsidRPr="00CC58F2">
        <w:rPr>
          <w:rFonts w:cs="Times New Roman"/>
          <w:sz w:val="20"/>
          <w:szCs w:val="20"/>
        </w:rPr>
        <w:t xml:space="preserve">smlouvu </w:t>
      </w:r>
      <w:r w:rsidR="005724FB" w:rsidRPr="00CC58F2">
        <w:rPr>
          <w:rFonts w:cs="Times New Roman"/>
          <w:sz w:val="20"/>
          <w:szCs w:val="20"/>
        </w:rPr>
        <w:t>(dále jen</w:t>
      </w:r>
      <w:r w:rsidRPr="00CC58F2">
        <w:rPr>
          <w:rFonts w:cs="Times New Roman"/>
          <w:sz w:val="20"/>
          <w:szCs w:val="20"/>
        </w:rPr>
        <w:t xml:space="preserve"> „</w:t>
      </w:r>
      <w:r w:rsidRPr="00CC58F2">
        <w:rPr>
          <w:rFonts w:cs="Times New Roman"/>
          <w:b/>
          <w:i/>
          <w:sz w:val="20"/>
          <w:szCs w:val="20"/>
        </w:rPr>
        <w:t>smlouva</w:t>
      </w:r>
      <w:r w:rsidRPr="00CC58F2">
        <w:rPr>
          <w:rFonts w:cs="Times New Roman"/>
          <w:sz w:val="20"/>
          <w:szCs w:val="20"/>
        </w:rPr>
        <w:t>“), za použití ustanovení § 1746 odst. 2 zákona. č. 89/2012 Sb. občanský zákoník, ve znění pozdějších předpisů (dále jen „OZ“), dále ustanovení § 2079 a násl. OZ upravující koupi movité věci</w:t>
      </w:r>
      <w:bookmarkEnd w:id="0"/>
      <w:r w:rsidR="00762E02" w:rsidRPr="00CC58F2">
        <w:rPr>
          <w:rFonts w:cs="Times New Roman"/>
          <w:sz w:val="20"/>
          <w:szCs w:val="20"/>
        </w:rPr>
        <w:t>.</w:t>
      </w:r>
    </w:p>
    <w:p w:rsidR="00BD172D" w:rsidRPr="00CC58F2" w:rsidRDefault="00BD172D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rFonts w:cs="Times New Roman"/>
          <w:b/>
          <w:sz w:val="20"/>
          <w:szCs w:val="20"/>
          <w:u w:val="none"/>
        </w:rPr>
      </w:pPr>
      <w:r w:rsidRPr="00CC58F2">
        <w:rPr>
          <w:rStyle w:val="Heading211pt"/>
          <w:rFonts w:cs="Times New Roman"/>
          <w:b/>
          <w:sz w:val="20"/>
          <w:szCs w:val="20"/>
          <w:u w:val="none"/>
        </w:rPr>
        <w:t>Předmět smlouvy</w:t>
      </w:r>
    </w:p>
    <w:p w:rsidR="00BD172D" w:rsidRPr="00CC58F2" w:rsidRDefault="00BD172D" w:rsidP="00081146">
      <w:pPr>
        <w:pStyle w:val="Heading20"/>
        <w:widowControl w:val="0"/>
        <w:shd w:val="clear" w:color="auto" w:fill="auto"/>
        <w:spacing w:line="240" w:lineRule="auto"/>
        <w:ind w:left="567" w:right="3580" w:firstLine="0"/>
        <w:rPr>
          <w:rFonts w:cs="Times New Roman"/>
          <w:sz w:val="20"/>
          <w:szCs w:val="20"/>
          <w:u w:val="single"/>
        </w:rPr>
      </w:pPr>
    </w:p>
    <w:p w:rsidR="0020489F" w:rsidRDefault="0020489F" w:rsidP="0020489F">
      <w:pPr>
        <w:pStyle w:val="BodyText1"/>
        <w:widowControl w:val="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20489F">
        <w:rPr>
          <w:rFonts w:cs="Times New Roman"/>
          <w:sz w:val="20"/>
          <w:szCs w:val="20"/>
        </w:rPr>
        <w:t>Předmětem této smlouvy je závazek prodávajícího dodat kupujícímu</w:t>
      </w:r>
      <w:r>
        <w:rPr>
          <w:rFonts w:cs="Times New Roman"/>
          <w:sz w:val="20"/>
          <w:szCs w:val="20"/>
        </w:rPr>
        <w:t>:</w:t>
      </w:r>
    </w:p>
    <w:p w:rsidR="0020489F" w:rsidRDefault="0020489F" w:rsidP="0020489F">
      <w:pPr>
        <w:pStyle w:val="BodyText1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993" w:right="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 ks směšovacího zařízení pro přípravu</w:t>
      </w:r>
      <w:r w:rsidRPr="0020489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čistících </w:t>
      </w:r>
      <w:r w:rsidRPr="0020489F">
        <w:rPr>
          <w:rFonts w:cs="Times New Roman"/>
          <w:sz w:val="20"/>
          <w:szCs w:val="20"/>
        </w:rPr>
        <w:t>roztoků na principu podtlak</w:t>
      </w:r>
      <w:r>
        <w:rPr>
          <w:rFonts w:cs="Times New Roman"/>
          <w:sz w:val="20"/>
          <w:szCs w:val="20"/>
        </w:rPr>
        <w:t>u proudící vody (bez elektrické</w:t>
      </w:r>
      <w:r w:rsidRPr="0020489F">
        <w:rPr>
          <w:rFonts w:cs="Times New Roman"/>
          <w:sz w:val="20"/>
          <w:szCs w:val="20"/>
        </w:rPr>
        <w:t xml:space="preserve"> energie)</w:t>
      </w:r>
      <w:r>
        <w:rPr>
          <w:rFonts w:cs="Times New Roman"/>
          <w:sz w:val="20"/>
          <w:szCs w:val="20"/>
        </w:rPr>
        <w:t xml:space="preserve">, a to </w:t>
      </w:r>
      <w:r>
        <w:rPr>
          <w:sz w:val="20"/>
          <w:szCs w:val="20"/>
        </w:rPr>
        <w:t>včetně jejich dopravy do sídla kupujícího, jejich instalace, uvedení do provozu a zaškolení obsluhy;</w:t>
      </w:r>
      <w:r w:rsidRPr="0020489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</w:t>
      </w:r>
      <w:r w:rsidRPr="0020489F">
        <w:rPr>
          <w:rFonts w:cs="Times New Roman"/>
          <w:sz w:val="20"/>
          <w:szCs w:val="20"/>
        </w:rPr>
        <w:t>měšovací zařízení musí umožnit dávkovan</w:t>
      </w:r>
      <w:r w:rsidR="00C80959">
        <w:rPr>
          <w:rFonts w:cs="Times New Roman"/>
          <w:sz w:val="20"/>
          <w:szCs w:val="20"/>
        </w:rPr>
        <w:t>í do aplikační lahve i do vědra; součástí této dodávky je i p</w:t>
      </w:r>
      <w:r w:rsidR="00C80959" w:rsidRPr="0020489F">
        <w:rPr>
          <w:rFonts w:cs="Times New Roman"/>
          <w:sz w:val="20"/>
          <w:szCs w:val="20"/>
        </w:rPr>
        <w:t>ravidelný půlroční servis a kontrola směšovacích zařízení</w:t>
      </w:r>
      <w:r w:rsidR="00C80959">
        <w:rPr>
          <w:rFonts w:cs="Times New Roman"/>
          <w:sz w:val="20"/>
          <w:szCs w:val="20"/>
        </w:rPr>
        <w:t xml:space="preserve"> po dobu záruční doby;</w:t>
      </w:r>
    </w:p>
    <w:p w:rsidR="0020489F" w:rsidRPr="00C80959" w:rsidRDefault="0020489F" w:rsidP="0020489F">
      <w:pPr>
        <w:pStyle w:val="BodyText1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993" w:right="20"/>
        <w:jc w:val="both"/>
        <w:rPr>
          <w:rFonts w:cs="Times New Roman"/>
          <w:sz w:val="20"/>
          <w:szCs w:val="20"/>
        </w:rPr>
      </w:pPr>
      <w:r w:rsidRPr="0020489F">
        <w:rPr>
          <w:rFonts w:cs="Times New Roman"/>
          <w:sz w:val="20"/>
          <w:szCs w:val="20"/>
        </w:rPr>
        <w:t>350 ks lahví s popisem produktu ředěného do lahve</w:t>
      </w:r>
      <w:r>
        <w:rPr>
          <w:rFonts w:cs="Times New Roman"/>
          <w:sz w:val="20"/>
          <w:szCs w:val="20"/>
        </w:rPr>
        <w:t>, o objemu 0,5 litrů</w:t>
      </w:r>
      <w:r w:rsidRPr="0020489F">
        <w:rPr>
          <w:sz w:val="20"/>
          <w:szCs w:val="20"/>
        </w:rPr>
        <w:t xml:space="preserve"> </w:t>
      </w:r>
      <w:r>
        <w:rPr>
          <w:sz w:val="20"/>
          <w:szCs w:val="20"/>
        </w:rPr>
        <w:t>a průměru cca 6 cm a to tak</w:t>
      </w:r>
      <w:r w:rsidRPr="0020489F">
        <w:rPr>
          <w:sz w:val="20"/>
          <w:szCs w:val="20"/>
        </w:rPr>
        <w:t>, aby se dodané lahve vlezly do skřínky úklidového vozíku kupujícího zn. VERMOP SHOPSTER</w:t>
      </w:r>
    </w:p>
    <w:p w:rsidR="00C80959" w:rsidRPr="0020489F" w:rsidRDefault="00C80959" w:rsidP="0020489F">
      <w:pPr>
        <w:pStyle w:val="BodyText1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993" w:right="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dávkovací systém</w:t>
      </w:r>
      <w:r w:rsidRPr="0020489F">
        <w:rPr>
          <w:rFonts w:cs="Times New Roman"/>
          <w:sz w:val="20"/>
          <w:szCs w:val="20"/>
        </w:rPr>
        <w:t xml:space="preserve"> pro myčky nádobí</w:t>
      </w:r>
    </w:p>
    <w:p w:rsidR="0020489F" w:rsidRDefault="0020489F" w:rsidP="0020489F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20489F" w:rsidRDefault="0020489F" w:rsidP="0020489F">
      <w:pPr>
        <w:pStyle w:val="BodyText1"/>
        <w:widowControl w:val="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Kupující se zavazuje za řádně dodaný předmět koupě specifikovaný v odst. 2.1 tohoto článku zaplatit prodávajícímu kupní cenu specifikovanou v čl. III odst. 3.1 této smlouvy.</w:t>
      </w:r>
    </w:p>
    <w:p w:rsidR="0020489F" w:rsidRDefault="0020489F" w:rsidP="0020489F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20489F" w:rsidRPr="00CC58F2" w:rsidRDefault="0020489F" w:rsidP="0020489F">
      <w:pPr>
        <w:pStyle w:val="BodyText1"/>
        <w:widowControl w:val="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se </w:t>
      </w:r>
      <w:r>
        <w:rPr>
          <w:rFonts w:cs="Times New Roman"/>
          <w:sz w:val="20"/>
          <w:szCs w:val="20"/>
        </w:rPr>
        <w:t xml:space="preserve">dále </w:t>
      </w:r>
      <w:r w:rsidRPr="00CC58F2">
        <w:rPr>
          <w:rFonts w:cs="Times New Roman"/>
          <w:sz w:val="20"/>
          <w:szCs w:val="20"/>
        </w:rPr>
        <w:t xml:space="preserve">zavazuje po dobu platnosti této Smlouvy zajišťovat formou dílčího plnění dodávky </w:t>
      </w:r>
      <w:r>
        <w:rPr>
          <w:rFonts w:cs="Times New Roman"/>
          <w:sz w:val="20"/>
          <w:szCs w:val="20"/>
        </w:rPr>
        <w:t>produktů úklidové chemie</w:t>
      </w:r>
      <w:r w:rsidRPr="00CC58F2">
        <w:rPr>
          <w:rFonts w:cs="Times New Roman"/>
          <w:sz w:val="20"/>
          <w:szCs w:val="20"/>
        </w:rPr>
        <w:t xml:space="preserve"> (dále jen „zboží“) specifikovaných v seznamu požadovaného zboží, který je přílohou č. 1 této Smlouvy a umožnit </w:t>
      </w:r>
      <w:r>
        <w:rPr>
          <w:rFonts w:cs="Times New Roman"/>
          <w:sz w:val="20"/>
          <w:szCs w:val="20"/>
        </w:rPr>
        <w:t>kupujícímu</w:t>
      </w:r>
      <w:r w:rsidRPr="00CC58F2">
        <w:rPr>
          <w:rFonts w:cs="Times New Roman"/>
          <w:sz w:val="20"/>
          <w:szCs w:val="20"/>
        </w:rPr>
        <w:t xml:space="preserve"> nabýt vlastnická práva k jednotlivým dodávkám podle této Smlouvy. Uvedené množství zboží je pouze orientační a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má právo objednávat zboží dle aktuální potřeby.</w:t>
      </w:r>
    </w:p>
    <w:p w:rsidR="0020489F" w:rsidRDefault="0020489F" w:rsidP="0020489F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20489F" w:rsidRPr="00CC58F2" w:rsidRDefault="0020489F" w:rsidP="0020489F">
      <w:pPr>
        <w:pStyle w:val="BodyText1"/>
        <w:widowControl w:val="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se zavazuje za řádně dodané zboží</w:t>
      </w:r>
      <w:r>
        <w:rPr>
          <w:rFonts w:cs="Times New Roman"/>
          <w:sz w:val="20"/>
          <w:szCs w:val="20"/>
        </w:rPr>
        <w:t xml:space="preserve"> specifikované v odst. 2.3 tohoto článku</w:t>
      </w:r>
      <w:r w:rsidRPr="00CC58F2">
        <w:rPr>
          <w:rFonts w:cs="Times New Roman"/>
          <w:sz w:val="20"/>
          <w:szCs w:val="20"/>
        </w:rPr>
        <w:t xml:space="preserve"> bez vad uhradit kupní cenu sjednanou </w:t>
      </w:r>
      <w:r>
        <w:rPr>
          <w:rFonts w:cs="Times New Roman"/>
          <w:sz w:val="20"/>
          <w:szCs w:val="20"/>
        </w:rPr>
        <w:t>v čl. III. odst. 3.2 této smlouvy</w:t>
      </w:r>
      <w:r w:rsidRPr="00CC58F2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se zavazuje po dobu platnosti této Smlouvy, odebírat od prodávajícího v rozsahu písemných dílčích objednávek předmětné zboží.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bere na vědomí, že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není povinen uskutečnit ani jednu objednávku.</w:t>
      </w:r>
    </w:p>
    <w:p w:rsidR="0020489F" w:rsidRDefault="0020489F" w:rsidP="0020489F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80959" w:rsidRDefault="00C80959" w:rsidP="00C80959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rámci plnění předmětu této smlouvy se prodávající zavazuje zpracovat na své náklady sanitační plány</w:t>
      </w:r>
      <w:r w:rsidRPr="0020489F">
        <w:rPr>
          <w:rFonts w:cs="Times New Roman"/>
          <w:sz w:val="20"/>
          <w:szCs w:val="20"/>
        </w:rPr>
        <w:t xml:space="preserve"> pro všechny provozy</w:t>
      </w:r>
      <w:r>
        <w:rPr>
          <w:rFonts w:cs="Times New Roman"/>
          <w:sz w:val="20"/>
          <w:szCs w:val="20"/>
        </w:rPr>
        <w:t xml:space="preserve"> kupujícího.</w:t>
      </w:r>
    </w:p>
    <w:p w:rsidR="00CC58F2" w:rsidRPr="00CC58F2" w:rsidRDefault="00CC58F2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Smluvní cena</w:t>
      </w:r>
    </w:p>
    <w:p w:rsidR="00BD172D" w:rsidRPr="00CC58F2" w:rsidRDefault="00BD172D" w:rsidP="00081146">
      <w:pPr>
        <w:pStyle w:val="BodyText1"/>
        <w:widowControl w:val="0"/>
        <w:shd w:val="clear" w:color="auto" w:fill="auto"/>
        <w:spacing w:line="240" w:lineRule="auto"/>
        <w:ind w:firstLine="0"/>
        <w:jc w:val="both"/>
        <w:rPr>
          <w:rFonts w:cs="Times New Roman"/>
          <w:sz w:val="20"/>
          <w:szCs w:val="20"/>
        </w:rPr>
      </w:pPr>
    </w:p>
    <w:p w:rsidR="00C80959" w:rsidRPr="00C80959" w:rsidRDefault="00C80959" w:rsidP="00C80959">
      <w:pPr>
        <w:pStyle w:val="BodyText1"/>
        <w:widowControl w:val="0"/>
        <w:numPr>
          <w:ilvl w:val="1"/>
          <w:numId w:val="16"/>
        </w:numPr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80959">
        <w:rPr>
          <w:rFonts w:cs="Times New Roman"/>
          <w:sz w:val="20"/>
          <w:szCs w:val="20"/>
        </w:rPr>
        <w:t xml:space="preserve">Strany této smlouvy se dohodly, že cena předmětu koupě </w:t>
      </w:r>
      <w:r>
        <w:rPr>
          <w:rFonts w:cs="Times New Roman"/>
          <w:sz w:val="20"/>
          <w:szCs w:val="20"/>
        </w:rPr>
        <w:t xml:space="preserve">specifikovaného v čl. II odst. 2.1 této smlouvy </w:t>
      </w:r>
      <w:r w:rsidRPr="00C80959">
        <w:rPr>
          <w:rFonts w:cs="Times New Roman"/>
          <w:sz w:val="20"/>
          <w:szCs w:val="20"/>
        </w:rPr>
        <w:t>činí:</w:t>
      </w:r>
      <w:r w:rsidRPr="00C80959">
        <w:rPr>
          <w:rFonts w:cs="Times New Roman"/>
          <w:sz w:val="20"/>
          <w:szCs w:val="20"/>
        </w:rPr>
        <w:tab/>
      </w:r>
    </w:p>
    <w:p w:rsidR="00C80959" w:rsidRPr="002009EE" w:rsidRDefault="00C80959" w:rsidP="00C80959">
      <w:pPr>
        <w:pStyle w:val="Odstavecseseznamem"/>
        <w:spacing w:line="276" w:lineRule="auto"/>
        <w:ind w:left="567"/>
        <w:jc w:val="both"/>
        <w:rPr>
          <w:rFonts w:ascii="Calibri" w:hAnsi="Calibri" w:cs="Tahoma"/>
          <w:b/>
          <w:sz w:val="20"/>
          <w:szCs w:val="20"/>
        </w:rPr>
      </w:pPr>
      <w:r w:rsidRPr="002009EE">
        <w:rPr>
          <w:rFonts w:ascii="Calibri" w:hAnsi="Calibri" w:cs="Tahoma"/>
          <w:b/>
          <w:sz w:val="20"/>
          <w:szCs w:val="20"/>
        </w:rPr>
        <w:t xml:space="preserve">Cena bez DPH: </w:t>
      </w:r>
      <w:r w:rsidRPr="002009EE">
        <w:rPr>
          <w:rFonts w:ascii="Calibri" w:hAnsi="Calibri" w:cs="Tahoma"/>
          <w:b/>
          <w:sz w:val="20"/>
          <w:szCs w:val="20"/>
        </w:rPr>
        <w:tab/>
      </w:r>
      <w:r w:rsidRPr="002009EE">
        <w:rPr>
          <w:rFonts w:ascii="Calibri" w:hAnsi="Calibri" w:cs="Tahoma"/>
          <w:b/>
          <w:sz w:val="20"/>
          <w:szCs w:val="20"/>
        </w:rPr>
        <w:tab/>
      </w:r>
      <w:r w:rsidR="006D0D92">
        <w:rPr>
          <w:rFonts w:ascii="Calibri" w:hAnsi="Calibri" w:cs="Tahoma"/>
          <w:b/>
          <w:sz w:val="20"/>
          <w:szCs w:val="20"/>
        </w:rPr>
        <w:t>350,00</w:t>
      </w:r>
      <w:r w:rsidRPr="002009EE">
        <w:rPr>
          <w:rFonts w:ascii="Calibri" w:hAnsi="Calibri" w:cs="Tahoma"/>
          <w:b/>
          <w:sz w:val="20"/>
          <w:szCs w:val="20"/>
        </w:rPr>
        <w:t xml:space="preserve"> Kč,</w:t>
      </w:r>
    </w:p>
    <w:p w:rsidR="00C80959" w:rsidRPr="002009EE" w:rsidRDefault="00C80959" w:rsidP="00C80959">
      <w:pPr>
        <w:pStyle w:val="Odstavecseseznamem"/>
        <w:spacing w:line="276" w:lineRule="auto"/>
        <w:ind w:left="567"/>
        <w:jc w:val="both"/>
        <w:rPr>
          <w:rFonts w:ascii="Calibri" w:hAnsi="Calibri" w:cs="Tahoma"/>
          <w:b/>
          <w:sz w:val="20"/>
          <w:szCs w:val="20"/>
        </w:rPr>
      </w:pPr>
      <w:r w:rsidRPr="002009EE">
        <w:rPr>
          <w:rFonts w:ascii="Calibri" w:hAnsi="Calibri" w:cs="Tahoma"/>
          <w:b/>
          <w:sz w:val="20"/>
          <w:szCs w:val="20"/>
        </w:rPr>
        <w:t xml:space="preserve">DPH: </w:t>
      </w:r>
      <w:r w:rsidRPr="002009EE">
        <w:rPr>
          <w:rFonts w:ascii="Calibri" w:hAnsi="Calibri" w:cs="Tahoma"/>
          <w:b/>
          <w:sz w:val="20"/>
          <w:szCs w:val="20"/>
        </w:rPr>
        <w:tab/>
      </w:r>
      <w:r w:rsidRPr="002009EE">
        <w:rPr>
          <w:rFonts w:ascii="Calibri" w:hAnsi="Calibri" w:cs="Tahoma"/>
          <w:b/>
          <w:sz w:val="20"/>
          <w:szCs w:val="20"/>
        </w:rPr>
        <w:tab/>
      </w:r>
      <w:r w:rsidRPr="002009EE">
        <w:rPr>
          <w:rFonts w:ascii="Calibri" w:hAnsi="Calibri" w:cs="Tahoma"/>
          <w:b/>
          <w:sz w:val="20"/>
          <w:szCs w:val="20"/>
        </w:rPr>
        <w:tab/>
      </w:r>
      <w:r w:rsidR="006D0D92">
        <w:rPr>
          <w:rFonts w:ascii="Calibri" w:hAnsi="Calibri" w:cs="Tahoma"/>
          <w:b/>
          <w:sz w:val="20"/>
          <w:szCs w:val="20"/>
        </w:rPr>
        <w:t>73,50</w:t>
      </w:r>
      <w:r w:rsidRPr="002009EE">
        <w:rPr>
          <w:rFonts w:ascii="Calibri" w:hAnsi="Calibri" w:cs="Tahoma"/>
          <w:b/>
          <w:sz w:val="20"/>
          <w:szCs w:val="20"/>
        </w:rPr>
        <w:t xml:space="preserve"> Kč,</w:t>
      </w:r>
    </w:p>
    <w:p w:rsidR="00C80959" w:rsidRPr="002009EE" w:rsidRDefault="00C80959" w:rsidP="00C80959">
      <w:pPr>
        <w:pStyle w:val="Odstavecseseznamem"/>
        <w:spacing w:line="276" w:lineRule="auto"/>
        <w:ind w:left="567"/>
        <w:jc w:val="both"/>
        <w:rPr>
          <w:rFonts w:ascii="Calibri" w:hAnsi="Calibri" w:cs="Tahoma"/>
          <w:bCs/>
          <w:sz w:val="20"/>
          <w:szCs w:val="20"/>
        </w:rPr>
      </w:pPr>
      <w:r w:rsidRPr="002009EE">
        <w:rPr>
          <w:rFonts w:ascii="Calibri" w:hAnsi="Calibri" w:cs="Tahoma"/>
          <w:b/>
          <w:bCs/>
          <w:sz w:val="20"/>
          <w:szCs w:val="20"/>
        </w:rPr>
        <w:t xml:space="preserve">Cena včetně DPH: </w:t>
      </w:r>
      <w:r w:rsidRPr="002009EE">
        <w:rPr>
          <w:rFonts w:ascii="Calibri" w:hAnsi="Calibri" w:cs="Tahoma"/>
          <w:b/>
          <w:bCs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  <w:r w:rsidR="006D0D92">
        <w:rPr>
          <w:rFonts w:ascii="Calibri" w:hAnsi="Calibri" w:cs="Tahoma"/>
          <w:b/>
          <w:sz w:val="20"/>
          <w:szCs w:val="20"/>
        </w:rPr>
        <w:t>423,50</w:t>
      </w:r>
      <w:r w:rsidRPr="002009EE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6D0D92">
        <w:rPr>
          <w:rFonts w:ascii="Calibri" w:hAnsi="Calibri" w:cs="Tahoma"/>
          <w:b/>
          <w:bCs/>
          <w:sz w:val="20"/>
          <w:szCs w:val="20"/>
        </w:rPr>
        <w:t>Kč.</w:t>
      </w:r>
    </w:p>
    <w:p w:rsidR="00CC58F2" w:rsidRPr="00CC58F2" w:rsidRDefault="00C80959" w:rsidP="00CC58F2">
      <w:pPr>
        <w:pStyle w:val="BodyText1"/>
        <w:widowControl w:val="0"/>
        <w:numPr>
          <w:ilvl w:val="1"/>
          <w:numId w:val="16"/>
        </w:numPr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rámci kupní ceny za plnění dle čl. II odst. 2.2 této smlouvy se smluvní strany dohodly tak, že j</w:t>
      </w:r>
      <w:r w:rsidR="00CC58F2" w:rsidRPr="00CC58F2">
        <w:rPr>
          <w:rFonts w:cs="Times New Roman"/>
          <w:sz w:val="20"/>
          <w:szCs w:val="20"/>
        </w:rPr>
        <w:t>ednotkové ceny pro účely dílčích objednávek sjednan</w:t>
      </w:r>
      <w:r>
        <w:rPr>
          <w:rFonts w:cs="Times New Roman"/>
          <w:sz w:val="20"/>
          <w:szCs w:val="20"/>
        </w:rPr>
        <w:t xml:space="preserve">ých smluvními stranami, </w:t>
      </w:r>
      <w:r w:rsidR="00CC58F2" w:rsidRPr="00CC58F2">
        <w:rPr>
          <w:rFonts w:cs="Times New Roman"/>
          <w:sz w:val="20"/>
          <w:szCs w:val="20"/>
        </w:rPr>
        <w:t xml:space="preserve">jsou uvedeny v příloze č. 1 této Smlouvy. Smluvní strany berou na vědomí, že předpokládané množství zboží uvedené v příloze č. 1 je nezávazné a pouze orientační pro účely zadání veřejné zakázky na dodávky zboží. </w:t>
      </w:r>
    </w:p>
    <w:p w:rsidR="00CC58F2" w:rsidRPr="00CC58F2" w:rsidRDefault="00CC58F2" w:rsidP="00CC58F2">
      <w:pPr>
        <w:pStyle w:val="BodyText1"/>
        <w:widowControl w:val="0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CC58F2">
      <w:pPr>
        <w:pStyle w:val="BodyText1"/>
        <w:widowControl w:val="0"/>
        <w:numPr>
          <w:ilvl w:val="1"/>
          <w:numId w:val="16"/>
        </w:numPr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Cena zboží dohodnutá dle této Smlouvy je platná, nejvýše přípustná a nepřekročitelná po celou dobu platnosti této smlouvy a zahrnuje veškeré náklady </w:t>
      </w:r>
      <w:r>
        <w:rPr>
          <w:rFonts w:cs="Times New Roman"/>
          <w:sz w:val="20"/>
          <w:szCs w:val="20"/>
        </w:rPr>
        <w:t>prodávajícího</w:t>
      </w:r>
      <w:r w:rsidRPr="00CC58F2">
        <w:rPr>
          <w:rFonts w:cs="Times New Roman"/>
          <w:sz w:val="20"/>
          <w:szCs w:val="20"/>
        </w:rPr>
        <w:t xml:space="preserve"> s dodávkou na místo určení a může být měněna jen v případě změny sazby DPH nebo v případě změny sazeb zákonných poplatků. Cena bude pro tento případ upravena písemným dodatkem k této Smlouvě.</w:t>
      </w:r>
    </w:p>
    <w:p w:rsidR="00CC58F2" w:rsidRPr="00CC58F2" w:rsidRDefault="00CC58F2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BD172D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  <w:bookmarkStart w:id="1" w:name="bookmark4"/>
    </w:p>
    <w:bookmarkEnd w:id="1"/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Dodací podmínky a platební podmínky</w:t>
      </w:r>
    </w:p>
    <w:p w:rsidR="00025A5C" w:rsidRPr="00CC58F2" w:rsidRDefault="00025A5C" w:rsidP="00081146">
      <w:pPr>
        <w:pStyle w:val="Heading20"/>
        <w:widowControl w:val="0"/>
        <w:shd w:val="clear" w:color="auto" w:fill="auto"/>
        <w:spacing w:line="240" w:lineRule="auto"/>
        <w:ind w:firstLine="0"/>
        <w:rPr>
          <w:b/>
          <w:sz w:val="20"/>
          <w:szCs w:val="20"/>
          <w:shd w:val="clear" w:color="auto" w:fill="FFFFFF"/>
        </w:rPr>
      </w:pPr>
    </w:p>
    <w:p w:rsidR="00BD172D" w:rsidRPr="00C80959" w:rsidRDefault="00CC58F2" w:rsidP="006D0D9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Dílčí objednávky zboží budou prováděny prostřednictvím elektronické pošty na adresu: </w:t>
      </w:r>
      <w:r w:rsidR="006D0D92" w:rsidRPr="006D0D92">
        <w:rPr>
          <w:rFonts w:cs="Times New Roman"/>
          <w:b/>
          <w:sz w:val="20"/>
          <w:szCs w:val="20"/>
        </w:rPr>
        <w:t>objednavky@itravnik.cz</w:t>
      </w:r>
    </w:p>
    <w:p w:rsidR="00C80959" w:rsidRPr="00CC58F2" w:rsidRDefault="00C80959" w:rsidP="00C80959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>Místo plnění: Domov U Biřičky, K Biřičce 1240, 500 08 Hradec Králové.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sz w:val="20"/>
          <w:szCs w:val="20"/>
        </w:rPr>
      </w:pPr>
      <w:r w:rsidRPr="00CC58F2">
        <w:rPr>
          <w:rFonts w:cs="Times New Roman"/>
          <w:sz w:val="20"/>
          <w:szCs w:val="20"/>
        </w:rPr>
        <w:t>Zboží</w:t>
      </w:r>
      <w:r w:rsidRPr="00CC58F2">
        <w:rPr>
          <w:sz w:val="20"/>
          <w:szCs w:val="20"/>
        </w:rPr>
        <w:t xml:space="preserve"> se považuje za dodané jeho protokolárním převzetím </w:t>
      </w:r>
      <w:r>
        <w:rPr>
          <w:sz w:val="20"/>
          <w:szCs w:val="20"/>
        </w:rPr>
        <w:t>kupujícím</w:t>
      </w:r>
      <w:r w:rsidRPr="00CC58F2">
        <w:rPr>
          <w:sz w:val="20"/>
          <w:szCs w:val="20"/>
        </w:rPr>
        <w:t>. Se zbožím bude předán dodací list</w:t>
      </w:r>
      <w:r w:rsidR="0020489F">
        <w:rPr>
          <w:sz w:val="20"/>
          <w:szCs w:val="20"/>
        </w:rPr>
        <w:t xml:space="preserve"> a na dezinfekční prostředky i bezpečnostní list</w:t>
      </w:r>
      <w:r w:rsidRPr="00CC58F2">
        <w:rPr>
          <w:sz w:val="20"/>
          <w:szCs w:val="20"/>
        </w:rPr>
        <w:t xml:space="preserve"> a další doklady, které jsou nutné k převzetí a k užívání zboží a doklady stanovené obecně závaznými předpisy, případně doklad, stanovený dílčí objednávkou.</w:t>
      </w:r>
      <w:r w:rsidR="0020489F">
        <w:rPr>
          <w:sz w:val="20"/>
          <w:szCs w:val="20"/>
        </w:rPr>
        <w:t xml:space="preserve"> Tam kde je to relevantní, je prodávající</w:t>
      </w:r>
      <w:r w:rsidR="00C80959">
        <w:rPr>
          <w:sz w:val="20"/>
          <w:szCs w:val="20"/>
        </w:rPr>
        <w:t xml:space="preserve"> povinen</w:t>
      </w:r>
      <w:r w:rsidR="0020489F">
        <w:rPr>
          <w:sz w:val="20"/>
          <w:szCs w:val="20"/>
        </w:rPr>
        <w:t xml:space="preserve"> zpracovat</w:t>
      </w:r>
      <w:r w:rsidR="00C80959">
        <w:rPr>
          <w:rFonts w:cs="Times New Roman"/>
          <w:sz w:val="20"/>
          <w:szCs w:val="20"/>
        </w:rPr>
        <w:t xml:space="preserve"> doklad</w:t>
      </w:r>
      <w:r w:rsidR="0020489F" w:rsidRPr="0020489F">
        <w:rPr>
          <w:rFonts w:cs="Times New Roman"/>
          <w:sz w:val="20"/>
          <w:szCs w:val="20"/>
        </w:rPr>
        <w:t xml:space="preserve"> o nakládání s nebez</w:t>
      </w:r>
      <w:r w:rsidR="00C80959">
        <w:rPr>
          <w:rFonts w:cs="Times New Roman"/>
          <w:sz w:val="20"/>
          <w:szCs w:val="20"/>
        </w:rPr>
        <w:t>p</w:t>
      </w:r>
      <w:r w:rsidR="0020489F" w:rsidRPr="0020489F">
        <w:rPr>
          <w:rFonts w:cs="Times New Roman"/>
          <w:sz w:val="20"/>
          <w:szCs w:val="20"/>
        </w:rPr>
        <w:t>ečnou látkou dle H314</w:t>
      </w:r>
      <w:r w:rsidR="0020489F">
        <w:rPr>
          <w:rFonts w:cs="Times New Roman"/>
          <w:sz w:val="20"/>
          <w:szCs w:val="20"/>
        </w:rPr>
        <w:t>.</w:t>
      </w:r>
      <w:r w:rsidR="00C80959">
        <w:rPr>
          <w:rFonts w:cs="Times New Roman"/>
          <w:sz w:val="20"/>
          <w:szCs w:val="20"/>
        </w:rPr>
        <w:t xml:space="preserve"> Prodávající je rovněž povinen b</w:t>
      </w:r>
      <w:r w:rsidR="00C80959" w:rsidRPr="0020489F">
        <w:rPr>
          <w:rFonts w:cs="Times New Roman"/>
          <w:sz w:val="20"/>
          <w:szCs w:val="20"/>
        </w:rPr>
        <w:t xml:space="preserve">arevné </w:t>
      </w:r>
      <w:r w:rsidR="00C80959">
        <w:rPr>
          <w:rFonts w:cs="Times New Roman"/>
          <w:sz w:val="20"/>
          <w:szCs w:val="20"/>
        </w:rPr>
        <w:t>klíčovat dodávané zboží</w:t>
      </w:r>
      <w:r w:rsidR="00C80959" w:rsidRPr="0020489F">
        <w:rPr>
          <w:rFonts w:cs="Times New Roman"/>
          <w:sz w:val="20"/>
          <w:szCs w:val="20"/>
        </w:rPr>
        <w:t xml:space="preserve"> produktů s ohledem n</w:t>
      </w:r>
      <w:r w:rsidR="00C80959">
        <w:rPr>
          <w:rFonts w:cs="Times New Roman"/>
          <w:sz w:val="20"/>
          <w:szCs w:val="20"/>
        </w:rPr>
        <w:t>a jejich použití a další ředění.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sz w:val="20"/>
          <w:szCs w:val="20"/>
        </w:rPr>
      </w:pPr>
    </w:p>
    <w:p w:rsidR="00C80959" w:rsidRDefault="00C80959" w:rsidP="00CC58F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Maximální dodací lhůta pro dodávku specifikovanou v čl. II odst. 2.1 této smlouvy</w:t>
      </w:r>
      <w:r w:rsidRPr="00C80959">
        <w:rPr>
          <w:rFonts w:cs="Times New Roman"/>
          <w:sz w:val="20"/>
          <w:szCs w:val="20"/>
        </w:rPr>
        <w:t xml:space="preserve"> </w:t>
      </w:r>
      <w:r w:rsidRPr="00CC58F2">
        <w:rPr>
          <w:rFonts w:cs="Times New Roman"/>
          <w:sz w:val="20"/>
          <w:szCs w:val="20"/>
        </w:rPr>
        <w:t xml:space="preserve">činí </w:t>
      </w:r>
      <w:r>
        <w:rPr>
          <w:rFonts w:cs="Times New Roman"/>
          <w:sz w:val="20"/>
          <w:szCs w:val="20"/>
        </w:rPr>
        <w:t>14</w:t>
      </w:r>
      <w:r w:rsidRPr="00CC58F2">
        <w:rPr>
          <w:rFonts w:cs="Times New Roman"/>
          <w:sz w:val="20"/>
          <w:szCs w:val="20"/>
        </w:rPr>
        <w:t xml:space="preserve"> dní od </w:t>
      </w:r>
      <w:r>
        <w:rPr>
          <w:rFonts w:cs="Times New Roman"/>
          <w:sz w:val="20"/>
          <w:szCs w:val="20"/>
        </w:rPr>
        <w:t>účinnosti této smlouvy, nebude-li mezi stranami sjednáno jinak.</w:t>
      </w:r>
    </w:p>
    <w:p w:rsidR="00C80959" w:rsidRDefault="00C80959" w:rsidP="00C80959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Default="00CC58F2" w:rsidP="00CC58F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Maximální dodací lhůta pro dílčí objednávky </w:t>
      </w:r>
      <w:r w:rsidR="00C80959">
        <w:rPr>
          <w:rFonts w:cs="Times New Roman"/>
          <w:sz w:val="20"/>
          <w:szCs w:val="20"/>
        </w:rPr>
        <w:t xml:space="preserve">dle čl. II odst. 2.2 této smlouvy </w:t>
      </w:r>
      <w:r w:rsidRPr="00CC58F2">
        <w:rPr>
          <w:rFonts w:cs="Times New Roman"/>
          <w:sz w:val="20"/>
          <w:szCs w:val="20"/>
        </w:rPr>
        <w:t xml:space="preserve">činí </w:t>
      </w:r>
      <w:r w:rsidR="00C80959">
        <w:rPr>
          <w:rFonts w:cs="Times New Roman"/>
          <w:sz w:val="20"/>
          <w:szCs w:val="20"/>
        </w:rPr>
        <w:t>14</w:t>
      </w:r>
      <w:r w:rsidRPr="00CC58F2">
        <w:rPr>
          <w:rFonts w:cs="Times New Roman"/>
          <w:sz w:val="20"/>
          <w:szCs w:val="20"/>
        </w:rPr>
        <w:t xml:space="preserve"> dní od jejího doručení </w:t>
      </w:r>
      <w:r>
        <w:rPr>
          <w:rFonts w:cs="Times New Roman"/>
          <w:sz w:val="20"/>
          <w:szCs w:val="20"/>
        </w:rPr>
        <w:t>prodávajícímu</w:t>
      </w:r>
      <w:r w:rsidR="00C80959">
        <w:rPr>
          <w:rFonts w:cs="Times New Roman"/>
          <w:sz w:val="20"/>
          <w:szCs w:val="20"/>
        </w:rPr>
        <w:t>, nebude-li v jednotlivých objednávkách stanoveno jinak.</w:t>
      </w:r>
      <w:r w:rsidRPr="00CC58F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avizuje předání oprávněné osobě </w:t>
      </w:r>
      <w:r>
        <w:rPr>
          <w:rFonts w:cs="Times New Roman"/>
          <w:sz w:val="20"/>
          <w:szCs w:val="20"/>
        </w:rPr>
        <w:t>kupujícího</w:t>
      </w:r>
      <w:r w:rsidRPr="00CC58F2">
        <w:rPr>
          <w:rFonts w:cs="Times New Roman"/>
          <w:sz w:val="20"/>
          <w:szCs w:val="20"/>
        </w:rPr>
        <w:t xml:space="preserve"> nejpozději 24 hodin před jeho uskutečněním.</w:t>
      </w:r>
    </w:p>
    <w:p w:rsidR="00C80959" w:rsidRDefault="00C80959" w:rsidP="00C80959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80959" w:rsidRDefault="00C80959" w:rsidP="00C80959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20489F">
        <w:rPr>
          <w:rFonts w:cs="Times New Roman"/>
          <w:sz w:val="20"/>
          <w:szCs w:val="20"/>
        </w:rPr>
        <w:t xml:space="preserve">U přípravků označených </w:t>
      </w:r>
      <w:r>
        <w:rPr>
          <w:rFonts w:cs="Times New Roman"/>
          <w:sz w:val="20"/>
          <w:szCs w:val="20"/>
        </w:rPr>
        <w:t xml:space="preserve">v příloze č. 1 této smlouvy </w:t>
      </w:r>
      <w:r w:rsidRPr="0020489F">
        <w:rPr>
          <w:rFonts w:cs="Times New Roman"/>
          <w:sz w:val="20"/>
          <w:szCs w:val="20"/>
        </w:rPr>
        <w:t>červeně</w:t>
      </w:r>
      <w:r>
        <w:rPr>
          <w:rFonts w:cs="Times New Roman"/>
          <w:sz w:val="20"/>
          <w:szCs w:val="20"/>
        </w:rPr>
        <w:t>,</w:t>
      </w:r>
      <w:r w:rsidRPr="0020489F">
        <w:rPr>
          <w:rFonts w:cs="Times New Roman"/>
          <w:sz w:val="20"/>
          <w:szCs w:val="20"/>
        </w:rPr>
        <w:t xml:space="preserve"> musí být produkt klasifikován jako bezpečný dle CPL</w:t>
      </w:r>
      <w:r>
        <w:rPr>
          <w:rFonts w:cs="Times New Roman"/>
          <w:sz w:val="20"/>
          <w:szCs w:val="20"/>
        </w:rPr>
        <w:t>.</w:t>
      </w:r>
    </w:p>
    <w:p w:rsidR="00C80959" w:rsidRDefault="00C80959" w:rsidP="00C80959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6D0D92" w:rsidRPr="00CC58F2" w:rsidRDefault="006D0D92" w:rsidP="00C80959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rFonts w:cs="Times New Roman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Přechod vlastnictví ke zboží a nebezpečí škody na věci</w:t>
      </w:r>
    </w:p>
    <w:p w:rsidR="00BD172D" w:rsidRPr="00CC58F2" w:rsidRDefault="00BD172D" w:rsidP="00081146">
      <w:pPr>
        <w:pStyle w:val="BodyText1"/>
        <w:widowControl w:val="0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CC58F2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Vlastnictví a nebezpečí škody na zboží přechází na </w:t>
      </w:r>
      <w:r>
        <w:rPr>
          <w:rFonts w:cs="Times New Roman"/>
          <w:sz w:val="20"/>
          <w:szCs w:val="20"/>
        </w:rPr>
        <w:t>kupujícího</w:t>
      </w:r>
      <w:r w:rsidRPr="00CC58F2">
        <w:rPr>
          <w:rFonts w:cs="Times New Roman"/>
          <w:sz w:val="20"/>
          <w:szCs w:val="20"/>
        </w:rPr>
        <w:t xml:space="preserve"> podepsáním protokolu o převzetí zboží při jeho faktickém předání.</w:t>
      </w:r>
    </w:p>
    <w:p w:rsidR="00025A5C" w:rsidRPr="00CC58F2" w:rsidRDefault="00025A5C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rFonts w:cs="Times New Roman"/>
          <w:sz w:val="20"/>
          <w:szCs w:val="20"/>
        </w:rPr>
      </w:pPr>
      <w:bookmarkStart w:id="2" w:name="bookmark7"/>
      <w:r w:rsidRPr="00CC58F2">
        <w:rPr>
          <w:rStyle w:val="Heading211pt"/>
          <w:b/>
          <w:sz w:val="20"/>
          <w:szCs w:val="20"/>
          <w:u w:val="none"/>
        </w:rPr>
        <w:t>Platební</w:t>
      </w:r>
      <w:r w:rsidR="00BD172D" w:rsidRPr="00CC58F2">
        <w:rPr>
          <w:rStyle w:val="Heading211pt"/>
          <w:b/>
          <w:sz w:val="20"/>
          <w:szCs w:val="20"/>
          <w:u w:val="none"/>
        </w:rPr>
        <w:t xml:space="preserve"> podmínky</w:t>
      </w:r>
      <w:bookmarkEnd w:id="2"/>
    </w:p>
    <w:p w:rsidR="00BD172D" w:rsidRPr="00CC58F2" w:rsidRDefault="00BD172D" w:rsidP="00081146">
      <w:pPr>
        <w:pStyle w:val="BodyText1"/>
        <w:widowControl w:val="0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Prodávající</w:t>
      </w:r>
      <w:r w:rsidRPr="00CC58F2">
        <w:rPr>
          <w:sz w:val="20"/>
          <w:szCs w:val="20"/>
        </w:rPr>
        <w:t xml:space="preserve"> vystaví na dodané zboží fakturu po protokolárním převzetí zboží odpovědným zástupcem </w:t>
      </w:r>
      <w:r>
        <w:rPr>
          <w:sz w:val="20"/>
          <w:szCs w:val="20"/>
        </w:rPr>
        <w:t>kupujícího</w:t>
      </w:r>
      <w:r w:rsidRPr="00CC58F2">
        <w:rPr>
          <w:sz w:val="20"/>
          <w:szCs w:val="20"/>
        </w:rPr>
        <w:t xml:space="preserve">. Faktury </w:t>
      </w:r>
      <w:r>
        <w:rPr>
          <w:sz w:val="20"/>
          <w:szCs w:val="20"/>
        </w:rPr>
        <w:t>prodávajícího</w:t>
      </w:r>
      <w:r w:rsidRPr="00CC58F2">
        <w:rPr>
          <w:sz w:val="20"/>
          <w:szCs w:val="20"/>
        </w:rPr>
        <w:t xml:space="preserve"> musí odpovídat svou povahou pojmu účetního dokladu dle účinných právních předpisů. </w:t>
      </w:r>
      <w:r>
        <w:rPr>
          <w:sz w:val="20"/>
          <w:szCs w:val="20"/>
        </w:rPr>
        <w:t>Prodávající</w:t>
      </w:r>
      <w:r w:rsidRPr="00CC58F2">
        <w:rPr>
          <w:sz w:val="20"/>
          <w:szCs w:val="20"/>
        </w:rPr>
        <w:t xml:space="preserve"> doručí fakturu </w:t>
      </w:r>
      <w:r>
        <w:rPr>
          <w:sz w:val="20"/>
          <w:szCs w:val="20"/>
        </w:rPr>
        <w:t>kupujícímu</w:t>
      </w:r>
      <w:r w:rsidRPr="00CC58F2">
        <w:rPr>
          <w:sz w:val="20"/>
          <w:szCs w:val="20"/>
        </w:rPr>
        <w:t xml:space="preserve"> ve dvou vyhotoveních. K faktuře musí být přiložen protokol o převzetí dodaného zboží (dodací list) podepsaný oprávněnou osobou </w:t>
      </w:r>
      <w:r>
        <w:rPr>
          <w:sz w:val="20"/>
          <w:szCs w:val="20"/>
        </w:rPr>
        <w:t>kupujícího</w:t>
      </w:r>
      <w:r w:rsidRPr="00CC58F2">
        <w:rPr>
          <w:sz w:val="20"/>
          <w:szCs w:val="20"/>
        </w:rPr>
        <w:t>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sz w:val="20"/>
          <w:szCs w:val="20"/>
        </w:rPr>
        <w:t xml:space="preserve">Datum splatnosti faktury se stanoví do 30 dnů od jejího doručení </w:t>
      </w:r>
      <w:r>
        <w:rPr>
          <w:sz w:val="20"/>
          <w:szCs w:val="20"/>
        </w:rPr>
        <w:t>kupujícímu</w:t>
      </w:r>
      <w:r w:rsidRPr="00CC58F2">
        <w:rPr>
          <w:sz w:val="20"/>
          <w:szCs w:val="20"/>
        </w:rPr>
        <w:t xml:space="preserve">. Smluvní strany se dohodly, že povinnost úhrady je splněna okamžikem, kdy byla dlužná částka odepsána z účtu </w:t>
      </w:r>
      <w:r>
        <w:rPr>
          <w:sz w:val="20"/>
          <w:szCs w:val="20"/>
        </w:rPr>
        <w:t>kupujícího</w:t>
      </w:r>
      <w:r w:rsidRPr="00CC58F2">
        <w:rPr>
          <w:sz w:val="20"/>
          <w:szCs w:val="20"/>
        </w:rPr>
        <w:t>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sz w:val="20"/>
          <w:szCs w:val="20"/>
        </w:rPr>
        <w:t xml:space="preserve">Pokud faktura neobsahuje právními předpisy a touto Smlouvou stanovené náležitosti, nebo je věcně nesprávná, je </w:t>
      </w:r>
      <w:r>
        <w:rPr>
          <w:sz w:val="20"/>
          <w:szCs w:val="20"/>
        </w:rPr>
        <w:t>kupující</w:t>
      </w:r>
      <w:r w:rsidRPr="00CC58F2">
        <w:rPr>
          <w:sz w:val="20"/>
          <w:szCs w:val="20"/>
        </w:rPr>
        <w:t xml:space="preserve"> oprávněn ji do data splatnosti vrátit zpět k doplnění či opravě, aniž se tak dostane do prodlení. Lhůta splatnosti počíná běžet znovu od opětovného doručení náležitě doplněného či opraveného dokladu. 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sz w:val="20"/>
          <w:szCs w:val="20"/>
        </w:rPr>
        <w:t xml:space="preserve">Nezaplatí-li </w:t>
      </w:r>
      <w:r>
        <w:rPr>
          <w:sz w:val="20"/>
          <w:szCs w:val="20"/>
        </w:rPr>
        <w:t>kupující</w:t>
      </w:r>
      <w:r w:rsidRPr="00CC58F2">
        <w:rPr>
          <w:sz w:val="20"/>
          <w:szCs w:val="20"/>
        </w:rPr>
        <w:t xml:space="preserve"> smluvní cenu včas, je povinen uhradit </w:t>
      </w:r>
      <w:r>
        <w:rPr>
          <w:sz w:val="20"/>
          <w:szCs w:val="20"/>
        </w:rPr>
        <w:t>prodávající</w:t>
      </w:r>
      <w:r w:rsidRPr="00CC58F2">
        <w:rPr>
          <w:sz w:val="20"/>
          <w:szCs w:val="20"/>
        </w:rPr>
        <w:t>m</w:t>
      </w:r>
      <w:r>
        <w:rPr>
          <w:sz w:val="20"/>
          <w:szCs w:val="20"/>
        </w:rPr>
        <w:t>u</w:t>
      </w:r>
      <w:r w:rsidRPr="00CC58F2">
        <w:rPr>
          <w:sz w:val="20"/>
          <w:szCs w:val="20"/>
        </w:rPr>
        <w:t xml:space="preserve"> úrok z prodlení podle Nařízení vlády č. 351/2013 Sb., kterým se určuje výše úroků z prodlení a nákladů spojených s uplatněním pohledávky, určuje odměna likvidátora, likvidačního správce a člena orgánu právnické osoby jmenovaného soudem a upravující některé otázky Obchodního věstníku a veřejných rejstříků právnických a fyzických osob, v platném znění.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CC58F2" w:rsidRPr="006E4855" w:rsidRDefault="00CC58F2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Kupující</w:t>
      </w:r>
      <w:r w:rsidRPr="00CC58F2">
        <w:rPr>
          <w:sz w:val="20"/>
          <w:szCs w:val="20"/>
        </w:rPr>
        <w:t xml:space="preserve"> je oprávněn započíst jakékoli své pohledávky z této Smlouvy za </w:t>
      </w:r>
      <w:r>
        <w:rPr>
          <w:sz w:val="20"/>
          <w:szCs w:val="20"/>
        </w:rPr>
        <w:t>prodávající</w:t>
      </w:r>
      <w:r w:rsidRPr="00CC58F2">
        <w:rPr>
          <w:sz w:val="20"/>
          <w:szCs w:val="20"/>
        </w:rPr>
        <w:t xml:space="preserve">m, proti jakémukoliv závazku vůči </w:t>
      </w:r>
      <w:r>
        <w:rPr>
          <w:sz w:val="20"/>
          <w:szCs w:val="20"/>
        </w:rPr>
        <w:t>prodávajícímu</w:t>
      </w:r>
      <w:r w:rsidRPr="00CC58F2">
        <w:rPr>
          <w:sz w:val="20"/>
          <w:szCs w:val="20"/>
        </w:rPr>
        <w:t xml:space="preserve">. </w:t>
      </w:r>
      <w:r>
        <w:rPr>
          <w:sz w:val="20"/>
          <w:szCs w:val="20"/>
        </w:rPr>
        <w:t>Prodávající</w:t>
      </w:r>
      <w:r w:rsidRPr="00CC58F2">
        <w:rPr>
          <w:sz w:val="20"/>
          <w:szCs w:val="20"/>
        </w:rPr>
        <w:t xml:space="preserve"> se zavazuje nepostoupit své pohledávky za </w:t>
      </w:r>
      <w:r>
        <w:rPr>
          <w:sz w:val="20"/>
          <w:szCs w:val="20"/>
        </w:rPr>
        <w:t>kupujícím</w:t>
      </w:r>
      <w:r w:rsidRPr="00CC58F2">
        <w:rPr>
          <w:sz w:val="20"/>
          <w:szCs w:val="20"/>
        </w:rPr>
        <w:t xml:space="preserve"> třetí osobě bez souhlasu </w:t>
      </w:r>
      <w:r>
        <w:rPr>
          <w:sz w:val="20"/>
          <w:szCs w:val="20"/>
        </w:rPr>
        <w:t>kupujícího</w:t>
      </w:r>
      <w:r w:rsidRPr="00CC58F2">
        <w:rPr>
          <w:sz w:val="20"/>
          <w:szCs w:val="20"/>
        </w:rPr>
        <w:t>.</w:t>
      </w:r>
    </w:p>
    <w:p w:rsidR="006E4855" w:rsidRDefault="006E4855" w:rsidP="006E4855">
      <w:pPr>
        <w:pStyle w:val="Odstavecseseznamem"/>
        <w:rPr>
          <w:rFonts w:cs="Times New Roman"/>
          <w:sz w:val="20"/>
          <w:szCs w:val="20"/>
        </w:rPr>
      </w:pPr>
    </w:p>
    <w:p w:rsidR="006E4855" w:rsidRPr="00CC58F2" w:rsidRDefault="006E4855" w:rsidP="00081146">
      <w:pPr>
        <w:pStyle w:val="BodyText1"/>
        <w:widowControl w:val="0"/>
        <w:numPr>
          <w:ilvl w:val="1"/>
          <w:numId w:val="16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Kupující není plátce DPH.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C71290" w:rsidRPr="00CC58F2" w:rsidRDefault="00C71290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Záruční doba a vady zboží</w:t>
      </w:r>
    </w:p>
    <w:p w:rsidR="00BD172D" w:rsidRPr="00CC58F2" w:rsidRDefault="00BD172D" w:rsidP="00081146">
      <w:pPr>
        <w:pStyle w:val="BodyText1"/>
        <w:widowControl w:val="0"/>
        <w:shd w:val="clear" w:color="auto" w:fill="auto"/>
        <w:tabs>
          <w:tab w:val="left" w:pos="1286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8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Nesplňuje-li zboží vlastnosti stanovené touto Smlouvou a ustanovením § 2099 občanského zákoníku, má vady. Za vady se považuje i dodání jiného zboží, než určuje Smlouva a vady v dokladech, nutných k užívání zboží. 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40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8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Záruka na jakost na dodané zboží činí 24 měsíců. Záruční lhůta běží ode dne převzetí zboží dle protokolu.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odstraňuje oprávněně reklamované vady během záruční doby bezplatně. 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40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8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může zjištěné vady uplatnit kdykoli během záruční doby. 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40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8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Vady zjištěné při převzetí nebo později v záruční době je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povinen odstranit do 15 dnů ode dne, kdy mu byla vada oznámena dle odst. </w:t>
      </w:r>
      <w:r>
        <w:rPr>
          <w:rFonts w:cs="Times New Roman"/>
          <w:sz w:val="20"/>
          <w:szCs w:val="20"/>
        </w:rPr>
        <w:t>7.</w:t>
      </w:r>
      <w:r w:rsidRPr="00CC58F2">
        <w:rPr>
          <w:rFonts w:cs="Times New Roman"/>
          <w:sz w:val="20"/>
          <w:szCs w:val="20"/>
        </w:rPr>
        <w:t xml:space="preserve">5, pokud vzhledem k povaze vady nesjednal s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m lhůtu jinou. 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40" w:right="20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BodyText1"/>
        <w:widowControl w:val="0"/>
        <w:numPr>
          <w:ilvl w:val="1"/>
          <w:numId w:val="18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Vady zboží uplatňuje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na adrese </w:t>
      </w:r>
      <w:r>
        <w:rPr>
          <w:rFonts w:cs="Times New Roman"/>
          <w:sz w:val="20"/>
          <w:szCs w:val="20"/>
        </w:rPr>
        <w:t>prodávajícího dle adresy uvedené u i</w:t>
      </w:r>
      <w:r w:rsidRPr="00CC58F2">
        <w:rPr>
          <w:rFonts w:cs="Times New Roman"/>
          <w:sz w:val="20"/>
          <w:szCs w:val="20"/>
        </w:rPr>
        <w:t xml:space="preserve">dentifikace </w:t>
      </w:r>
      <w:r>
        <w:rPr>
          <w:rFonts w:cs="Times New Roman"/>
          <w:sz w:val="20"/>
          <w:szCs w:val="20"/>
        </w:rPr>
        <w:t>prodávajícího</w:t>
      </w:r>
      <w:r w:rsidRPr="00CC58F2">
        <w:rPr>
          <w:rFonts w:cs="Times New Roman"/>
          <w:sz w:val="20"/>
          <w:szCs w:val="20"/>
        </w:rPr>
        <w:t xml:space="preserve"> v</w:t>
      </w:r>
      <w:r>
        <w:rPr>
          <w:rFonts w:cs="Times New Roman"/>
          <w:sz w:val="20"/>
          <w:szCs w:val="20"/>
        </w:rPr>
        <w:t> čl. I této Smlouvy</w:t>
      </w:r>
      <w:r w:rsidRPr="00CC58F2">
        <w:rPr>
          <w:rFonts w:cs="Times New Roman"/>
          <w:sz w:val="20"/>
          <w:szCs w:val="20"/>
        </w:rPr>
        <w:t>.</w:t>
      </w:r>
    </w:p>
    <w:p w:rsidR="00CC58F2" w:rsidRPr="00CC58F2" w:rsidRDefault="00CC58F2" w:rsidP="00CC58F2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40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Sankční ujednání</w:t>
      </w:r>
    </w:p>
    <w:p w:rsidR="00BD172D" w:rsidRPr="00CC58F2" w:rsidRDefault="00BD172D" w:rsidP="00081146">
      <w:pPr>
        <w:pStyle w:val="Heading20"/>
        <w:widowControl w:val="0"/>
        <w:shd w:val="clear" w:color="auto" w:fill="auto"/>
        <w:tabs>
          <w:tab w:val="left" w:pos="567"/>
        </w:tabs>
        <w:spacing w:line="240" w:lineRule="auto"/>
        <w:ind w:right="3580" w:firstLine="0"/>
        <w:rPr>
          <w:rStyle w:val="Heading211pt"/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Pokud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nedodrží dodací lhůtu sjednanou v čl. IV. odst. </w:t>
      </w:r>
      <w:r>
        <w:rPr>
          <w:rFonts w:cs="Times New Roman"/>
          <w:sz w:val="20"/>
          <w:szCs w:val="20"/>
        </w:rPr>
        <w:t>4.</w:t>
      </w:r>
      <w:r w:rsidRPr="00CC58F2">
        <w:rPr>
          <w:rFonts w:cs="Times New Roman"/>
          <w:sz w:val="20"/>
          <w:szCs w:val="20"/>
        </w:rPr>
        <w:t xml:space="preserve">4 </w:t>
      </w:r>
      <w:r w:rsidR="00C80959">
        <w:rPr>
          <w:rFonts w:cs="Times New Roman"/>
          <w:sz w:val="20"/>
          <w:szCs w:val="20"/>
        </w:rPr>
        <w:t xml:space="preserve">nebo 4.5 </w:t>
      </w:r>
      <w:r w:rsidRPr="00CC58F2">
        <w:rPr>
          <w:rFonts w:cs="Times New Roman"/>
          <w:sz w:val="20"/>
          <w:szCs w:val="20"/>
        </w:rPr>
        <w:t xml:space="preserve">této Smlouvy, zaplatí </w:t>
      </w:r>
      <w:r>
        <w:rPr>
          <w:rFonts w:cs="Times New Roman"/>
          <w:sz w:val="20"/>
          <w:szCs w:val="20"/>
        </w:rPr>
        <w:t>kupujícímu</w:t>
      </w:r>
      <w:r w:rsidRPr="00CC58F2">
        <w:rPr>
          <w:rFonts w:cs="Times New Roman"/>
          <w:sz w:val="20"/>
          <w:szCs w:val="20"/>
        </w:rPr>
        <w:t xml:space="preserve"> smluvní pokutu ve výši 200,- Kč za každý započatý den prodlení, a to za každou dílčí objednávku zvlášť.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 </w:t>
      </w: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V případě prodlení s odstraněním vad v záruční době je povinen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uhradit </w:t>
      </w:r>
      <w:r>
        <w:rPr>
          <w:rFonts w:cs="Times New Roman"/>
          <w:sz w:val="20"/>
          <w:szCs w:val="20"/>
        </w:rPr>
        <w:t>kupujícímu</w:t>
      </w:r>
      <w:r w:rsidRPr="00CC58F2">
        <w:rPr>
          <w:rFonts w:cs="Times New Roman"/>
          <w:sz w:val="20"/>
          <w:szCs w:val="20"/>
        </w:rPr>
        <w:t xml:space="preserve"> smluvní pokutu ve výši 100,- Kč za každý započatý den prodlení, a to za každé oznámení zvlášť. Za neodstranění vad se považuje také nedodání náhradního zboží ve lhůtě určené pro odstranění vad dle čl. VII odst. </w:t>
      </w:r>
      <w:r>
        <w:rPr>
          <w:rFonts w:cs="Times New Roman"/>
          <w:sz w:val="20"/>
          <w:szCs w:val="20"/>
        </w:rPr>
        <w:t>7.</w:t>
      </w:r>
      <w:r w:rsidRPr="00CC58F2">
        <w:rPr>
          <w:rFonts w:cs="Times New Roman"/>
          <w:sz w:val="20"/>
          <w:szCs w:val="20"/>
        </w:rPr>
        <w:t>4 této Smlouvy.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Úhradou smluvní pokuty podle předchozích odstavců není dotčeno právo </w:t>
      </w:r>
      <w:r>
        <w:rPr>
          <w:rFonts w:cs="Times New Roman"/>
          <w:sz w:val="20"/>
          <w:szCs w:val="20"/>
        </w:rPr>
        <w:t>kupujícího</w:t>
      </w:r>
      <w:r w:rsidRPr="00CC58F2">
        <w:rPr>
          <w:rFonts w:cs="Times New Roman"/>
          <w:sz w:val="20"/>
          <w:szCs w:val="20"/>
        </w:rPr>
        <w:t xml:space="preserve"> na náhradu škody. 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Za porušení povinnosti mlčenlivosti specifikované v čl. IX. odst. </w:t>
      </w:r>
      <w:r>
        <w:rPr>
          <w:rFonts w:cs="Times New Roman"/>
          <w:sz w:val="20"/>
          <w:szCs w:val="20"/>
        </w:rPr>
        <w:t>9.</w:t>
      </w:r>
      <w:r w:rsidRPr="00CC58F2">
        <w:rPr>
          <w:rFonts w:cs="Times New Roman"/>
          <w:sz w:val="20"/>
          <w:szCs w:val="20"/>
        </w:rPr>
        <w:t xml:space="preserve">1 této Smlouvy je </w:t>
      </w: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povinen uhradit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>u</w:t>
      </w:r>
      <w:r w:rsidRPr="00CC58F2">
        <w:rPr>
          <w:rFonts w:cs="Times New Roman"/>
          <w:sz w:val="20"/>
          <w:szCs w:val="20"/>
        </w:rPr>
        <w:t xml:space="preserve"> smluvní pokutu ve výši 10 000 Kč, a to za každý jednotlivý případ porušení povinnosti.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Pro vyúčtování úroku z prodlení dle čl. VI. odst. </w:t>
      </w:r>
      <w:r w:rsidR="00EC1932">
        <w:rPr>
          <w:rFonts w:cs="Times New Roman"/>
          <w:sz w:val="20"/>
          <w:szCs w:val="20"/>
        </w:rPr>
        <w:t>6.</w:t>
      </w:r>
      <w:r w:rsidRPr="00CC58F2">
        <w:rPr>
          <w:rFonts w:cs="Times New Roman"/>
          <w:sz w:val="20"/>
          <w:szCs w:val="20"/>
        </w:rPr>
        <w:t xml:space="preserve">4 této Smlouvy a smluvních pokut dle tohoto článku, platí obdobně ustanovení čl. VI. odst. </w:t>
      </w:r>
      <w:r w:rsidR="00EC1932">
        <w:rPr>
          <w:rFonts w:cs="Times New Roman"/>
          <w:sz w:val="20"/>
          <w:szCs w:val="20"/>
        </w:rPr>
        <w:t>6.</w:t>
      </w:r>
      <w:r w:rsidRPr="00CC58F2">
        <w:rPr>
          <w:rFonts w:cs="Times New Roman"/>
          <w:sz w:val="20"/>
          <w:szCs w:val="20"/>
        </w:rPr>
        <w:t xml:space="preserve">1. – </w:t>
      </w:r>
      <w:r w:rsidR="00EC1932">
        <w:rPr>
          <w:rFonts w:cs="Times New Roman"/>
          <w:sz w:val="20"/>
          <w:szCs w:val="20"/>
        </w:rPr>
        <w:t>6.</w:t>
      </w:r>
      <w:r w:rsidRPr="00CC58F2">
        <w:rPr>
          <w:rFonts w:cs="Times New Roman"/>
          <w:sz w:val="20"/>
          <w:szCs w:val="20"/>
        </w:rPr>
        <w:t>3. této Smlouvy.</w:t>
      </w:r>
    </w:p>
    <w:p w:rsidR="00025A5C" w:rsidRPr="00CC58F2" w:rsidRDefault="00025A5C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CC58F2" w:rsidP="00081146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CC58F2">
        <w:rPr>
          <w:rStyle w:val="Heading211pt"/>
          <w:b/>
          <w:sz w:val="20"/>
          <w:szCs w:val="20"/>
          <w:u w:val="none"/>
        </w:rPr>
        <w:t>Další ujednání</w:t>
      </w:r>
    </w:p>
    <w:p w:rsidR="00BD172D" w:rsidRPr="00CC58F2" w:rsidRDefault="00BD172D" w:rsidP="00081146">
      <w:pPr>
        <w:pStyle w:val="Heading20"/>
        <w:widowControl w:val="0"/>
        <w:shd w:val="clear" w:color="auto" w:fill="auto"/>
        <w:tabs>
          <w:tab w:val="left" w:pos="567"/>
        </w:tabs>
        <w:spacing w:line="240" w:lineRule="auto"/>
        <w:ind w:right="3580" w:firstLine="0"/>
        <w:rPr>
          <w:rStyle w:val="Heading211pt"/>
          <w:rFonts w:cs="Times New Roman"/>
          <w:sz w:val="20"/>
          <w:szCs w:val="20"/>
        </w:rPr>
      </w:pPr>
    </w:p>
    <w:p w:rsidR="00C80959" w:rsidRDefault="00C80959" w:rsidP="00C80959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se zavazuje během dodání prodávaného zboží i po jeho dodání zachovávat mlčenlivost o všech skutečnostech, o kterých se dozví od </w:t>
      </w:r>
      <w:r>
        <w:rPr>
          <w:rFonts w:cs="Times New Roman"/>
          <w:sz w:val="20"/>
          <w:szCs w:val="20"/>
        </w:rPr>
        <w:t>kupujícího</w:t>
      </w:r>
      <w:r w:rsidRPr="00CC58F2">
        <w:rPr>
          <w:rFonts w:cs="Times New Roman"/>
          <w:sz w:val="20"/>
          <w:szCs w:val="20"/>
        </w:rPr>
        <w:t xml:space="preserve"> v souvislosti s plněním smlouvy.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firstLine="0"/>
        <w:rPr>
          <w:rStyle w:val="Heading211pt"/>
          <w:b/>
          <w:sz w:val="20"/>
          <w:szCs w:val="20"/>
          <w:u w:val="none"/>
        </w:rPr>
      </w:pPr>
      <w:bookmarkStart w:id="3" w:name="bookmark15"/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Poskytovatel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 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left="567" w:firstLine="0"/>
        <w:jc w:val="both"/>
        <w:rPr>
          <w:rFonts w:cs="Times New Roman"/>
          <w:sz w:val="20"/>
          <w:szCs w:val="20"/>
        </w:rPr>
      </w:pPr>
    </w:p>
    <w:p w:rsidR="00CC58F2" w:rsidRPr="00CC58F2" w:rsidRDefault="00CC58F2" w:rsidP="00CC58F2">
      <w:pPr>
        <w:pStyle w:val="Heading20"/>
        <w:widowControl w:val="0"/>
        <w:numPr>
          <w:ilvl w:val="1"/>
          <w:numId w:val="16"/>
        </w:numPr>
        <w:shd w:val="clear" w:color="auto" w:fill="auto"/>
        <w:spacing w:line="240" w:lineRule="auto"/>
        <w:ind w:left="567" w:hanging="578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Smluvní strany se dohodly, že veškeré právní úkony činěné podle této Smlouvy, mohou být doručovány poštou, e-mailem, datovou schránkou, vždy však tak, aby bylo možné zajistit výkaz o doručení písemnosti druhé smluvní straně, popř. odepření přijetí. Elektronická pošta se považuje za doručenou, pokud </w:t>
      </w:r>
      <w:r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neobdrží do 72 hodin od odeslání elektronické pošty potvrzení o tom, že elektronickou poštu nelze doručit. </w:t>
      </w:r>
    </w:p>
    <w:p w:rsidR="00CC58F2" w:rsidRPr="00CC58F2" w:rsidRDefault="00CC58F2" w:rsidP="00CC58F2">
      <w:pPr>
        <w:pStyle w:val="Heading20"/>
        <w:widowControl w:val="0"/>
        <w:shd w:val="clear" w:color="auto" w:fill="auto"/>
        <w:spacing w:line="240" w:lineRule="auto"/>
        <w:ind w:firstLine="0"/>
        <w:rPr>
          <w:rStyle w:val="Heading211pt"/>
          <w:b/>
          <w:sz w:val="20"/>
          <w:szCs w:val="20"/>
          <w:u w:val="none"/>
        </w:rPr>
      </w:pPr>
    </w:p>
    <w:p w:rsidR="00F76C9B" w:rsidRDefault="00F76C9B" w:rsidP="00F76C9B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>
        <w:rPr>
          <w:rStyle w:val="Heading211pt"/>
          <w:b/>
          <w:sz w:val="20"/>
          <w:szCs w:val="20"/>
          <w:u w:val="none"/>
        </w:rPr>
        <w:t>Trvání smlouvy</w:t>
      </w:r>
    </w:p>
    <w:p w:rsidR="00F76C9B" w:rsidRDefault="00F76C9B" w:rsidP="00F76C9B">
      <w:pPr>
        <w:pStyle w:val="Heading20"/>
        <w:widowControl w:val="0"/>
        <w:shd w:val="clear" w:color="auto" w:fill="auto"/>
        <w:spacing w:line="240" w:lineRule="auto"/>
        <w:ind w:firstLine="0"/>
        <w:rPr>
          <w:rStyle w:val="Heading211pt"/>
          <w:b/>
          <w:sz w:val="20"/>
          <w:szCs w:val="20"/>
          <w:u w:val="none"/>
        </w:rPr>
      </w:pPr>
    </w:p>
    <w:p w:rsidR="00F76C9B" w:rsidRDefault="00F76C9B" w:rsidP="00040F1E">
      <w:pPr>
        <w:pStyle w:val="BodyText1"/>
        <w:widowControl w:val="0"/>
        <w:numPr>
          <w:ilvl w:val="1"/>
          <w:numId w:val="19"/>
        </w:numPr>
        <w:tabs>
          <w:tab w:val="left" w:pos="0"/>
        </w:tabs>
        <w:ind w:left="567" w:right="20" w:hanging="567"/>
        <w:jc w:val="both"/>
        <w:rPr>
          <w:sz w:val="20"/>
          <w:szCs w:val="20"/>
          <w:shd w:val="clear" w:color="auto" w:fill="FFFFFF"/>
        </w:rPr>
      </w:pPr>
      <w:r w:rsidRPr="00F76C9B">
        <w:rPr>
          <w:rStyle w:val="Heading211pt"/>
          <w:sz w:val="20"/>
          <w:szCs w:val="20"/>
          <w:u w:val="none"/>
        </w:rPr>
        <w:t>Tat</w:t>
      </w:r>
      <w:r>
        <w:rPr>
          <w:rStyle w:val="Heading211pt"/>
          <w:sz w:val="20"/>
          <w:szCs w:val="20"/>
          <w:u w:val="none"/>
        </w:rPr>
        <w:t xml:space="preserve">o </w:t>
      </w:r>
      <w:r w:rsidRPr="00040F1E">
        <w:rPr>
          <w:rStyle w:val="Heading211pt"/>
          <w:sz w:val="20"/>
          <w:szCs w:val="20"/>
          <w:u w:val="none"/>
        </w:rPr>
        <w:t xml:space="preserve">smlouva se sjednává na dobu </w:t>
      </w:r>
      <w:r w:rsidRPr="00040F1E">
        <w:rPr>
          <w:sz w:val="20"/>
          <w:szCs w:val="20"/>
          <w:shd w:val="clear" w:color="auto" w:fill="FFFFFF"/>
        </w:rPr>
        <w:t>24 měsíců od nabytí její účinnosti smlouvy, nebo do vyčerpání celkového finančního rámce 800.000,- Kč bez DPH, podle toho co nastane dříve.</w:t>
      </w:r>
    </w:p>
    <w:p w:rsidR="00F76C9B" w:rsidRPr="00F76C9B" w:rsidRDefault="00F76C9B" w:rsidP="00F76C9B">
      <w:pPr>
        <w:pStyle w:val="BodyText1"/>
        <w:widowControl w:val="0"/>
        <w:tabs>
          <w:tab w:val="left" w:pos="0"/>
        </w:tabs>
        <w:ind w:left="567" w:right="20" w:firstLine="0"/>
        <w:rPr>
          <w:sz w:val="20"/>
          <w:szCs w:val="20"/>
          <w:shd w:val="clear" w:color="auto" w:fill="FFFFFF"/>
        </w:rPr>
      </w:pPr>
    </w:p>
    <w:p w:rsidR="00F76C9B" w:rsidRPr="00F76C9B" w:rsidRDefault="00F76C9B" w:rsidP="00F76C9B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Style w:val="Heading211pt"/>
          <w:sz w:val="20"/>
          <w:szCs w:val="20"/>
          <w:u w:val="none"/>
        </w:rPr>
      </w:pPr>
      <w:r>
        <w:rPr>
          <w:sz w:val="20"/>
          <w:szCs w:val="20"/>
          <w:shd w:val="clear" w:color="auto" w:fill="FFFFFF"/>
        </w:rPr>
        <w:t>Kupující</w:t>
      </w:r>
      <w:r w:rsidRPr="00F76C9B">
        <w:rPr>
          <w:sz w:val="20"/>
          <w:szCs w:val="20"/>
          <w:shd w:val="clear" w:color="auto" w:fill="FFFFFF"/>
        </w:rPr>
        <w:t xml:space="preserve"> si zároveň vyhrazuje možnost prodloužit trvání smlouvy o další max. 3 měsíce v případě, že nebude po 24 měsíc</w:t>
      </w:r>
      <w:r>
        <w:rPr>
          <w:sz w:val="20"/>
          <w:szCs w:val="20"/>
          <w:shd w:val="clear" w:color="auto" w:fill="FFFFFF"/>
        </w:rPr>
        <w:t>ích trvání smlouvy</w:t>
      </w:r>
      <w:r w:rsidRPr="00F76C9B">
        <w:rPr>
          <w:sz w:val="20"/>
          <w:szCs w:val="20"/>
          <w:shd w:val="clear" w:color="auto" w:fill="FFFFFF"/>
        </w:rPr>
        <w:t xml:space="preserve"> vyčerpán finanční rámec 800.000,- Kč bez DPH.</w:t>
      </w:r>
    </w:p>
    <w:p w:rsidR="00F76C9B" w:rsidRPr="00F76C9B" w:rsidRDefault="00F76C9B" w:rsidP="00F76C9B">
      <w:pPr>
        <w:pStyle w:val="Heading20"/>
        <w:widowControl w:val="0"/>
        <w:shd w:val="clear" w:color="auto" w:fill="auto"/>
        <w:spacing w:line="240" w:lineRule="auto"/>
        <w:ind w:firstLine="0"/>
        <w:rPr>
          <w:rStyle w:val="Heading211pt"/>
          <w:b/>
          <w:sz w:val="20"/>
          <w:szCs w:val="20"/>
          <w:u w:val="none"/>
        </w:rPr>
      </w:pPr>
    </w:p>
    <w:p w:rsidR="00BD172D" w:rsidRPr="00F76C9B" w:rsidRDefault="00BD172D" w:rsidP="00F76C9B">
      <w:pPr>
        <w:pStyle w:val="Heading20"/>
        <w:widowControl w:val="0"/>
        <w:numPr>
          <w:ilvl w:val="0"/>
          <w:numId w:val="16"/>
        </w:numPr>
        <w:shd w:val="clear" w:color="auto" w:fill="auto"/>
        <w:spacing w:line="240" w:lineRule="auto"/>
        <w:ind w:left="0" w:firstLine="0"/>
        <w:jc w:val="center"/>
        <w:rPr>
          <w:rStyle w:val="Heading211pt"/>
          <w:b/>
          <w:sz w:val="20"/>
          <w:szCs w:val="20"/>
          <w:u w:val="none"/>
        </w:rPr>
      </w:pPr>
      <w:r w:rsidRPr="00F76C9B">
        <w:rPr>
          <w:rStyle w:val="Heading211pt"/>
          <w:b/>
          <w:sz w:val="20"/>
          <w:szCs w:val="20"/>
          <w:u w:val="none"/>
        </w:rPr>
        <w:t>Závěrečná ustanovení</w:t>
      </w:r>
      <w:bookmarkEnd w:id="3"/>
    </w:p>
    <w:p w:rsidR="00BD172D" w:rsidRPr="00CC58F2" w:rsidRDefault="00BD172D" w:rsidP="00081146">
      <w:pPr>
        <w:pStyle w:val="Heading20"/>
        <w:widowControl w:val="0"/>
        <w:shd w:val="clear" w:color="auto" w:fill="auto"/>
        <w:tabs>
          <w:tab w:val="left" w:pos="567"/>
        </w:tabs>
        <w:spacing w:line="240" w:lineRule="auto"/>
        <w:ind w:right="3580" w:firstLine="0"/>
        <w:rPr>
          <w:rStyle w:val="Heading211pt"/>
          <w:rFonts w:cs="Times New Roman"/>
          <w:sz w:val="20"/>
          <w:szCs w:val="20"/>
        </w:rPr>
      </w:pPr>
    </w:p>
    <w:p w:rsidR="00F76C9B" w:rsidRPr="00F76C9B" w:rsidRDefault="00F76C9B" w:rsidP="00F76C9B">
      <w:pPr>
        <w:pStyle w:val="Odstavecseseznamem"/>
        <w:widowControl w:val="0"/>
        <w:numPr>
          <w:ilvl w:val="0"/>
          <w:numId w:val="19"/>
        </w:numPr>
        <w:tabs>
          <w:tab w:val="left" w:pos="0"/>
        </w:tabs>
        <w:spacing w:after="0" w:line="240" w:lineRule="auto"/>
        <w:ind w:right="20"/>
        <w:contextualSpacing w:val="0"/>
        <w:jc w:val="both"/>
        <w:rPr>
          <w:rFonts w:cs="Times New Roman"/>
          <w:vanish/>
          <w:sz w:val="20"/>
          <w:szCs w:val="20"/>
        </w:rPr>
      </w:pPr>
    </w:p>
    <w:p w:rsidR="00BD172D" w:rsidRPr="00CC58F2" w:rsidRDefault="00BD172D" w:rsidP="00F76C9B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>Smlouva může být doplňována nebo pozměňována pouze číslovanými písemnými dodatky, podepsanými oprávněnými zástupci obou smluvních stran. Smluvní strany se zavazují vyrozumět bez zbytečného odkladu druhou stranu o případných změnách skutečností v této smlouvě uvedených.</w:t>
      </w:r>
    </w:p>
    <w:p w:rsidR="00025A5C" w:rsidRPr="00CC58F2" w:rsidRDefault="00025A5C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BD172D" w:rsidP="00081146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>Tato smlouva, jakož i práva a povinnosti vzniklé na základě této smlouvy nebo v souvislosti s ní, se řídí právem České republiky, zejména příslušnými ustanoveními O</w:t>
      </w:r>
      <w:r w:rsidR="00025A5C" w:rsidRPr="00CC58F2">
        <w:rPr>
          <w:rFonts w:cs="Times New Roman"/>
          <w:sz w:val="20"/>
          <w:szCs w:val="20"/>
        </w:rPr>
        <w:t>Z.</w:t>
      </w:r>
    </w:p>
    <w:p w:rsidR="00025A5C" w:rsidRPr="00CC58F2" w:rsidRDefault="00025A5C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BD172D" w:rsidRPr="00CC58F2" w:rsidRDefault="00BD172D" w:rsidP="00081146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</w:t>
      </w:r>
      <w:r w:rsidR="00025A5C" w:rsidRPr="00CC58F2">
        <w:rPr>
          <w:rFonts w:cs="Times New Roman"/>
          <w:sz w:val="20"/>
          <w:szCs w:val="20"/>
        </w:rPr>
        <w:t>ýž účel jako ustanovení původní.</w:t>
      </w:r>
    </w:p>
    <w:p w:rsidR="00025A5C" w:rsidRPr="00CC58F2" w:rsidRDefault="00025A5C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F24B49" w:rsidRPr="00CC58F2" w:rsidRDefault="00F24B49" w:rsidP="00081146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>Smlouva nabude platnosti dnem jejího podpisu oběma smluvními stranami. Účinností smlouva nabude uveřejněním v registru smluv dle zákona č. 340/2015 Sb., o zvláštních podmínkách účinnosti některých smluv, uveřejňování těchto smluv a o registru smluv (zákon o registru smluv).</w:t>
      </w:r>
    </w:p>
    <w:p w:rsidR="00F24B49" w:rsidRPr="00CC58F2" w:rsidRDefault="00F24B49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F24B49" w:rsidRPr="00CC58F2" w:rsidRDefault="00F24B49" w:rsidP="00081146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Tato smlouva je vyhotovena ve třech (3) stejnopisech, z nichž každý bude považován za prvopis. </w:t>
      </w:r>
      <w:r w:rsidR="00CC58F2">
        <w:rPr>
          <w:rFonts w:cs="Times New Roman"/>
          <w:sz w:val="20"/>
          <w:szCs w:val="20"/>
        </w:rPr>
        <w:t>Kupující</w:t>
      </w:r>
      <w:r w:rsidRPr="00CC58F2">
        <w:rPr>
          <w:rFonts w:cs="Times New Roman"/>
          <w:sz w:val="20"/>
          <w:szCs w:val="20"/>
        </w:rPr>
        <w:t xml:space="preserve"> obdrží dva stejnopisy této smlouvy, </w:t>
      </w:r>
      <w:r w:rsidR="00CC58F2">
        <w:rPr>
          <w:rFonts w:cs="Times New Roman"/>
          <w:sz w:val="20"/>
          <w:szCs w:val="20"/>
        </w:rPr>
        <w:t>Prodávající</w:t>
      </w:r>
      <w:r w:rsidRPr="00CC58F2">
        <w:rPr>
          <w:rFonts w:cs="Times New Roman"/>
          <w:sz w:val="20"/>
          <w:szCs w:val="20"/>
        </w:rPr>
        <w:t xml:space="preserve"> jeden stejnopis této smlouvy.</w:t>
      </w:r>
    </w:p>
    <w:p w:rsidR="00BD172D" w:rsidRPr="00CC58F2" w:rsidRDefault="00BD172D" w:rsidP="00081146">
      <w:pPr>
        <w:pStyle w:val="BodyText1"/>
        <w:widowControl w:val="0"/>
        <w:shd w:val="clear" w:color="auto" w:fill="auto"/>
        <w:tabs>
          <w:tab w:val="left" w:pos="567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1D280A" w:rsidRPr="00CC58F2" w:rsidRDefault="00F24B49" w:rsidP="00081146">
      <w:pPr>
        <w:pStyle w:val="BodyText1"/>
        <w:widowControl w:val="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567" w:right="20" w:hanging="567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Nedílnou </w:t>
      </w:r>
      <w:r w:rsidR="001D280A" w:rsidRPr="00CC58F2">
        <w:rPr>
          <w:rFonts w:cs="Times New Roman"/>
          <w:sz w:val="20"/>
          <w:szCs w:val="20"/>
        </w:rPr>
        <w:t>součástí této smlouvy je:</w:t>
      </w:r>
    </w:p>
    <w:p w:rsidR="001D280A" w:rsidRPr="00CC58F2" w:rsidRDefault="001D280A" w:rsidP="00081146">
      <w:pPr>
        <w:pStyle w:val="BodyText1"/>
        <w:widowControl w:val="0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cs="Times New Roman"/>
          <w:sz w:val="20"/>
          <w:szCs w:val="20"/>
        </w:rPr>
      </w:pPr>
      <w:r w:rsidRPr="00CC58F2">
        <w:rPr>
          <w:rFonts w:cs="Times New Roman"/>
          <w:sz w:val="20"/>
          <w:szCs w:val="20"/>
        </w:rPr>
        <w:t xml:space="preserve">příloha č. </w:t>
      </w:r>
      <w:r w:rsidR="00CC58F2">
        <w:rPr>
          <w:rFonts w:cs="Times New Roman"/>
          <w:sz w:val="20"/>
          <w:szCs w:val="20"/>
        </w:rPr>
        <w:t>1</w:t>
      </w:r>
      <w:r w:rsidRPr="00CC58F2">
        <w:rPr>
          <w:rFonts w:cs="Times New Roman"/>
          <w:sz w:val="20"/>
          <w:szCs w:val="20"/>
        </w:rPr>
        <w:t xml:space="preserve"> – položkový ceník</w:t>
      </w:r>
    </w:p>
    <w:p w:rsidR="00F24B49" w:rsidRPr="00CC58F2" w:rsidRDefault="00F24B49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F24B49" w:rsidRPr="00CC58F2" w:rsidRDefault="00F24B49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F24B49" w:rsidRPr="00CC58F2" w:rsidRDefault="00F24B49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p w:rsidR="00F24B49" w:rsidRPr="00CC58F2" w:rsidRDefault="00F24B49" w:rsidP="00081146">
      <w:pPr>
        <w:pStyle w:val="BodyText1"/>
        <w:widowControl w:val="0"/>
        <w:shd w:val="clear" w:color="auto" w:fill="auto"/>
        <w:tabs>
          <w:tab w:val="left" w:pos="0"/>
        </w:tabs>
        <w:spacing w:line="240" w:lineRule="auto"/>
        <w:ind w:left="567" w:right="20" w:firstLine="0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F24B49" w:rsidRPr="00CC58F2" w:rsidTr="000E5631">
        <w:tc>
          <w:tcPr>
            <w:tcW w:w="4140" w:type="dxa"/>
          </w:tcPr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  <w:bookmarkStart w:id="4" w:name="bookmark18"/>
            <w:r w:rsidRPr="00CC58F2">
              <w:rPr>
                <w:rFonts w:cs="Tahoma"/>
                <w:sz w:val="20"/>
                <w:szCs w:val="20"/>
              </w:rPr>
              <w:t>V</w:t>
            </w:r>
            <w:r w:rsidR="00CC58F2">
              <w:rPr>
                <w:rFonts w:cs="Tahoma"/>
                <w:sz w:val="20"/>
                <w:szCs w:val="20"/>
              </w:rPr>
              <w:t> Hradci Králové</w:t>
            </w:r>
            <w:r w:rsidRPr="00CC58F2">
              <w:rPr>
                <w:rFonts w:cs="Tahoma"/>
                <w:sz w:val="20"/>
                <w:szCs w:val="20"/>
              </w:rPr>
              <w:t xml:space="preserve"> dne  </w:t>
            </w: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4032" w:type="dxa"/>
          </w:tcPr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CC58F2">
              <w:rPr>
                <w:rFonts w:cs="Tahoma"/>
                <w:sz w:val="20"/>
                <w:szCs w:val="20"/>
              </w:rPr>
              <w:t xml:space="preserve">V </w:t>
            </w:r>
            <w:r w:rsidR="006D0D92">
              <w:rPr>
                <w:rFonts w:cs="Tahoma"/>
                <w:sz w:val="20"/>
                <w:szCs w:val="20"/>
              </w:rPr>
              <w:t xml:space="preserve">Lázních Bělohrad dne </w:t>
            </w:r>
            <w:r w:rsidRPr="00CC58F2">
              <w:rPr>
                <w:rFonts w:cs="Tahoma"/>
                <w:sz w:val="20"/>
                <w:szCs w:val="20"/>
              </w:rPr>
              <w:t xml:space="preserve">   </w:t>
            </w: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F24B49" w:rsidRPr="00CC58F2" w:rsidRDefault="00F24B49" w:rsidP="00081146">
            <w:pPr>
              <w:widowControl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F24B49" w:rsidRPr="00CC58F2" w:rsidTr="000E5631">
        <w:tc>
          <w:tcPr>
            <w:tcW w:w="4140" w:type="dxa"/>
            <w:tcBorders>
              <w:top w:val="single" w:sz="4" w:space="0" w:color="auto"/>
            </w:tcBorders>
          </w:tcPr>
          <w:p w:rsidR="00F24B49" w:rsidRPr="00CC58F2" w:rsidRDefault="00F24B49" w:rsidP="00081146">
            <w:pPr>
              <w:widowControl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CC58F2">
              <w:rPr>
                <w:rFonts w:cs="Tahoma"/>
                <w:sz w:val="20"/>
                <w:szCs w:val="20"/>
              </w:rPr>
              <w:t xml:space="preserve">za </w:t>
            </w:r>
            <w:r w:rsidR="00CC58F2">
              <w:rPr>
                <w:rFonts w:cs="Tahoma"/>
                <w:sz w:val="20"/>
                <w:szCs w:val="20"/>
              </w:rPr>
              <w:t>kupujícího</w:t>
            </w:r>
          </w:p>
          <w:p w:rsidR="00F24B49" w:rsidRPr="00CC58F2" w:rsidRDefault="00CC58F2" w:rsidP="00081146">
            <w:pPr>
              <w:pStyle w:val="Nadpis6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inorHAnsi" w:hAnsiTheme="minorHAnsi" w:cs="Tahoma"/>
                <w:i w:val="0"/>
                <w:iCs w:val="0"/>
                <w:color w:val="auto"/>
                <w:szCs w:val="20"/>
              </w:rPr>
            </w:pPr>
            <w:r w:rsidRPr="00CC58F2">
              <w:rPr>
                <w:rFonts w:asciiTheme="minorHAnsi" w:hAnsiTheme="minorHAnsi" w:cs="Tahoma"/>
                <w:i w:val="0"/>
                <w:iCs w:val="0"/>
                <w:color w:val="auto"/>
                <w:szCs w:val="20"/>
              </w:rPr>
              <w:t>Ing. Daniela Lusková, MPA, ředitelka</w:t>
            </w:r>
          </w:p>
          <w:p w:rsidR="00F24B49" w:rsidRPr="00CC58F2" w:rsidRDefault="00F24B49" w:rsidP="00081146">
            <w:pPr>
              <w:pStyle w:val="Nadpis6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inorHAnsi" w:hAnsiTheme="minorHAnsi" w:cs="Tahoma"/>
                <w:i w:val="0"/>
                <w:iCs w:val="0"/>
                <w:color w:val="auto"/>
                <w:szCs w:val="20"/>
              </w:rPr>
            </w:pPr>
            <w:r w:rsidRPr="00CC58F2">
              <w:rPr>
                <w:rFonts w:asciiTheme="minorHAnsi" w:hAnsiTheme="minorHAnsi" w:cs="Tahoma"/>
                <w:i w:val="0"/>
                <w:iCs w:val="0"/>
                <w:color w:val="auto"/>
                <w:szCs w:val="20"/>
              </w:rPr>
              <w:t>ředitel</w:t>
            </w:r>
          </w:p>
        </w:tc>
        <w:tc>
          <w:tcPr>
            <w:tcW w:w="900" w:type="dxa"/>
            <w:vAlign w:val="center"/>
          </w:tcPr>
          <w:p w:rsidR="00F24B49" w:rsidRPr="00CC58F2" w:rsidRDefault="00F24B49" w:rsidP="00081146">
            <w:pPr>
              <w:widowControl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F24B49" w:rsidRPr="00CC58F2" w:rsidRDefault="00F24B49" w:rsidP="0008114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CC58F2">
              <w:rPr>
                <w:rFonts w:asciiTheme="minorHAnsi" w:hAnsiTheme="minorHAnsi" w:cs="Tahoma"/>
                <w:sz w:val="20"/>
                <w:szCs w:val="20"/>
              </w:rPr>
              <w:t xml:space="preserve">za </w:t>
            </w:r>
            <w:r w:rsidR="00CC58F2">
              <w:rPr>
                <w:rFonts w:asciiTheme="minorHAnsi" w:hAnsiTheme="minorHAnsi" w:cs="Tahoma"/>
                <w:sz w:val="20"/>
                <w:szCs w:val="20"/>
              </w:rPr>
              <w:t>prodávajícího</w:t>
            </w:r>
          </w:p>
          <w:p w:rsidR="00F24B49" w:rsidRPr="00CC58F2" w:rsidRDefault="006D0D92" w:rsidP="0008114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Ing. Petr Trávník</w:t>
            </w:r>
          </w:p>
        </w:tc>
      </w:tr>
      <w:bookmarkEnd w:id="4"/>
    </w:tbl>
    <w:p w:rsidR="0031516A" w:rsidRPr="00CC58F2" w:rsidRDefault="0031516A" w:rsidP="00081146">
      <w:pPr>
        <w:widowControl w:val="0"/>
        <w:jc w:val="both"/>
        <w:rPr>
          <w:rFonts w:cs="Times New Roman"/>
          <w:sz w:val="20"/>
          <w:szCs w:val="20"/>
        </w:rPr>
      </w:pPr>
    </w:p>
    <w:sectPr w:rsidR="0031516A" w:rsidRPr="00CC58F2" w:rsidSect="005724FB">
      <w:pgSz w:w="11906" w:h="16838"/>
      <w:pgMar w:top="1418" w:right="1418" w:bottom="1418" w:left="1418" w:header="425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F992C0" w16cid:durableId="206DBD0E"/>
  <w16cid:commentId w16cid:paraId="2EC5449A" w16cid:durableId="206DB1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F2" w:rsidRDefault="00AA15F2" w:rsidP="001228B0">
      <w:pPr>
        <w:spacing w:after="0" w:line="240" w:lineRule="auto"/>
      </w:pPr>
      <w:r>
        <w:separator/>
      </w:r>
    </w:p>
  </w:endnote>
  <w:endnote w:type="continuationSeparator" w:id="0">
    <w:p w:rsidR="00AA15F2" w:rsidRDefault="00AA15F2" w:rsidP="0012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F2" w:rsidRDefault="00AA15F2" w:rsidP="001228B0">
      <w:pPr>
        <w:spacing w:after="0" w:line="240" w:lineRule="auto"/>
      </w:pPr>
      <w:r>
        <w:separator/>
      </w:r>
    </w:p>
  </w:footnote>
  <w:footnote w:type="continuationSeparator" w:id="0">
    <w:p w:rsidR="00AA15F2" w:rsidRDefault="00AA15F2" w:rsidP="0012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5D33"/>
    <w:multiLevelType w:val="multilevel"/>
    <w:tmpl w:val="51C6907E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"/>
      </w:rPr>
    </w:lvl>
    <w:lvl w:ilvl="1">
      <w:start w:val="6"/>
      <w:numFmt w:val="upperRoman"/>
      <w:lvlText w:val="%2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47A2F"/>
    <w:multiLevelType w:val="multilevel"/>
    <w:tmpl w:val="1E0CF81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C62B46"/>
    <w:multiLevelType w:val="hybridMultilevel"/>
    <w:tmpl w:val="D1C87CBA"/>
    <w:lvl w:ilvl="0" w:tplc="340E4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2710B"/>
    <w:multiLevelType w:val="multilevel"/>
    <w:tmpl w:val="924CF5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A104B2"/>
    <w:multiLevelType w:val="multilevel"/>
    <w:tmpl w:val="924CF5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25F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AF76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76213"/>
    <w:multiLevelType w:val="hybridMultilevel"/>
    <w:tmpl w:val="1CA2CCAA"/>
    <w:lvl w:ilvl="0" w:tplc="BA3E8E7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44142"/>
    <w:multiLevelType w:val="multilevel"/>
    <w:tmpl w:val="9EA806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C460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DB2100"/>
    <w:multiLevelType w:val="multilevel"/>
    <w:tmpl w:val="0DF81E14"/>
    <w:lvl w:ilvl="0">
      <w:start w:val="1"/>
      <w:numFmt w:val="decimal"/>
      <w:lvlText w:val="9.%1."/>
      <w:lvlJc w:val="left"/>
      <w:pPr>
        <w:ind w:left="680" w:hanging="396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181B81"/>
    <w:multiLevelType w:val="multilevel"/>
    <w:tmpl w:val="C22A761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D02FBA"/>
    <w:multiLevelType w:val="multilevel"/>
    <w:tmpl w:val="1E0CF81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7F042D"/>
    <w:multiLevelType w:val="multilevel"/>
    <w:tmpl w:val="924CF5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5B70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CD5B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C82134"/>
    <w:multiLevelType w:val="hybridMultilevel"/>
    <w:tmpl w:val="08A039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DA5FD5"/>
    <w:multiLevelType w:val="multilevel"/>
    <w:tmpl w:val="CF603AFC"/>
    <w:lvl w:ilvl="0">
      <w:start w:val="1"/>
      <w:numFmt w:val="decimal"/>
      <w:lvlText w:val="2.%1."/>
      <w:lvlJc w:val="left"/>
      <w:rPr>
        <w:rFonts w:asciiTheme="minorHAnsi" w:eastAsia="Arial Unicode MS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B12E8"/>
    <w:multiLevelType w:val="multilevel"/>
    <w:tmpl w:val="924CF5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713C77"/>
    <w:multiLevelType w:val="multilevel"/>
    <w:tmpl w:val="0A18B14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FF6B93"/>
    <w:multiLevelType w:val="hybridMultilevel"/>
    <w:tmpl w:val="CCA20108"/>
    <w:lvl w:ilvl="0" w:tplc="EF96D76E">
      <w:start w:val="1"/>
      <w:numFmt w:val="lowerLetter"/>
      <w:lvlText w:val="%1)"/>
      <w:lvlJc w:val="left"/>
      <w:pPr>
        <w:ind w:left="1331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51" w:hanging="360"/>
      </w:pPr>
    </w:lvl>
    <w:lvl w:ilvl="2" w:tplc="0405001B" w:tentative="1">
      <w:start w:val="1"/>
      <w:numFmt w:val="lowerRoman"/>
      <w:lvlText w:val="%3."/>
      <w:lvlJc w:val="right"/>
      <w:pPr>
        <w:ind w:left="2771" w:hanging="180"/>
      </w:pPr>
    </w:lvl>
    <w:lvl w:ilvl="3" w:tplc="0405000F" w:tentative="1">
      <w:start w:val="1"/>
      <w:numFmt w:val="decimal"/>
      <w:lvlText w:val="%4."/>
      <w:lvlJc w:val="left"/>
      <w:pPr>
        <w:ind w:left="3491" w:hanging="360"/>
      </w:pPr>
    </w:lvl>
    <w:lvl w:ilvl="4" w:tplc="04050019" w:tentative="1">
      <w:start w:val="1"/>
      <w:numFmt w:val="lowerLetter"/>
      <w:lvlText w:val="%5."/>
      <w:lvlJc w:val="left"/>
      <w:pPr>
        <w:ind w:left="4211" w:hanging="360"/>
      </w:pPr>
    </w:lvl>
    <w:lvl w:ilvl="5" w:tplc="0405001B" w:tentative="1">
      <w:start w:val="1"/>
      <w:numFmt w:val="lowerRoman"/>
      <w:lvlText w:val="%6."/>
      <w:lvlJc w:val="right"/>
      <w:pPr>
        <w:ind w:left="4931" w:hanging="180"/>
      </w:pPr>
    </w:lvl>
    <w:lvl w:ilvl="6" w:tplc="0405000F" w:tentative="1">
      <w:start w:val="1"/>
      <w:numFmt w:val="decimal"/>
      <w:lvlText w:val="%7."/>
      <w:lvlJc w:val="left"/>
      <w:pPr>
        <w:ind w:left="5651" w:hanging="360"/>
      </w:pPr>
    </w:lvl>
    <w:lvl w:ilvl="7" w:tplc="04050019" w:tentative="1">
      <w:start w:val="1"/>
      <w:numFmt w:val="lowerLetter"/>
      <w:lvlText w:val="%8."/>
      <w:lvlJc w:val="left"/>
      <w:pPr>
        <w:ind w:left="6371" w:hanging="360"/>
      </w:pPr>
    </w:lvl>
    <w:lvl w:ilvl="8" w:tplc="040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 w15:restartNumberingAfterBreak="0">
    <w:nsid w:val="72155494"/>
    <w:multiLevelType w:val="hybridMultilevel"/>
    <w:tmpl w:val="6832A1E6"/>
    <w:lvl w:ilvl="0" w:tplc="513CFE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2967"/>
    <w:multiLevelType w:val="hybridMultilevel"/>
    <w:tmpl w:val="FB8E2170"/>
    <w:lvl w:ilvl="0" w:tplc="0DA4A4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9778E"/>
    <w:multiLevelType w:val="multilevel"/>
    <w:tmpl w:val="82AA582C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C830C4"/>
    <w:multiLevelType w:val="multilevel"/>
    <w:tmpl w:val="924CF5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8"/>
  </w:num>
  <w:num w:numId="5">
    <w:abstractNumId w:val="22"/>
  </w:num>
  <w:num w:numId="6">
    <w:abstractNumId w:val="5"/>
  </w:num>
  <w:num w:numId="7">
    <w:abstractNumId w:val="25"/>
  </w:num>
  <w:num w:numId="8">
    <w:abstractNumId w:val="19"/>
  </w:num>
  <w:num w:numId="9">
    <w:abstractNumId w:val="14"/>
  </w:num>
  <w:num w:numId="10">
    <w:abstractNumId w:val="15"/>
  </w:num>
  <w:num w:numId="11">
    <w:abstractNumId w:val="10"/>
  </w:num>
  <w:num w:numId="12">
    <w:abstractNumId w:val="6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12"/>
  </w:num>
  <w:num w:numId="18">
    <w:abstractNumId w:val="9"/>
  </w:num>
  <w:num w:numId="19">
    <w:abstractNumId w:val="20"/>
  </w:num>
  <w:num w:numId="20">
    <w:abstractNumId w:val="24"/>
  </w:num>
  <w:num w:numId="21">
    <w:abstractNumId w:val="11"/>
  </w:num>
  <w:num w:numId="22">
    <w:abstractNumId w:val="2"/>
  </w:num>
  <w:num w:numId="23">
    <w:abstractNumId w:val="4"/>
  </w:num>
  <w:num w:numId="24">
    <w:abstractNumId w:val="21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M7E0M7K0MDMyNzdU0lEKTi0uzszPAykwrAUAnsjAbywAAAA="/>
  </w:docVars>
  <w:rsids>
    <w:rsidRoot w:val="0031516A"/>
    <w:rsid w:val="00016C3B"/>
    <w:rsid w:val="00025A5C"/>
    <w:rsid w:val="00025DE2"/>
    <w:rsid w:val="000372E7"/>
    <w:rsid w:val="00040F1E"/>
    <w:rsid w:val="00081146"/>
    <w:rsid w:val="00094BC3"/>
    <w:rsid w:val="00096A68"/>
    <w:rsid w:val="000B32FB"/>
    <w:rsid w:val="000F1B9B"/>
    <w:rsid w:val="000F5F5D"/>
    <w:rsid w:val="001047C6"/>
    <w:rsid w:val="00113B67"/>
    <w:rsid w:val="00115679"/>
    <w:rsid w:val="001228B0"/>
    <w:rsid w:val="00123880"/>
    <w:rsid w:val="00127DEC"/>
    <w:rsid w:val="00135A55"/>
    <w:rsid w:val="00147EED"/>
    <w:rsid w:val="001638CE"/>
    <w:rsid w:val="0018522E"/>
    <w:rsid w:val="001869FC"/>
    <w:rsid w:val="00191EC6"/>
    <w:rsid w:val="001C0320"/>
    <w:rsid w:val="001D280A"/>
    <w:rsid w:val="001D5E64"/>
    <w:rsid w:val="001F54EB"/>
    <w:rsid w:val="0020489F"/>
    <w:rsid w:val="00230989"/>
    <w:rsid w:val="00253ACE"/>
    <w:rsid w:val="00266BDE"/>
    <w:rsid w:val="00274AA5"/>
    <w:rsid w:val="00283B9A"/>
    <w:rsid w:val="002D1F1E"/>
    <w:rsid w:val="002F27A9"/>
    <w:rsid w:val="002F347A"/>
    <w:rsid w:val="002F37EA"/>
    <w:rsid w:val="002F3809"/>
    <w:rsid w:val="002F4C5A"/>
    <w:rsid w:val="002F63A9"/>
    <w:rsid w:val="00304F84"/>
    <w:rsid w:val="00306964"/>
    <w:rsid w:val="0031516A"/>
    <w:rsid w:val="0033629A"/>
    <w:rsid w:val="00340D7A"/>
    <w:rsid w:val="00397E2A"/>
    <w:rsid w:val="003C2F4B"/>
    <w:rsid w:val="003E4AA1"/>
    <w:rsid w:val="00401E48"/>
    <w:rsid w:val="004139EA"/>
    <w:rsid w:val="00424EEB"/>
    <w:rsid w:val="00431099"/>
    <w:rsid w:val="00471274"/>
    <w:rsid w:val="004B3992"/>
    <w:rsid w:val="004B65DD"/>
    <w:rsid w:val="004D55B1"/>
    <w:rsid w:val="0050266A"/>
    <w:rsid w:val="00506BF6"/>
    <w:rsid w:val="0053634E"/>
    <w:rsid w:val="0055293B"/>
    <w:rsid w:val="005724FB"/>
    <w:rsid w:val="00584EDF"/>
    <w:rsid w:val="00586A5D"/>
    <w:rsid w:val="005A1C36"/>
    <w:rsid w:val="005B19FA"/>
    <w:rsid w:val="005B5FD1"/>
    <w:rsid w:val="005C739C"/>
    <w:rsid w:val="006016DD"/>
    <w:rsid w:val="00603513"/>
    <w:rsid w:val="00626F91"/>
    <w:rsid w:val="00651E34"/>
    <w:rsid w:val="00674648"/>
    <w:rsid w:val="006821F7"/>
    <w:rsid w:val="006D0D92"/>
    <w:rsid w:val="006E4855"/>
    <w:rsid w:val="00725B9E"/>
    <w:rsid w:val="00743B7A"/>
    <w:rsid w:val="00762E02"/>
    <w:rsid w:val="007A42D5"/>
    <w:rsid w:val="007D5CEA"/>
    <w:rsid w:val="007F3ED8"/>
    <w:rsid w:val="007F424C"/>
    <w:rsid w:val="008045C5"/>
    <w:rsid w:val="0083154F"/>
    <w:rsid w:val="008A472B"/>
    <w:rsid w:val="008B652E"/>
    <w:rsid w:val="008C0EC3"/>
    <w:rsid w:val="008E28EA"/>
    <w:rsid w:val="008E788F"/>
    <w:rsid w:val="008F27B2"/>
    <w:rsid w:val="009076E5"/>
    <w:rsid w:val="009329C3"/>
    <w:rsid w:val="00962D64"/>
    <w:rsid w:val="00966429"/>
    <w:rsid w:val="0097437D"/>
    <w:rsid w:val="00993610"/>
    <w:rsid w:val="009A0014"/>
    <w:rsid w:val="009A160A"/>
    <w:rsid w:val="009A27F4"/>
    <w:rsid w:val="009B22DF"/>
    <w:rsid w:val="009B5B70"/>
    <w:rsid w:val="009B5E25"/>
    <w:rsid w:val="009B6C0E"/>
    <w:rsid w:val="009D2698"/>
    <w:rsid w:val="009F36E3"/>
    <w:rsid w:val="00A14354"/>
    <w:rsid w:val="00A223F8"/>
    <w:rsid w:val="00A350B0"/>
    <w:rsid w:val="00A53CB5"/>
    <w:rsid w:val="00A76F88"/>
    <w:rsid w:val="00AA15F2"/>
    <w:rsid w:val="00AA7434"/>
    <w:rsid w:val="00AB09E7"/>
    <w:rsid w:val="00AE1C27"/>
    <w:rsid w:val="00AF260C"/>
    <w:rsid w:val="00AF26AC"/>
    <w:rsid w:val="00AF2ACC"/>
    <w:rsid w:val="00B105FB"/>
    <w:rsid w:val="00B440DF"/>
    <w:rsid w:val="00B4755F"/>
    <w:rsid w:val="00B61820"/>
    <w:rsid w:val="00B61EBD"/>
    <w:rsid w:val="00B96148"/>
    <w:rsid w:val="00BD172D"/>
    <w:rsid w:val="00BF47C4"/>
    <w:rsid w:val="00C03526"/>
    <w:rsid w:val="00C072E7"/>
    <w:rsid w:val="00C2282D"/>
    <w:rsid w:val="00C326E7"/>
    <w:rsid w:val="00C6142F"/>
    <w:rsid w:val="00C6771C"/>
    <w:rsid w:val="00C71290"/>
    <w:rsid w:val="00C7758E"/>
    <w:rsid w:val="00C80959"/>
    <w:rsid w:val="00CA4073"/>
    <w:rsid w:val="00CC3FD8"/>
    <w:rsid w:val="00CC51A8"/>
    <w:rsid w:val="00CC58F2"/>
    <w:rsid w:val="00CD2B65"/>
    <w:rsid w:val="00CE2BB8"/>
    <w:rsid w:val="00CE57A6"/>
    <w:rsid w:val="00CF3E7C"/>
    <w:rsid w:val="00D27A7D"/>
    <w:rsid w:val="00D47A51"/>
    <w:rsid w:val="00D760D6"/>
    <w:rsid w:val="00DA7490"/>
    <w:rsid w:val="00DD189F"/>
    <w:rsid w:val="00E25DB9"/>
    <w:rsid w:val="00E32576"/>
    <w:rsid w:val="00E62B14"/>
    <w:rsid w:val="00E7365D"/>
    <w:rsid w:val="00E80C15"/>
    <w:rsid w:val="00E863D1"/>
    <w:rsid w:val="00E90A17"/>
    <w:rsid w:val="00EB34AA"/>
    <w:rsid w:val="00EC1932"/>
    <w:rsid w:val="00EE2F08"/>
    <w:rsid w:val="00EE5559"/>
    <w:rsid w:val="00F032EE"/>
    <w:rsid w:val="00F24B49"/>
    <w:rsid w:val="00F430C8"/>
    <w:rsid w:val="00F52BBD"/>
    <w:rsid w:val="00F547A1"/>
    <w:rsid w:val="00F76C9B"/>
    <w:rsid w:val="00FA482C"/>
    <w:rsid w:val="00FB653E"/>
    <w:rsid w:val="00FC0925"/>
    <w:rsid w:val="00FC4FC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5722F"/>
  <w15:docId w15:val="{11568E01-4CBB-4FA8-B1DB-980124C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4B49"/>
    <w:pPr>
      <w:keepNext/>
      <w:numPr>
        <w:ilvl w:val="2"/>
        <w:numId w:val="20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4B49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E57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7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7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7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7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B440DF"/>
    <w:pPr>
      <w:ind w:left="720"/>
      <w:contextualSpacing/>
    </w:pPr>
  </w:style>
  <w:style w:type="paragraph" w:styleId="Normlnweb">
    <w:name w:val="Normal (Web)"/>
    <w:basedOn w:val="Normln"/>
    <w:uiPriority w:val="99"/>
    <w:rsid w:val="009B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2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8B0"/>
  </w:style>
  <w:style w:type="paragraph" w:styleId="Zpat">
    <w:name w:val="footer"/>
    <w:basedOn w:val="Normln"/>
    <w:link w:val="ZpatChar"/>
    <w:uiPriority w:val="99"/>
    <w:unhideWhenUsed/>
    <w:rsid w:val="00122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8B0"/>
  </w:style>
  <w:style w:type="character" w:styleId="Hypertextovodkaz">
    <w:name w:val="Hyperlink"/>
    <w:basedOn w:val="Standardnpsmoodstavce"/>
    <w:rsid w:val="00BD172D"/>
    <w:rPr>
      <w:color w:val="0066CC"/>
      <w:u w:val="single"/>
    </w:rPr>
  </w:style>
  <w:style w:type="character" w:customStyle="1" w:styleId="Bodytext2NotBold">
    <w:name w:val="Body text (2) + Not Bold"/>
    <w:basedOn w:val="Standardnpsmoodstavce"/>
    <w:rsid w:val="00BD172D"/>
    <w:rPr>
      <w:b/>
      <w:bCs/>
      <w:i w:val="0"/>
      <w:iCs w:val="0"/>
      <w:smallCaps w:val="0"/>
      <w:strike w:val="0"/>
      <w:spacing w:val="0"/>
      <w:sz w:val="22"/>
      <w:szCs w:val="22"/>
      <w:lang w:val="sk"/>
    </w:rPr>
  </w:style>
  <w:style w:type="character" w:customStyle="1" w:styleId="Bodytext">
    <w:name w:val="Body text_"/>
    <w:basedOn w:val="Standardnpsmoodstavce"/>
    <w:link w:val="BodyText1"/>
    <w:rsid w:val="00BD172D"/>
    <w:rPr>
      <w:shd w:val="clear" w:color="auto" w:fill="FFFFFF"/>
    </w:rPr>
  </w:style>
  <w:style w:type="character" w:customStyle="1" w:styleId="Heading2">
    <w:name w:val="Heading #2_"/>
    <w:basedOn w:val="Standardnpsmoodstavce"/>
    <w:link w:val="Heading20"/>
    <w:rsid w:val="00BD172D"/>
    <w:rPr>
      <w:sz w:val="25"/>
      <w:szCs w:val="25"/>
      <w:shd w:val="clear" w:color="auto" w:fill="FFFFFF"/>
    </w:rPr>
  </w:style>
  <w:style w:type="character" w:customStyle="1" w:styleId="Heading211pt">
    <w:name w:val="Heading #2 + 11 pt"/>
    <w:basedOn w:val="Heading2"/>
    <w:rsid w:val="00BD172D"/>
    <w:rPr>
      <w:sz w:val="22"/>
      <w:szCs w:val="22"/>
      <w:u w:val="single"/>
      <w:shd w:val="clear" w:color="auto" w:fill="FFFFFF"/>
    </w:rPr>
  </w:style>
  <w:style w:type="character" w:customStyle="1" w:styleId="Heading3">
    <w:name w:val="Heading #3_"/>
    <w:basedOn w:val="Standardnpsmoodstavce"/>
    <w:link w:val="Heading30"/>
    <w:rsid w:val="00BD172D"/>
    <w:rPr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rsid w:val="00BD17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ln"/>
    <w:link w:val="Bodytext"/>
    <w:rsid w:val="00BD172D"/>
    <w:pPr>
      <w:shd w:val="clear" w:color="auto" w:fill="FFFFFF"/>
      <w:spacing w:after="0" w:line="254" w:lineRule="exact"/>
      <w:ind w:hanging="900"/>
    </w:pPr>
  </w:style>
  <w:style w:type="paragraph" w:customStyle="1" w:styleId="Heading20">
    <w:name w:val="Heading #2"/>
    <w:basedOn w:val="Normln"/>
    <w:link w:val="Heading2"/>
    <w:rsid w:val="00BD172D"/>
    <w:pPr>
      <w:shd w:val="clear" w:color="auto" w:fill="FFFFFF"/>
      <w:spacing w:after="0" w:line="595" w:lineRule="exact"/>
      <w:ind w:hanging="1260"/>
      <w:outlineLvl w:val="1"/>
    </w:pPr>
    <w:rPr>
      <w:sz w:val="25"/>
      <w:szCs w:val="25"/>
    </w:rPr>
  </w:style>
  <w:style w:type="paragraph" w:customStyle="1" w:styleId="Heading30">
    <w:name w:val="Heading #3"/>
    <w:basedOn w:val="Normln"/>
    <w:link w:val="Heading3"/>
    <w:rsid w:val="00BD172D"/>
    <w:pPr>
      <w:shd w:val="clear" w:color="auto" w:fill="FFFFFF"/>
      <w:spacing w:before="780" w:after="300" w:line="0" w:lineRule="atLeast"/>
      <w:ind w:hanging="720"/>
      <w:jc w:val="both"/>
      <w:outlineLvl w:val="2"/>
    </w:pPr>
  </w:style>
  <w:style w:type="paragraph" w:customStyle="1" w:styleId="Bodytext60">
    <w:name w:val="Body text (6)"/>
    <w:basedOn w:val="Normln"/>
    <w:link w:val="Bodytext6"/>
    <w:rsid w:val="00BD172D"/>
    <w:pPr>
      <w:shd w:val="clear" w:color="auto" w:fill="FFFFFF"/>
      <w:spacing w:before="540" w:after="960" w:line="0" w:lineRule="atLeast"/>
    </w:pPr>
    <w:rPr>
      <w:sz w:val="23"/>
      <w:szCs w:val="23"/>
    </w:rPr>
  </w:style>
  <w:style w:type="character" w:customStyle="1" w:styleId="Nadpis3Char">
    <w:name w:val="Nadpis 3 Char"/>
    <w:basedOn w:val="Standardnpsmoodstavce"/>
    <w:link w:val="Nadpis3"/>
    <w:rsid w:val="00F24B4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lnek">
    <w:name w:val="Článek"/>
    <w:basedOn w:val="Nadpis1"/>
    <w:rsid w:val="00F24B49"/>
    <w:pPr>
      <w:keepLines w:val="0"/>
      <w:numPr>
        <w:numId w:val="20"/>
      </w:numPr>
      <w:tabs>
        <w:tab w:val="clear" w:pos="432"/>
      </w:tabs>
      <w:spacing w:before="240" w:after="120" w:line="360" w:lineRule="auto"/>
      <w:ind w:left="720" w:hanging="360"/>
      <w:jc w:val="center"/>
    </w:pPr>
    <w:rPr>
      <w:rFonts w:ascii="Times New Roman" w:eastAsia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F24B49"/>
    <w:pPr>
      <w:numPr>
        <w:ilvl w:val="1"/>
        <w:numId w:val="20"/>
      </w:numPr>
      <w:spacing w:after="12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rsid w:val="00F24B49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B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4B4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paragraph" w:customStyle="1" w:styleId="xl36">
    <w:name w:val="xl36"/>
    <w:basedOn w:val="Normln"/>
    <w:rsid w:val="00F24B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3A8E-097C-4C87-A5BF-6F4610E7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ARROWS</dc:creator>
  <cp:lastModifiedBy>Pavlína Holubová</cp:lastModifiedBy>
  <cp:revision>2</cp:revision>
  <dcterms:created xsi:type="dcterms:W3CDTF">2020-02-05T13:30:00Z</dcterms:created>
  <dcterms:modified xsi:type="dcterms:W3CDTF">2020-02-05T13:30:00Z</dcterms:modified>
</cp:coreProperties>
</file>