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 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xml:space="preserve">: </w:t>
      </w:r>
      <w:proofErr w:type="gramStart"/>
      <w:r w:rsidRPr="000A26AB">
        <w:rPr>
          <w:rFonts w:ascii="Arial" w:hAnsi="Arial" w:cs="Arial"/>
          <w:sz w:val="22"/>
          <w:szCs w:val="22"/>
        </w:rPr>
        <w:t>01312774</w:t>
      </w:r>
      <w:r w:rsidR="001B233D">
        <w:rPr>
          <w:rFonts w:ascii="Arial" w:hAnsi="Arial" w:cs="Arial"/>
          <w:sz w:val="22"/>
          <w:szCs w:val="22"/>
        </w:rPr>
        <w:t>,</w:t>
      </w:r>
      <w:r w:rsidRPr="000A26AB">
        <w:rPr>
          <w:rFonts w:ascii="Arial" w:hAnsi="Arial" w:cs="Arial"/>
          <w:sz w:val="22"/>
          <w:szCs w:val="22"/>
        </w:rPr>
        <w:t>DIČ</w:t>
      </w:r>
      <w:proofErr w:type="gramEnd"/>
      <w:r w:rsidRPr="000A26AB">
        <w:rPr>
          <w:rFonts w:ascii="Arial" w:hAnsi="Arial" w:cs="Arial"/>
          <w:sz w:val="22"/>
          <w:szCs w:val="22"/>
        </w:rPr>
        <w:t>: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1022931917</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B233D" w:rsidRDefault="00136D24">
      <w:pPr>
        <w:widowControl/>
        <w:rPr>
          <w:rFonts w:ascii="Arial" w:hAnsi="Arial" w:cs="Arial"/>
          <w:color w:val="000000"/>
          <w:sz w:val="22"/>
          <w:szCs w:val="22"/>
        </w:rPr>
      </w:pPr>
      <w:r w:rsidRPr="000A26AB">
        <w:rPr>
          <w:rFonts w:ascii="Arial" w:hAnsi="Arial" w:cs="Arial"/>
          <w:b/>
          <w:color w:val="000000"/>
          <w:sz w:val="22"/>
          <w:szCs w:val="22"/>
        </w:rPr>
        <w:t>AGROS Slavonice spol. s r.o.</w:t>
      </w:r>
      <w:r w:rsidRPr="000A26AB">
        <w:rPr>
          <w:rFonts w:ascii="Arial" w:hAnsi="Arial" w:cs="Arial"/>
          <w:color w:val="000000"/>
          <w:sz w:val="22"/>
          <w:szCs w:val="22"/>
        </w:rPr>
        <w:t xml:space="preserve">, </w:t>
      </w:r>
    </w:p>
    <w:p w:rsidR="00136D24" w:rsidRDefault="001B233D">
      <w:pPr>
        <w:widowControl/>
        <w:rPr>
          <w:rFonts w:ascii="Arial" w:hAnsi="Arial" w:cs="Arial"/>
          <w:color w:val="000000"/>
          <w:sz w:val="22"/>
          <w:szCs w:val="22"/>
        </w:rPr>
      </w:pPr>
      <w:r>
        <w:rPr>
          <w:rFonts w:ascii="Arial" w:hAnsi="Arial" w:cs="Arial"/>
          <w:color w:val="000000"/>
          <w:sz w:val="22"/>
          <w:szCs w:val="22"/>
        </w:rPr>
        <w:t>S</w:t>
      </w:r>
      <w:r w:rsidR="00136D24" w:rsidRPr="000A26AB">
        <w:rPr>
          <w:rFonts w:ascii="Arial" w:hAnsi="Arial" w:cs="Arial"/>
          <w:color w:val="000000"/>
          <w:sz w:val="22"/>
          <w:szCs w:val="22"/>
        </w:rPr>
        <w:t xml:space="preserve">ídlo Písečné 1, Písečné, PSČ 378 72, </w:t>
      </w:r>
    </w:p>
    <w:p w:rsidR="001B233D" w:rsidRDefault="001B233D" w:rsidP="001B233D">
      <w:pPr>
        <w:widowControl/>
        <w:rPr>
          <w:rFonts w:ascii="Arial" w:hAnsi="Arial" w:cs="Arial"/>
          <w:color w:val="000000"/>
          <w:sz w:val="22"/>
          <w:szCs w:val="22"/>
        </w:rPr>
      </w:pPr>
      <w:r>
        <w:rPr>
          <w:rFonts w:ascii="Arial" w:hAnsi="Arial" w:cs="Arial"/>
          <w:color w:val="000000"/>
          <w:sz w:val="22"/>
          <w:szCs w:val="22"/>
        </w:rPr>
        <w:t>vedená v obchodním rejstříku u Krajského soudu v Českých Budějovicích, oddíl C, vložka 2976</w:t>
      </w:r>
    </w:p>
    <w:p w:rsidR="001B233D" w:rsidRDefault="001B233D" w:rsidP="001B233D">
      <w:pPr>
        <w:widowControl/>
        <w:rPr>
          <w:rFonts w:ascii="Arial" w:hAnsi="Arial" w:cs="Arial"/>
          <w:color w:val="000000"/>
          <w:sz w:val="22"/>
          <w:szCs w:val="22"/>
        </w:rPr>
      </w:pPr>
      <w:r>
        <w:rPr>
          <w:rFonts w:ascii="Arial" w:hAnsi="Arial" w:cs="Arial"/>
          <w:color w:val="000000"/>
          <w:sz w:val="22"/>
          <w:szCs w:val="22"/>
        </w:rPr>
        <w:t>IČO:49018337,</w:t>
      </w:r>
      <w:r w:rsidRPr="001B233D">
        <w:rPr>
          <w:rFonts w:ascii="Arial" w:hAnsi="Arial" w:cs="Arial"/>
          <w:color w:val="000000"/>
          <w:sz w:val="22"/>
          <w:szCs w:val="22"/>
        </w:rPr>
        <w:t xml:space="preserve"> </w:t>
      </w:r>
      <w:r w:rsidRPr="000A26AB">
        <w:rPr>
          <w:rFonts w:ascii="Arial" w:hAnsi="Arial" w:cs="Arial"/>
          <w:color w:val="000000"/>
          <w:sz w:val="22"/>
          <w:szCs w:val="22"/>
        </w:rPr>
        <w:t>DIČ CZ49018337</w:t>
      </w:r>
    </w:p>
    <w:p w:rsidR="001B233D" w:rsidRPr="000A26AB" w:rsidRDefault="001B233D" w:rsidP="001B233D">
      <w:pPr>
        <w:widowControl/>
        <w:rPr>
          <w:rFonts w:ascii="Arial" w:hAnsi="Arial" w:cs="Arial"/>
          <w:color w:val="000000"/>
          <w:sz w:val="22"/>
          <w:szCs w:val="22"/>
        </w:rPr>
      </w:pPr>
      <w:r>
        <w:rPr>
          <w:rFonts w:ascii="Arial" w:hAnsi="Arial" w:cs="Arial"/>
          <w:color w:val="000000"/>
          <w:sz w:val="22"/>
          <w:szCs w:val="22"/>
        </w:rPr>
        <w:t xml:space="preserve">zastoupená </w:t>
      </w:r>
      <w:proofErr w:type="gramStart"/>
      <w:r>
        <w:rPr>
          <w:rFonts w:ascii="Arial" w:hAnsi="Arial" w:cs="Arial"/>
          <w:color w:val="000000"/>
          <w:sz w:val="22"/>
          <w:szCs w:val="22"/>
        </w:rPr>
        <w:t>ing.</w:t>
      </w:r>
      <w:proofErr w:type="gramEnd"/>
      <w:r>
        <w:rPr>
          <w:rFonts w:ascii="Arial" w:hAnsi="Arial" w:cs="Arial"/>
          <w:color w:val="000000"/>
          <w:sz w:val="22"/>
          <w:szCs w:val="22"/>
        </w:rPr>
        <w:t xml:space="preserve"> Josefem Kolářem, jednatelem společnosti</w:t>
      </w:r>
    </w:p>
    <w:p w:rsidR="001B233D" w:rsidRPr="000A26AB" w:rsidRDefault="001B233D">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1022931917</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Jindřichův Hradec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645/1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661/1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stavební</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661/4</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1389/31</w:t>
      </w:r>
      <w:r w:rsidRPr="000A26AB">
        <w:rPr>
          <w:rFonts w:ascii="Arial" w:hAnsi="Arial" w:cs="Arial"/>
          <w:sz w:val="18"/>
          <w:szCs w:val="18"/>
        </w:rPr>
        <w:tab/>
        <w:t>trvalý travní porost</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9491/3</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Slavonice</w:t>
      </w:r>
      <w:r w:rsidRPr="000A26AB">
        <w:rPr>
          <w:rFonts w:ascii="Arial" w:hAnsi="Arial" w:cs="Arial"/>
          <w:sz w:val="18"/>
          <w:szCs w:val="18"/>
        </w:rPr>
        <w:tab/>
      </w:r>
      <w:proofErr w:type="spellStart"/>
      <w:r w:rsidRPr="000A26AB">
        <w:rPr>
          <w:rFonts w:ascii="Arial" w:hAnsi="Arial" w:cs="Arial"/>
          <w:sz w:val="18"/>
          <w:szCs w:val="18"/>
        </w:rPr>
        <w:t>Slavonice</w:t>
      </w:r>
      <w:proofErr w:type="spellEnd"/>
      <w:r w:rsidRPr="000A26AB">
        <w:rPr>
          <w:rFonts w:ascii="Arial" w:hAnsi="Arial" w:cs="Arial"/>
          <w:sz w:val="18"/>
          <w:szCs w:val="18"/>
        </w:rPr>
        <w:tab/>
        <w:t>9491/6</w:t>
      </w:r>
      <w:r w:rsidRPr="000A26AB">
        <w:rPr>
          <w:rFonts w:ascii="Arial" w:hAnsi="Arial" w:cs="Arial"/>
          <w:sz w:val="18"/>
          <w:szCs w:val="18"/>
        </w:rPr>
        <w:tab/>
        <w:t>ostatní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10 odst. 4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lastRenderedPageBreak/>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w:t>
      </w:r>
      <w:proofErr w:type="gramStart"/>
      <w:r w:rsidRPr="000A26AB">
        <w:rPr>
          <w:rFonts w:ascii="Arial" w:hAnsi="Arial" w:cs="Arial"/>
          <w:sz w:val="22"/>
          <w:szCs w:val="22"/>
        </w:rPr>
        <w:t>stavu</w:t>
      </w:r>
      <w:proofErr w:type="gramEnd"/>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645/1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94 000,00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661/1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131 200,00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661/4</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13 930,00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1389/31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561 800,00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9491/3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85 570,00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Slavonice</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9491/6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207 600,00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1 094 100,00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A21A9C" w:rsidRDefault="00A21A9C">
      <w:pPr>
        <w:widowControl/>
        <w:tabs>
          <w:tab w:val="left" w:pos="426"/>
        </w:tabs>
      </w:pPr>
    </w:p>
    <w:p w:rsidR="001B233D" w:rsidRDefault="001B233D">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prodávaným pozemkům je řešen: nájemní smlouvou č. 290N03/07, kterou s SPÚ, resp. dříve PF ČR uzavřela spol. AGROS Slavonice spol. s r.o., jakožto nájemce. </w:t>
      </w:r>
    </w:p>
    <w:p w:rsidR="00136D24" w:rsidRPr="000A26AB" w:rsidRDefault="00136D24">
      <w:pPr>
        <w:pStyle w:val="vnitrniText"/>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1B233D" w:rsidRPr="000A26AB" w:rsidRDefault="001B233D">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136D24"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w:t>
      </w:r>
      <w:r w:rsidR="00467976" w:rsidRPr="00467976">
        <w:rPr>
          <w:rFonts w:ascii="Arial" w:hAnsi="Arial" w:cs="Arial"/>
          <w:sz w:val="22"/>
          <w:szCs w:val="22"/>
        </w:rPr>
        <w:lastRenderedPageBreak/>
        <w:t>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Default="00A277E3" w:rsidP="00A277E3">
      <w:pPr>
        <w:pStyle w:val="vnitrniText"/>
        <w:widowControl/>
        <w:rPr>
          <w:rFonts w:ascii="Arial" w:hAnsi="Arial" w:cs="Arial"/>
          <w:sz w:val="22"/>
          <w:szCs w:val="22"/>
        </w:rPr>
      </w:pPr>
    </w:p>
    <w:p w:rsidR="001B233D" w:rsidRPr="000A26AB" w:rsidRDefault="001B233D"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562C72"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10 odst. 4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Default="00136D24">
      <w:pPr>
        <w:widowControl/>
        <w:ind w:firstLine="426"/>
        <w:jc w:val="both"/>
        <w:rPr>
          <w:rFonts w:ascii="Arial" w:hAnsi="Arial" w:cs="Arial"/>
          <w:sz w:val="22"/>
          <w:szCs w:val="22"/>
        </w:rPr>
      </w:pPr>
    </w:p>
    <w:p w:rsidR="001B233D" w:rsidRPr="000A26AB" w:rsidRDefault="001B233D">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0F0F19">
        <w:rPr>
          <w:rFonts w:ascii="Arial" w:hAnsi="Arial" w:cs="Arial"/>
          <w:sz w:val="22"/>
          <w:szCs w:val="22"/>
        </w:rPr>
        <w:t xml:space="preserve">   </w:t>
      </w:r>
      <w:r w:rsidR="00182CDA">
        <w:rPr>
          <w:rFonts w:ascii="Arial" w:hAnsi="Arial" w:cs="Arial"/>
          <w:sz w:val="22"/>
          <w:szCs w:val="22"/>
        </w:rPr>
        <w:t>24</w:t>
      </w:r>
      <w:r w:rsidR="000F0F19">
        <w:rPr>
          <w:rFonts w:ascii="Arial" w:hAnsi="Arial" w:cs="Arial"/>
          <w:sz w:val="22"/>
          <w:szCs w:val="22"/>
        </w:rPr>
        <w:t xml:space="preserve">. </w:t>
      </w:r>
      <w:r w:rsidR="00182CDA">
        <w:rPr>
          <w:rFonts w:ascii="Arial" w:hAnsi="Arial" w:cs="Arial"/>
          <w:sz w:val="22"/>
          <w:szCs w:val="22"/>
        </w:rPr>
        <w:t>1</w:t>
      </w:r>
      <w:bookmarkStart w:id="0" w:name="_GoBack"/>
      <w:bookmarkEnd w:id="0"/>
      <w:r w:rsidR="000F0F19">
        <w:rPr>
          <w:rFonts w:ascii="Arial" w:hAnsi="Arial" w:cs="Arial"/>
          <w:sz w:val="22"/>
          <w:szCs w:val="22"/>
        </w:rPr>
        <w:t>. 2020</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Default="00136D24">
      <w:pPr>
        <w:widowControl/>
        <w:rPr>
          <w:rFonts w:ascii="Arial" w:hAnsi="Arial" w:cs="Arial"/>
          <w:sz w:val="22"/>
          <w:szCs w:val="22"/>
        </w:rPr>
      </w:pPr>
    </w:p>
    <w:p w:rsidR="001B233D" w:rsidRPr="000A26AB" w:rsidRDefault="001B233D">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AGROS Slavonice spol. s r.o.</w:t>
      </w:r>
    </w:p>
    <w:p w:rsidR="001B233D"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r w:rsidR="001B233D">
        <w:rPr>
          <w:rFonts w:ascii="Arial" w:hAnsi="Arial" w:cs="Arial"/>
          <w:sz w:val="22"/>
          <w:szCs w:val="22"/>
        </w:rPr>
        <w:t xml:space="preserve">jednatel společnosti                                 </w:t>
      </w:r>
    </w:p>
    <w:p w:rsidR="00136D24" w:rsidRPr="000A26AB" w:rsidRDefault="001B233D">
      <w:pPr>
        <w:widowControl/>
        <w:ind w:left="5104" w:hanging="5104"/>
        <w:rPr>
          <w:rFonts w:ascii="Arial" w:hAnsi="Arial" w:cs="Arial"/>
          <w:sz w:val="22"/>
          <w:szCs w:val="22"/>
        </w:rPr>
      </w:pPr>
      <w:r w:rsidRPr="000A26AB">
        <w:rPr>
          <w:rFonts w:ascii="Arial" w:hAnsi="Arial" w:cs="Arial"/>
          <w:sz w:val="22"/>
          <w:szCs w:val="22"/>
        </w:rPr>
        <w:t>pro Jihočeský kraj</w:t>
      </w:r>
      <w:r w:rsidR="00136D24" w:rsidRPr="000A26AB">
        <w:rPr>
          <w:rFonts w:ascii="Arial" w:hAnsi="Arial" w:cs="Arial"/>
          <w:sz w:val="22"/>
          <w:szCs w:val="22"/>
        </w:rPr>
        <w:tab/>
      </w:r>
      <w:r>
        <w:rPr>
          <w:rFonts w:ascii="Arial" w:hAnsi="Arial" w:cs="Arial"/>
          <w:sz w:val="22"/>
          <w:szCs w:val="22"/>
        </w:rPr>
        <w:t>Ing. Josef Kolář</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r w:rsidR="001B233D" w:rsidRPr="000A26AB">
        <w:rPr>
          <w:rFonts w:ascii="Arial" w:hAnsi="Arial" w:cs="Arial"/>
          <w:sz w:val="22"/>
          <w:szCs w:val="22"/>
        </w:rPr>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Default="00136D24">
      <w:pPr>
        <w:widowControl/>
        <w:ind w:left="5104" w:hanging="5104"/>
        <w:rPr>
          <w:rFonts w:ascii="Arial" w:hAnsi="Arial" w:cs="Arial"/>
          <w:sz w:val="22"/>
          <w:szCs w:val="22"/>
        </w:rPr>
      </w:pPr>
    </w:p>
    <w:p w:rsidR="001B233D" w:rsidRDefault="001B233D">
      <w:pPr>
        <w:widowControl/>
        <w:ind w:left="5104" w:hanging="5104"/>
        <w:rPr>
          <w:rFonts w:ascii="Arial" w:hAnsi="Arial" w:cs="Arial"/>
          <w:sz w:val="22"/>
          <w:szCs w:val="22"/>
        </w:rPr>
      </w:pPr>
    </w:p>
    <w:p w:rsidR="001B233D" w:rsidRDefault="001B233D">
      <w:pPr>
        <w:widowControl/>
        <w:ind w:left="5104" w:hanging="5104"/>
        <w:rPr>
          <w:rFonts w:ascii="Arial" w:hAnsi="Arial" w:cs="Arial"/>
          <w:sz w:val="22"/>
          <w:szCs w:val="22"/>
        </w:rPr>
      </w:pPr>
    </w:p>
    <w:p w:rsidR="001B233D" w:rsidRPr="000A26AB" w:rsidRDefault="001B233D">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4110317, 4110517, 4110617, 5001317, 4594517, 4594717</w:t>
      </w:r>
      <w:r w:rsidRPr="000A26AB">
        <w:rPr>
          <w:rFonts w:ascii="Arial" w:hAnsi="Arial" w:cs="Arial"/>
          <w:color w:val="000000"/>
          <w:sz w:val="22"/>
          <w:szCs w:val="22"/>
        </w:rPr>
        <w:br/>
      </w:r>
    </w:p>
    <w:p w:rsidR="001B233D" w:rsidRDefault="001B233D">
      <w:pPr>
        <w:widowControl/>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lastRenderedPageBreak/>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Nováková Jaroslava</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Default="00CD75A6" w:rsidP="00CD75A6">
      <w:pPr>
        <w:widowControl/>
        <w:rPr>
          <w:rFonts w:ascii="Arial" w:hAnsi="Arial" w:cs="Arial"/>
          <w:sz w:val="22"/>
          <w:szCs w:val="22"/>
        </w:rPr>
      </w:pPr>
    </w:p>
    <w:p w:rsidR="001B233D" w:rsidRDefault="001B233D" w:rsidP="00CD75A6">
      <w:pPr>
        <w:widowControl/>
        <w:rPr>
          <w:rFonts w:ascii="Arial" w:hAnsi="Arial" w:cs="Arial"/>
          <w:sz w:val="22"/>
          <w:szCs w:val="22"/>
        </w:rPr>
      </w:pPr>
    </w:p>
    <w:p w:rsidR="001B233D" w:rsidRDefault="001B233D" w:rsidP="00CD75A6">
      <w:pPr>
        <w:widowControl/>
        <w:rPr>
          <w:rFonts w:ascii="Arial" w:hAnsi="Arial" w:cs="Arial"/>
          <w:sz w:val="22"/>
          <w:szCs w:val="22"/>
        </w:rPr>
      </w:pPr>
    </w:p>
    <w:p w:rsidR="001B233D" w:rsidRPr="000A26AB" w:rsidRDefault="001B233D"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3D" w:rsidRDefault="001B233D">
      <w:r>
        <w:separator/>
      </w:r>
    </w:p>
  </w:endnote>
  <w:endnote w:type="continuationSeparator" w:id="0">
    <w:p w:rsidR="001B233D" w:rsidRDefault="001B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3D" w:rsidRDefault="001B233D">
      <w:r>
        <w:separator/>
      </w:r>
    </w:p>
  </w:footnote>
  <w:footnote w:type="continuationSeparator" w:id="0">
    <w:p w:rsidR="001B233D" w:rsidRDefault="001B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0F0F19"/>
    <w:rsid w:val="00136D24"/>
    <w:rsid w:val="00173C52"/>
    <w:rsid w:val="00182CDA"/>
    <w:rsid w:val="0019321D"/>
    <w:rsid w:val="001A65E1"/>
    <w:rsid w:val="001B233D"/>
    <w:rsid w:val="00205461"/>
    <w:rsid w:val="002055A2"/>
    <w:rsid w:val="0023011E"/>
    <w:rsid w:val="002359DB"/>
    <w:rsid w:val="002750DE"/>
    <w:rsid w:val="00303F00"/>
    <w:rsid w:val="00322338"/>
    <w:rsid w:val="003237EF"/>
    <w:rsid w:val="00371BEF"/>
    <w:rsid w:val="00417673"/>
    <w:rsid w:val="0043604A"/>
    <w:rsid w:val="00465601"/>
    <w:rsid w:val="00467976"/>
    <w:rsid w:val="004A7F09"/>
    <w:rsid w:val="00562C72"/>
    <w:rsid w:val="0056566C"/>
    <w:rsid w:val="005A7486"/>
    <w:rsid w:val="005C47E0"/>
    <w:rsid w:val="0062466E"/>
    <w:rsid w:val="00625710"/>
    <w:rsid w:val="00634F8F"/>
    <w:rsid w:val="006356A1"/>
    <w:rsid w:val="00643661"/>
    <w:rsid w:val="006917C4"/>
    <w:rsid w:val="0069488F"/>
    <w:rsid w:val="006B26DB"/>
    <w:rsid w:val="006D719F"/>
    <w:rsid w:val="00712BA6"/>
    <w:rsid w:val="00722FCE"/>
    <w:rsid w:val="00724A2B"/>
    <w:rsid w:val="007E3A0A"/>
    <w:rsid w:val="007F4AFB"/>
    <w:rsid w:val="00822906"/>
    <w:rsid w:val="00831AF0"/>
    <w:rsid w:val="00842ADC"/>
    <w:rsid w:val="00864044"/>
    <w:rsid w:val="00881E28"/>
    <w:rsid w:val="00885D35"/>
    <w:rsid w:val="008C265A"/>
    <w:rsid w:val="00944D59"/>
    <w:rsid w:val="00984A46"/>
    <w:rsid w:val="00A21A9C"/>
    <w:rsid w:val="00A277E3"/>
    <w:rsid w:val="00A31C3B"/>
    <w:rsid w:val="00A31FE2"/>
    <w:rsid w:val="00A439D2"/>
    <w:rsid w:val="00A75050"/>
    <w:rsid w:val="00A84EFA"/>
    <w:rsid w:val="00AD0A43"/>
    <w:rsid w:val="00B201D6"/>
    <w:rsid w:val="00B56780"/>
    <w:rsid w:val="00BA4773"/>
    <w:rsid w:val="00C02AD1"/>
    <w:rsid w:val="00C06373"/>
    <w:rsid w:val="00C70A46"/>
    <w:rsid w:val="00C9419D"/>
    <w:rsid w:val="00CD75A6"/>
    <w:rsid w:val="00D4440D"/>
    <w:rsid w:val="00D56A75"/>
    <w:rsid w:val="00D63429"/>
    <w:rsid w:val="00D65B9D"/>
    <w:rsid w:val="00DF4204"/>
    <w:rsid w:val="00E26F89"/>
    <w:rsid w:val="00E66585"/>
    <w:rsid w:val="00E85DC1"/>
    <w:rsid w:val="00EC3E05"/>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74A9A"/>
  <w14:defaultImageDpi w14:val="0"/>
  <w15:docId w15:val="{25619E4D-BBF2-4EC6-A4C2-D870F8D4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1232">
      <w:marLeft w:val="0"/>
      <w:marRight w:val="0"/>
      <w:marTop w:val="0"/>
      <w:marBottom w:val="0"/>
      <w:divBdr>
        <w:top w:val="none" w:sz="0" w:space="0" w:color="auto"/>
        <w:left w:val="none" w:sz="0" w:space="0" w:color="auto"/>
        <w:bottom w:val="none" w:sz="0" w:space="0" w:color="auto"/>
        <w:right w:val="none" w:sz="0" w:space="0" w:color="auto"/>
      </w:divBdr>
    </w:div>
    <w:div w:id="199321233">
      <w:marLeft w:val="0"/>
      <w:marRight w:val="0"/>
      <w:marTop w:val="0"/>
      <w:marBottom w:val="0"/>
      <w:divBdr>
        <w:top w:val="none" w:sz="0" w:space="0" w:color="auto"/>
        <w:left w:val="none" w:sz="0" w:space="0" w:color="auto"/>
        <w:bottom w:val="none" w:sz="0" w:space="0" w:color="auto"/>
        <w:right w:val="none" w:sz="0" w:space="0" w:color="auto"/>
      </w:divBdr>
    </w:div>
    <w:div w:id="199321234">
      <w:marLeft w:val="0"/>
      <w:marRight w:val="0"/>
      <w:marTop w:val="0"/>
      <w:marBottom w:val="0"/>
      <w:divBdr>
        <w:top w:val="none" w:sz="0" w:space="0" w:color="auto"/>
        <w:left w:val="none" w:sz="0" w:space="0" w:color="auto"/>
        <w:bottom w:val="none" w:sz="0" w:space="0" w:color="auto"/>
        <w:right w:val="none" w:sz="0" w:space="0" w:color="auto"/>
      </w:divBdr>
    </w:div>
    <w:div w:id="199321235">
      <w:marLeft w:val="0"/>
      <w:marRight w:val="0"/>
      <w:marTop w:val="0"/>
      <w:marBottom w:val="0"/>
      <w:divBdr>
        <w:top w:val="none" w:sz="0" w:space="0" w:color="auto"/>
        <w:left w:val="none" w:sz="0" w:space="0" w:color="auto"/>
        <w:bottom w:val="none" w:sz="0" w:space="0" w:color="auto"/>
        <w:right w:val="none" w:sz="0" w:space="0" w:color="auto"/>
      </w:divBdr>
    </w:div>
    <w:div w:id="199321236">
      <w:marLeft w:val="0"/>
      <w:marRight w:val="0"/>
      <w:marTop w:val="0"/>
      <w:marBottom w:val="0"/>
      <w:divBdr>
        <w:top w:val="none" w:sz="0" w:space="0" w:color="auto"/>
        <w:left w:val="none" w:sz="0" w:space="0" w:color="auto"/>
        <w:bottom w:val="none" w:sz="0" w:space="0" w:color="auto"/>
        <w:right w:val="none" w:sz="0" w:space="0" w:color="auto"/>
      </w:divBdr>
    </w:div>
    <w:div w:id="199321237">
      <w:marLeft w:val="0"/>
      <w:marRight w:val="0"/>
      <w:marTop w:val="0"/>
      <w:marBottom w:val="0"/>
      <w:divBdr>
        <w:top w:val="none" w:sz="0" w:space="0" w:color="auto"/>
        <w:left w:val="none" w:sz="0" w:space="0" w:color="auto"/>
        <w:bottom w:val="none" w:sz="0" w:space="0" w:color="auto"/>
        <w:right w:val="none" w:sz="0" w:space="0" w:color="auto"/>
      </w:divBdr>
    </w:div>
    <w:div w:id="199321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1252</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Jaroslava Ing.</dc:creator>
  <cp:keywords/>
  <dc:description/>
  <cp:lastModifiedBy>Nováková Jaroslava Ing.</cp:lastModifiedBy>
  <cp:revision>3</cp:revision>
  <cp:lastPrinted>2000-06-22T10:13:00Z</cp:lastPrinted>
  <dcterms:created xsi:type="dcterms:W3CDTF">2020-01-03T12:15:00Z</dcterms:created>
  <dcterms:modified xsi:type="dcterms:W3CDTF">2020-02-05T14:56:00Z</dcterms:modified>
</cp:coreProperties>
</file>