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tabs>
          <w:tab w:leader="hyphen" w:pos="946" w:val="left"/>
        </w:tabs>
        <w:widowControl w:val="0"/>
        <w:keepNext w:val="0"/>
        <w:keepLines w:val="0"/>
        <w:shd w:val="clear" w:color="auto" w:fill="auto"/>
        <w:bidi w:val="0"/>
        <w:spacing w:before="0" w:after="4"/>
        <w:ind w:left="74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4.3pt;margin-top:-4.55pt;width:36.5pt;height:70.1pt;z-index:-125829376;mso-wrap-distance-left:5.pt;mso-wrap-distance-right:27.85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 xml:space="preserve">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Ve Smečkách 33, 110 UU ťraiia i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Ing. Josefem Češkou, vedoucím územního pracoviště PF CR ve sviiavai^n adresa: Olomoucká 26, 568 02 Svitavy IČ: 457 97 072 DIČ: 001-45797072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Zapsán v obchodním rejstříku vedeném Městským soudem v Praze,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odd.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A, vložka 6664 Bankovní spojení: GE CAPITAL BANK Svitavy, číslo účtu 17705-664/0600 (dále jen "pronajímatel")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84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jedné -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Firma </w:t>
      </w:r>
      <w:r>
        <w:rPr>
          <w:rStyle w:val="CharStyle6"/>
        </w:rPr>
        <w:t xml:space="preserve">AGRO Kunčina a.s.,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zastoupená předsedou představenstva panem </w:t>
      </w:r>
      <w:r>
        <w:rPr>
          <w:rStyle w:val="CharStyle6"/>
        </w:rPr>
        <w:t xml:space="preserve">Jiřím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Šejno Sídlo: Kunčina 290, 569 24 KunČina IČ:25262084 DIČ: 265-25262084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Zapsán v Obchodním rejstříku vedeném krajským soudem v Hradci Králové ,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odd.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 v 1557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ČS a.s.Moravská Třebová, číslo účtu 1280662379/0800 (dále jen "nájemce")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588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 na straně druhé - uzavírají podle ust. § 663 a násl. zákona č. 40/1964 Sb., Občanského zákoníku, později platných změn a doplňků, tuto: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780" w:right="0" w:firstLine="0"/>
      </w:pPr>
      <w:r>
        <w:pict>
          <v:shape id="_x0000_s1027" type="#_x0000_t75" style="position:absolute;margin-left:-96.95pt;margin-top:-18.pt;width:61.45pt;height:94.55pt;z-index:-125829375;mso-wrap-distance-left:5.pt;mso-wrap-distance-right:35.5pt;mso-position-horizontal-relative:margin" wrapcoords="0 0 21600 0 21600 21600 0 21600 0 0">
            <v:imagedata r:id="rId7" r:href="rId8"/>
            <w10:wrap type="square" side="right" anchorx="margin"/>
          </v:shape>
        </w:pict>
      </w:r>
      <w:r>
        <w:rPr>
          <w:rStyle w:val="CharStyle9"/>
          <w:b/>
          <w:bCs/>
        </w:rPr>
        <w:t>nájemní smlouvu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283"/>
        <w:ind w:left="362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č. 102N03/19</w:t>
      </w:r>
      <w:bookmarkEnd w:id="0"/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73"/>
        <w:ind w:left="434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</w:t>
      </w:r>
      <w:bookmarkEnd w:id="1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both"/>
        <w:spacing w:before="0" w:after="328" w:line="278" w:lineRule="exact"/>
        <w:ind w:left="0" w:right="600" w:firstLine="62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Pronajímatel spravuje ve smyslu ust. § 17 zákona č. 229/1991 Sb., ve zr platných změn a doplňků (dále jen "zákon o půdě") nemovitosti ve vlas specifikované v příloze této smlouvy ( příloha je nedílnou součástí této smlouv; Katastrálního úřadu ve Svitavách pro Obec a </w:t>
      </w:r>
      <w:r>
        <w:rPr>
          <w:rStyle w:val="CharStyle6"/>
        </w:rPr>
        <w:t xml:space="preserve">k.ú. Linhartice,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Obec Rozstání , </w:t>
      </w:r>
      <w:r>
        <w:rPr>
          <w:rStyle w:val="CharStyle6"/>
        </w:rPr>
        <w:t xml:space="preserve">k. u Moravské Třebové,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Obec Městečko Trnávka, </w:t>
      </w:r>
      <w:r>
        <w:rPr>
          <w:rStyle w:val="CharStyle6"/>
        </w:rPr>
        <w:t xml:space="preserve">k.ú. Stará Trnávka,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Obec a 1 Obec a </w:t>
      </w:r>
      <w:r>
        <w:rPr>
          <w:rStyle w:val="CharStyle6"/>
        </w:rPr>
        <w:t xml:space="preserve">k.ú. Borušov,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Obec a </w:t>
      </w:r>
      <w:r>
        <w:rPr>
          <w:rStyle w:val="CharStyle6"/>
        </w:rPr>
        <w:t xml:space="preserve">k,ú. </w:t>
      </w:r>
      <w:r>
        <w:rPr>
          <w:rStyle w:val="CharStyle6"/>
          <w:lang w:val="en-US" w:eastAsia="en-US" w:bidi="en-US"/>
        </w:rPr>
        <w:t xml:space="preserve">Malikov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a Obec Radkov, </w:t>
      </w:r>
      <w:r>
        <w:rPr>
          <w:rStyle w:val="CharStyle6"/>
        </w:rPr>
        <w:t>k.ú. Radkov i Třebové.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76"/>
        <w:ind w:left="434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</w:t>
      </w:r>
      <w:bookmarkEnd w:id="2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740" w:firstLine="620"/>
        <w:sectPr>
          <w:footnotePr>
            <w:pos w:val="pageBottom"/>
            <w:numFmt w:val="decimal"/>
            <w:numRestart w:val="continuous"/>
          </w:footnotePr>
          <w:pgSz w:w="11270" w:h="15226"/>
          <w:pgMar w:top="153" w:left="2554" w:right="154" w:bottom="604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Pronajímatel přenechává nájemci nemovitost (nemovitosti) uvedené v čl. I do užívání za účelem zemědělského využití.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270" w:h="15226"/>
          <w:pgMar w:top="138" w:left="0" w:right="0" w:bottom="13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702" w:lineRule="exact"/>
      </w:pPr>
      <w:r>
        <w:pict>
          <v:shape id="_x0000_s1028" type="#_x0000_t75" style="position:absolute;margin-left:30.7pt;margin-top:0;width:82.1pt;height:35.5pt;z-index:-251658752;mso-wrap-distance-left:5.pt;mso-wrap-distance-right:5.pt;mso-position-horizontal-relative:margin" wrapcoords="0 0">
            <v:imagedata r:id="rId9" r:href="rId10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11270" w:h="15226"/>
          <w:pgMar w:top="138" w:left="614" w:right="153" w:bottom="138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0"/>
        <w:ind w:left="5160" w:right="0" w:firstLine="0"/>
      </w:pPr>
      <w:r>
        <w:pict>
          <v:shape id="_x0000_s1029" type="#_x0000_t75" style="position:absolute;margin-left:-78.7pt;margin-top:364.3pt;width:121.45pt;height:360.pt;z-index:-125829374;mso-wrap-distance-left:5.pt;mso-wrap-distance-top:62.4pt;mso-wrap-distance-right:5.pt;mso-wrap-distance-bottom:20.pt;mso-position-horizontal-relative:margin;mso-position-vertical-relative:margin" wrapcoords="0 0 21600 0 21600 21600 0 21600 0 0">
            <v:imagedata r:id="rId11" r:href="rId12"/>
            <w10:wrap type="square" side="right" anchorx="margin" anchory="margin"/>
          </v:shape>
        </w:pict>
      </w: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Cl.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Ill</w:t>
      </w:r>
      <w:bookmarkEnd w:id="3"/>
    </w:p>
    <w:p>
      <w:pPr>
        <w:pStyle w:val="Style4"/>
        <w:tabs>
          <w:tab w:leader="none" w:pos="92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4" w:lineRule="exact"/>
        <w:ind w:left="980" w:right="0" w:firstLine="0"/>
      </w:pPr>
      <w:r>
        <w:rPr>
          <w:rStyle w:val="CharStyle14"/>
        </w:rPr>
        <w:t xml:space="preserve">Nájemce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povinen:</w:t>
        <w:tab/>
      </w:r>
      <w:r>
        <w:rPr>
          <w:rStyle w:val="CharStyle14"/>
        </w:rPr>
        <w:t>^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2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. „žívat pozemky řádně v souladu s jejich účelovým určenim, hospodařit na nich způsobem založeným na střídáni plodin a hnojeni organickou hmotou ve dvou až čtyřletých cyklech podle ^ fyzikálních vlastnosti půdy, způsobu hospodařeni a nároků pěstovaných rostlin,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 b) dodržovat povinnosti vyplývajíc! ze zákona č. 147/1996 Sb., o rostlinolékařské péči</w:t>
      </w:r>
    </w:p>
    <w:p>
      <w:pPr>
        <w:pStyle w:val="Style4"/>
        <w:numPr>
          <w:ilvl w:val="0"/>
          <w:numId w:val="1"/>
        </w:numPr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40" w:right="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dodržovat zákaz používání hospodářské činnosti vyvolávající erozi půdy a používání toxických a jiných škodlivých látek s dlouhodobým reziduálním účinkem, dodržovat ust. § 3 odst. 1 zákona č. </w:t>
      </w:r>
      <w:r>
        <w:rPr>
          <w:rStyle w:val="CharStyle15"/>
        </w:rPr>
        <w:t>33411992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Sb., o ochraně zemědělského půdního fondu</w:t>
      </w:r>
    </w:p>
    <w:p>
      <w:pPr>
        <w:pStyle w:val="Style4"/>
        <w:numPr>
          <w:ilvl w:val="0"/>
          <w:numId w:val="3"/>
        </w:numPr>
        <w:tabs>
          <w:tab w:leader="none" w:pos="13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40" w:right="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umožnit pronajímateli provádění kontroly k bodům a) až c) formou nahlédnutí do evidence rozborů a vstupem na pozemek,</w:t>
      </w:r>
    </w:p>
    <w:p>
      <w:pPr>
        <w:pStyle w:val="Style4"/>
        <w:numPr>
          <w:ilvl w:val="0"/>
          <w:numId w:val="3"/>
        </w:numPr>
        <w:tabs>
          <w:tab w:leader="none" w:pos="13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provádět podle podmínek sběr kamene,</w:t>
      </w:r>
    </w:p>
    <w:p>
      <w:pPr>
        <w:pStyle w:val="Style4"/>
        <w:numPr>
          <w:ilvl w:val="0"/>
          <w:numId w:val="3"/>
        </w:numPr>
        <w:tabs>
          <w:tab w:leader="none" w:pos="13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40" w:right="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vyžádat si souhlas pronajímatele při realizaci zúrodňovacích opatření a zakládání trvalých porostů na pozemcích nebo při provádění změny půdní kultury,</w:t>
      </w:r>
    </w:p>
    <w:p>
      <w:pPr>
        <w:pStyle w:val="Style4"/>
        <w:numPr>
          <w:ilvl w:val="0"/>
          <w:numId w:val="3"/>
        </w:numPr>
        <w:tabs>
          <w:tab w:leader="none" w:pos="1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trpět věcná břemena a služebnosti spojená s předmětem nájmu,</w:t>
      </w:r>
    </w:p>
    <w:p>
      <w:pPr>
        <w:pStyle w:val="Style4"/>
        <w:numPr>
          <w:ilvl w:val="0"/>
          <w:numId w:val="3"/>
        </w:numPr>
        <w:tabs>
          <w:tab w:leader="none" w:pos="1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 užívání předmětu nájmu platit pronajímateli nájemné a </w:t>
      </w:r>
      <w:r>
        <w:rPr>
          <w:rStyle w:val="CharStyle6"/>
        </w:rPr>
        <w:t>platit v souladu se zákonnou</w:t>
      </w:r>
    </w:p>
    <w:p>
      <w:pPr>
        <w:pStyle w:val="Style4"/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11"/>
        <w:ind w:left="0" w:right="0" w:firstLine="0"/>
      </w:pPr>
      <w:r>
        <w:rPr>
          <w:rStyle w:val="CharStyle6"/>
        </w:rPr>
        <w:t>1^</w:t>
        <w:tab/>
        <w:t xml:space="preserve">úpravou daň z nemovitostí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nemovitosti, jež jsou předmětem nájmu.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69"/>
        <w:ind w:left="5160" w:right="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IV</w:t>
      </w:r>
      <w:bookmarkEnd w:id="4"/>
    </w:p>
    <w:p>
      <w:pPr>
        <w:pStyle w:val="Style4"/>
        <w:numPr>
          <w:ilvl w:val="0"/>
          <w:numId w:val="5"/>
        </w:numPr>
        <w:tabs>
          <w:tab w:leader="none" w:pos="1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 se uzavírá ode dne ....16. 07. 2003. .. na dobu neurčitou.</w:t>
      </w:r>
    </w:p>
    <w:p>
      <w:pPr>
        <w:pStyle w:val="Style4"/>
        <w:numPr>
          <w:ilvl w:val="0"/>
          <w:numId w:val="5"/>
        </w:numPr>
        <w:tabs>
          <w:tab w:leader="none" w:pos="13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 založený touto smlouvou lze ukončit dohodou nebo písemnou výpovědí.</w:t>
      </w:r>
    </w:p>
    <w:p>
      <w:pPr>
        <w:pStyle w:val="Style4"/>
        <w:numPr>
          <w:ilvl w:val="0"/>
          <w:numId w:val="5"/>
        </w:numPr>
        <w:tabs>
          <w:tab w:leader="none" w:pos="13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40" w:right="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Účastníci smlouvy se v souladu s § 678 zákona č. 40/1964 Sb., Občanský zákoník, dohodli na jednoměsíční výpovědní lhůtě.</w:t>
      </w:r>
    </w:p>
    <w:p>
      <w:pPr>
        <w:pStyle w:val="Style4"/>
        <w:numPr>
          <w:ilvl w:val="0"/>
          <w:numId w:val="5"/>
        </w:numPr>
        <w:tabs>
          <w:tab w:leader="none" w:pos="13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11"/>
        <w:ind w:left="1240" w:right="0" w:hanging="2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Nájemní smlouvu lze vypovědět v jednoměsíční výpovědní lhůtě, a to vždy jen k 1. říjnu běžného roku výpovědí doručenou nejpozději do jednoho měsíce před tímto dnem.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265"/>
        <w:ind w:left="5160" w:right="0" w:firstLine="0"/>
      </w:pPr>
      <w:bookmarkStart w:id="5" w:name="bookmark5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</w:t>
      </w:r>
      <w:bookmarkEnd w:id="5"/>
    </w:p>
    <w:p>
      <w:pPr>
        <w:pStyle w:val="Style4"/>
        <w:numPr>
          <w:ilvl w:val="0"/>
          <w:numId w:val="7"/>
        </w:numPr>
        <w:tabs>
          <w:tab w:leader="none" w:pos="1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Nájemce je povinen platit pronajímateli nájemné.</w:t>
      </w:r>
    </w:p>
    <w:p>
      <w:pPr>
        <w:pStyle w:val="Style4"/>
        <w:numPr>
          <w:ilvl w:val="0"/>
          <w:numId w:val="7"/>
        </w:numPr>
        <w:tabs>
          <w:tab w:leader="none" w:pos="1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Roční nájemné se stanovuje ve výši 224.826,- Kč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615" w:line="288" w:lineRule="exact"/>
        <w:ind w:left="0" w:right="0" w:firstLine="12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dvěstědvacetčtyřitisícosmsetdvacetšestkorunčeských).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/>
        <w:ind w:left="5160" w:right="0" w:firstLine="0"/>
      </w:pPr>
      <w:bookmarkStart w:id="6" w:name="bookmark6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</w:t>
      </w:r>
      <w:bookmarkEnd w:id="6"/>
    </w:p>
    <w:p>
      <w:pPr>
        <w:pStyle w:val="Style4"/>
        <w:numPr>
          <w:ilvl w:val="0"/>
          <w:numId w:val="9"/>
        </w:numPr>
        <w:tabs>
          <w:tab w:leader="none" w:pos="1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9" w:line="244" w:lineRule="exact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Nájemné se platí ročně pozadu a to k 1.10. běžného roku</w:t>
      </w:r>
    </w:p>
    <w:p>
      <w:pPr>
        <w:pStyle w:val="Style4"/>
        <w:numPr>
          <w:ilvl w:val="0"/>
          <w:numId w:val="9"/>
        </w:numPr>
        <w:tabs>
          <w:tab w:leader="none" w:pos="13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/>
        <w:ind w:left="9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Nájemné bude hrazeno převodem na účet pronajímatele u GE CAPITAL BANK Svitavy, číslo účtu 17705-664/0600, variabilní symbol 10210319. Zaplacením se rozumí připsání placené částky na účet pronajímatele.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240" w:right="0" w:firstLine="0"/>
        <w:sectPr>
          <w:pgSz w:w="13152" w:h="17693"/>
          <w:pgMar w:top="2164" w:left="2234" w:right="818" w:bottom="102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První splátka nájemného k 1.10.2003 je poměrnou částí ročního nájemného za období od 16.7.2003 do </w:t>
      </w:r>
      <w:r>
        <w:rPr>
          <w:rStyle w:val="CharStyle15"/>
        </w:rPr>
        <w:t>30</w:t>
      </w:r>
      <w:r>
        <w:rPr>
          <w:rStyle w:val="CharStyle16"/>
        </w:rPr>
        <w:t>.</w:t>
      </w:r>
      <w:r>
        <w:rPr>
          <w:rStyle w:val="CharStyle15"/>
        </w:rPr>
        <w:t>09.2003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(77 dní) a činí 47 429,- Kč</w:t>
      </w:r>
    </w:p>
    <w:p>
      <w:pPr>
        <w:pStyle w:val="Style17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Nedodrží-li nájemce Ihůtu pro úhradu nájemného, je povinen podle ust. § 517 zákoi</w:t>
      </w:r>
    </w:p>
    <w:p>
      <w:pPr>
        <w:pStyle w:val="Style17"/>
        <w:tabs>
          <w:tab w:leader="none" w:pos="83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/>
        <w:ind w:left="4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č. 40/1964 Sb., Občanský zákoník, ve znění později platných změn a doplňků, zapla pronajímateli úrok z prodlení.</w:t>
        <w:tab/>
        <w:t>’</w:t>
      </w:r>
    </w:p>
    <w:p>
      <w:pPr>
        <w:pStyle w:val="Style17"/>
        <w:numPr>
          <w:ilvl w:val="0"/>
          <w:numId w:val="9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1"/>
        <w:ind w:left="4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Prodlení nájemce s úhradou nájemného delší než 60 dnů se považuje za porušení smlou^ které zakládá právo pronajímatele od smlouvy odstoupit.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50"/>
        <w:ind w:left="0" w:right="140" w:firstLine="0"/>
      </w:pPr>
      <w:bookmarkStart w:id="7" w:name="bookmark7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Cl. VII</w:t>
      </w:r>
      <w:bookmarkEnd w:id="7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0" w:right="0" w:firstLine="6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jsou na pronajímaných nemovitostech zřízena meliorační zařízení, nájemce se zavazuje:</w:t>
      </w:r>
    </w:p>
    <w:p>
      <w:pPr>
        <w:pStyle w:val="Style4"/>
        <w:numPr>
          <w:ilvl w:val="0"/>
          <w:numId w:val="11"/>
        </w:numPr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4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melioračních zařízení umístěných pod povrchem půdy zajistit údržbu,</w:t>
      </w:r>
    </w:p>
    <w:p>
      <w:pPr>
        <w:pStyle w:val="Style4"/>
        <w:numPr>
          <w:ilvl w:val="0"/>
          <w:numId w:val="11"/>
        </w:numPr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244" w:lineRule="exact"/>
        <w:ind w:left="4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69"/>
        <w:ind w:left="0" w:right="14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VIII</w:t>
      </w:r>
      <w:bookmarkEnd w:id="8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both"/>
        <w:spacing w:before="0" w:after="331"/>
        <w:ind w:left="0" w:right="300" w:firstLine="6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Nájemce bere na vědomí a je srozuměn s tím, že nemovitosti, které jsou předme nájmu dle této smlouvy, mohou být Pozemkovým fondem ČR převedeny na třetí o; v souladu s jeho dispozičním oprávněním.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65"/>
        <w:ind w:left="0" w:right="140" w:firstLine="0"/>
      </w:pPr>
      <w:bookmarkStart w:id="9" w:name="bookmark9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IX</w:t>
      </w:r>
      <w:bookmarkEnd w:id="9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335" w:line="288" w:lineRule="exact"/>
        <w:ind w:left="0" w:right="0" w:firstLine="6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Nájemce je oprávněn přenechat pronajaté nemovitosti, některé z nich nebo jejich i do podnájmu jen s předchozím písemným souhlasem pronajímatele.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69"/>
        <w:ind w:left="0" w:right="140" w:firstLine="0"/>
      </w:pPr>
      <w:bookmarkStart w:id="10" w:name="bookmark1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X</w:t>
      </w:r>
      <w:bookmarkEnd w:id="10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431"/>
        <w:ind w:left="0" w:right="0" w:firstLine="6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jakékoliv změny a doplňky této smlouvy jsou n pouze písemnou formou na základě dohody účastníků smlouvy.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73"/>
        <w:ind w:left="0" w:right="140" w:firstLine="0"/>
      </w:pPr>
      <w:bookmarkStart w:id="11" w:name="bookmark1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Čl. XI</w:t>
      </w:r>
      <w:bookmarkEnd w:id="11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both"/>
        <w:spacing w:before="0" w:after="328" w:line="278" w:lineRule="exact"/>
        <w:ind w:left="0" w:right="580" w:firstLine="6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třech stejnopisech, z nichž každý má platnost ori&lt; Jeden stejnopis přebírá nájemce a ostatní jsou určeny pro pronajímatele.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center"/>
        <w:spacing w:before="0" w:after="284"/>
        <w:ind w:left="0" w:right="140" w:firstLine="0"/>
      </w:pPr>
      <w:bookmarkStart w:id="12" w:name="bookmark1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XII</w:t>
      </w:r>
      <w:bookmarkEnd w:id="12"/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580" w:firstLine="640"/>
        <w:sectPr>
          <w:pgSz w:w="10997" w:h="15043"/>
          <w:pgMar w:top="681" w:left="1892" w:right="44" w:bottom="29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Účastníci smlouvy po jejím přečtení prohlašují, že s jejím obsahem souhlasí, a ; smlouva je shodným projevem jejich vážné a svobodné vůle a na důkaz toho připoj podpisy.</w:t>
      </w:r>
    </w:p>
    <w:p>
      <w:pPr>
        <w:widowControl w:val="0"/>
        <w:spacing w:line="226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0997" w:h="15043"/>
          <w:pgMar w:top="666" w:left="0" w:right="0" w:bottom="28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.95pt;margin-top:0;width:224.65pt;height:60.3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Ve Svitavách dne 16.7.2003</w:t>
                  </w:r>
                </w:p>
                <w:p>
                  <w:pPr>
                    <w:pStyle w:val="Style23"/>
                    <w:tabs>
                      <w:tab w:leader="none" w:pos="2424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/>
                  </w:pPr>
                  <w:bookmarkStart w:id="13" w:name="bookmark13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Pozemkový fond </w:t>
                  </w:r>
                  <w:r>
                    <w:rPr>
                      <w:rStyle w:val="CharStyle25"/>
                      <w:b w:val="0"/>
                      <w:bCs w:val="0"/>
                    </w:rPr>
                    <w:t>Pronajímatel ,</w:t>
                    <w:tab/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^eské republiky</w:t>
                  </w:r>
                  <w:bookmarkEnd w:id="13"/>
                </w:p>
                <w:p>
                  <w:pPr>
                    <w:pStyle w:val="Style26"/>
                    <w:tabs>
                      <w:tab w:leader="none" w:pos="393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250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spacing w:val="0"/>
                      <w:color w:val="000000"/>
                      <w:position w:val="0"/>
                    </w:rPr>
                    <w:t>Svitavy</w:t>
                    <w:tab/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.e-002pt;margin-top:85.45pt;width:136.3pt;height:28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Ing. Josef Češka</w:t>
                  </w:r>
                </w:p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2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TTD </w:t>
                  </w:r>
                  <w:r>
                    <w:rPr>
                      <w:lang w:val="en-US" w:eastAsia="en-US" w:bidi="en-U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'DC </w:t>
                  </w: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PC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29.35pt;margin-top:44.15pt;width:131.05pt;height:46.1pt;z-index:-251658751;mso-wrap-distance-left:5.pt;mso-wrap-distance-right:5.pt;mso-position-horizontal-relative:margin" wrapcoords="0 0">
            <v:imagedata r:id="rId13" r:href="rId14"/>
            <w10:wrap anchorx="margin"/>
          </v:shape>
        </w:pict>
      </w:r>
      <w:r>
        <w:pict>
          <v:shape id="_x0000_s1033" type="#_x0000_t202" style="position:absolute;margin-left:286.05pt;margin-top:31.7pt;width:46.1pt;height:14.2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Nájemce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284.15pt;margin-top:45.6pt;width:37.45pt;height:41.75pt;z-index:-251658750;mso-wrap-distance-left:5.pt;mso-wrap-distance-right:5.pt;mso-position-horizontal-relative:margin" wrapcoords="0 0">
            <v:imagedata r:id="rId15" r:href="rId16"/>
            <w10:wrap anchorx="margin"/>
          </v:shape>
        </w:pict>
      </w:r>
      <w:r>
        <w:pict>
          <v:shape id="_x0000_s1035" type="#_x0000_t202" style="position:absolute;margin-left:375.85pt;margin-top:32.9pt;width:48.pt;height:45.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4" w:name="bookmark14"/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spacing w:val="0"/>
                      <w:color w:val="000000"/>
                      <w:position w:val="0"/>
                    </w:rPr>
                    <w:t>AGRO K(</w:t>
                  </w:r>
                  <w:bookmarkEnd w:id="14"/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569 24 Ki</w:t>
                    <w:br/>
                    <w:t>IČO 2;</w:t>
                    <w:br/>
                    <w:t>DIČ 265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47.2pt;margin-top:87.35pt;width:173.3pt;height:29.3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1737" w:right="0" w:firstLine="0"/>
                  </w:pPr>
                  <w:r>
                    <w:rPr>
                      <w:rStyle w:val="CharStyle38"/>
                    </w:rPr>
                    <w:t>AGRO řj^unčii^lk/a.s.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1737" w:right="0" w:firstLine="0"/>
                  </w:pPr>
                  <w:r>
                    <w:rPr>
                      <w:rStyle w:val="CharStyle38"/>
                    </w:rPr>
                    <w:t>Jiří Šejnoha - předseda představen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5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0997" w:h="15043"/>
      <w:pgMar w:top="666" w:left="1882" w:right="44" w:bottom="28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00"/>
      <w:numFmt w:val="lowerRoman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4"/>
      <w:numFmt w:val="lowerLetter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8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6">
    <w:name w:val="Char Style 6"/>
    <w:basedOn w:val="CharStyle5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u w:val="none"/>
      <w:strike w:val="0"/>
      <w:smallCaps w:val="0"/>
      <w:sz w:val="36"/>
      <w:szCs w:val="36"/>
    </w:rPr>
  </w:style>
  <w:style w:type="character" w:customStyle="1" w:styleId="CharStyle9">
    <w:name w:val="Char Style 9"/>
    <w:basedOn w:val="CharStyle8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36"/>
      <w:szCs w:val="36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4">
    <w:name w:val="Char Style 14"/>
    <w:basedOn w:val="CharStyle5"/>
    <w:rPr>
      <w:lang w:val="cs-CZ" w:eastAsia="cs-CZ" w:bidi="cs-CZ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Char Style 15"/>
    <w:basedOn w:val="CharStyle5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Char Style 16"/>
    <w:basedOn w:val="CharStyle5"/>
    <w:rPr>
      <w:lang w:val="cs-CZ" w:eastAsia="cs-CZ" w:bidi="cs-CZ"/>
      <w:i/>
      <w:iCs/>
      <w:sz w:val="10"/>
      <w:szCs w:val="1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9">
    <w:name w:val="Char Style 19"/>
    <w:basedOn w:val="CharStyle18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Char Style 20"/>
    <w:basedOn w:val="CharStyle18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80"/>
      <w:spacing w:val="0"/>
      <w:color w:val="000000"/>
      <w:position w:val="0"/>
    </w:rPr>
  </w:style>
  <w:style w:type="character" w:customStyle="1" w:styleId="CharStyle22">
    <w:name w:val="Char Style 22 Exact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4">
    <w:name w:val="Char Style 24 Exact"/>
    <w:basedOn w:val="DefaultParagraphFont"/>
    <w:link w:val="Style23"/>
    <w:rPr>
      <w:b/>
      <w:bCs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25">
    <w:name w:val="Char Style 25 Exact"/>
    <w:basedOn w:val="CharStyle24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7">
    <w:name w:val="Char Style 27 Exact"/>
    <w:basedOn w:val="DefaultParagraphFont"/>
    <w:link w:val="Style26"/>
    <w:rPr>
      <w:b/>
      <w:bCs/>
      <w:i w:val="0"/>
      <w:iCs w:val="0"/>
      <w:u w:val="none"/>
      <w:strike w:val="0"/>
      <w:smallCaps w:val="0"/>
      <w:sz w:val="22"/>
      <w:szCs w:val="22"/>
      <w:w w:val="80"/>
    </w:rPr>
  </w:style>
  <w:style w:type="character" w:customStyle="1" w:styleId="CharStyle29">
    <w:name w:val="Char Style 29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1">
    <w:name w:val="Char Style 31 Exact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33">
    <w:name w:val="Char Style 33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5">
    <w:name w:val="Char Style 35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6"/>
      <w:szCs w:val="26"/>
      <w:w w:val="70"/>
    </w:rPr>
  </w:style>
  <w:style w:type="character" w:customStyle="1" w:styleId="CharStyle37">
    <w:name w:val="Char Style 37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38">
    <w:name w:val="Char Style 38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spacing w:after="160" w:line="88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160" w:line="283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before="680" w:line="398" w:lineRule="exact"/>
    </w:pPr>
    <w:rPr>
      <w:b/>
      <w:bCs/>
      <w:i w:val="0"/>
      <w:iCs w:val="0"/>
      <w:u w:val="none"/>
      <w:strike w:val="0"/>
      <w:smallCaps w:val="0"/>
      <w:sz w:val="36"/>
      <w:szCs w:val="36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outlineLvl w:val="0"/>
      <w:spacing w:after="160" w:line="398" w:lineRule="exact"/>
    </w:pPr>
    <w:rPr>
      <w:b/>
      <w:bCs/>
      <w:i w:val="0"/>
      <w:iCs w:val="0"/>
      <w:u w:val="none"/>
      <w:strike w:val="0"/>
      <w:smallCaps w:val="0"/>
      <w:sz w:val="36"/>
      <w:szCs w:val="36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3"/>
      <w:spacing w:before="160" w:after="30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line="283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outlineLvl w:val="1"/>
      <w:spacing w:line="288" w:lineRule="exact"/>
      <w:ind w:firstLine="2500"/>
    </w:pPr>
    <w:rPr>
      <w:b/>
      <w:bCs/>
      <w:i w:val="0"/>
      <w:iCs w:val="0"/>
      <w:u w:val="none"/>
      <w:strike w:val="0"/>
      <w:smallCaps w:val="0"/>
      <w:sz w:val="26"/>
      <w:szCs w:val="26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jc w:val="both"/>
      <w:spacing w:line="244" w:lineRule="exact"/>
    </w:pPr>
    <w:rPr>
      <w:b/>
      <w:bCs/>
      <w:i w:val="0"/>
      <w:iCs w:val="0"/>
      <w:u w:val="none"/>
      <w:strike w:val="0"/>
      <w:smallCaps w:val="0"/>
      <w:sz w:val="22"/>
      <w:szCs w:val="22"/>
      <w:w w:val="80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jc w:val="center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jc w:val="right"/>
      <w:outlineLvl w:val="2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w w:val="70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jc w:val="right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