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A75" w:rsidRDefault="002F5376">
      <w:pPr>
        <w:pStyle w:val="Nadpis10"/>
        <w:keepNext/>
        <w:keepLines/>
        <w:shd w:val="clear" w:color="auto" w:fill="auto"/>
      </w:pPr>
      <w:bookmarkStart w:id="0" w:name="bookmark0"/>
      <w:bookmarkStart w:id="1" w:name="bookmark1"/>
      <w:r>
        <w:t>Dodatek č. 1</w:t>
      </w:r>
      <w:bookmarkEnd w:id="0"/>
      <w:bookmarkEnd w:id="1"/>
    </w:p>
    <w:p w:rsidR="006A3A75" w:rsidRDefault="002F5376">
      <w:pPr>
        <w:pStyle w:val="Zkladntext1"/>
        <w:shd w:val="clear" w:color="auto" w:fill="auto"/>
        <w:spacing w:after="420" w:line="298" w:lineRule="auto"/>
        <w:ind w:firstLine="1960"/>
      </w:pPr>
      <w:r>
        <w:rPr>
          <w:b/>
          <w:bCs/>
        </w:rPr>
        <w:t>Smlouvy o poskytování právní pomoci a finančně ekonomických rad ve věcech daní, odvodů, poplatků a jiných podobných plateb, jakož i ve věcech, které s nimi přímo souvisejí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5"/>
        <w:gridCol w:w="8474"/>
      </w:tblGrid>
      <w:tr w:rsidR="006A3A75">
        <w:tblPrEx>
          <w:tblCellMar>
            <w:top w:w="0" w:type="dxa"/>
            <w:bottom w:w="0" w:type="dxa"/>
          </w:tblCellMar>
        </w:tblPrEx>
        <w:trPr>
          <w:trHeight w:hRule="exact" w:val="223"/>
          <w:jc w:val="center"/>
        </w:trPr>
        <w:tc>
          <w:tcPr>
            <w:tcW w:w="1195" w:type="dxa"/>
            <w:shd w:val="clear" w:color="auto" w:fill="FFFFFF"/>
          </w:tcPr>
          <w:p w:rsidR="006A3A75" w:rsidRDefault="006A3A75">
            <w:pPr>
              <w:rPr>
                <w:sz w:val="10"/>
                <w:szCs w:val="10"/>
              </w:rPr>
            </w:pPr>
          </w:p>
        </w:tc>
        <w:tc>
          <w:tcPr>
            <w:tcW w:w="8474" w:type="dxa"/>
            <w:shd w:val="clear" w:color="auto" w:fill="FFFFFF"/>
            <w:vAlign w:val="bottom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  <w:ind w:firstLine="220"/>
            </w:pPr>
            <w:r>
              <w:rPr>
                <w:b/>
                <w:bCs/>
              </w:rPr>
              <w:t>Národní galerie v Praze</w:t>
            </w:r>
          </w:p>
        </w:tc>
      </w:tr>
      <w:tr w:rsidR="006A3A75">
        <w:tblPrEx>
          <w:tblCellMar>
            <w:top w:w="0" w:type="dxa"/>
            <w:bottom w:w="0" w:type="dxa"/>
          </w:tblCellMar>
        </w:tblPrEx>
        <w:trPr>
          <w:trHeight w:hRule="exact" w:val="216"/>
          <w:jc w:val="center"/>
        </w:trPr>
        <w:tc>
          <w:tcPr>
            <w:tcW w:w="1195" w:type="dxa"/>
            <w:shd w:val="clear" w:color="auto" w:fill="FFFFFF"/>
            <w:vAlign w:val="bottom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</w:pPr>
            <w:r>
              <w:t>sídlem:</w:t>
            </w:r>
          </w:p>
        </w:tc>
        <w:tc>
          <w:tcPr>
            <w:tcW w:w="8474" w:type="dxa"/>
            <w:shd w:val="clear" w:color="auto" w:fill="FFFFFF"/>
            <w:vAlign w:val="bottom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  <w:ind w:firstLine="220"/>
            </w:pPr>
            <w:r>
              <w:t>Staroměstské náměstí 12, Praha 1</w:t>
            </w:r>
          </w:p>
        </w:tc>
      </w:tr>
      <w:tr w:rsidR="006A3A75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1195" w:type="dxa"/>
            <w:shd w:val="clear" w:color="auto" w:fill="FFFFFF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</w:pPr>
            <w:r>
              <w:t>IČO:</w:t>
            </w:r>
          </w:p>
        </w:tc>
        <w:tc>
          <w:tcPr>
            <w:tcW w:w="8474" w:type="dxa"/>
            <w:shd w:val="clear" w:color="auto" w:fill="FFFFFF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  <w:ind w:firstLine="220"/>
            </w:pPr>
            <w:r>
              <w:t>00023281</w:t>
            </w:r>
          </w:p>
        </w:tc>
      </w:tr>
      <w:tr w:rsidR="006A3A75">
        <w:tblPrEx>
          <w:tblCellMar>
            <w:top w:w="0" w:type="dxa"/>
            <w:bottom w:w="0" w:type="dxa"/>
          </w:tblCellMar>
        </w:tblPrEx>
        <w:trPr>
          <w:trHeight w:hRule="exact" w:val="234"/>
          <w:jc w:val="center"/>
        </w:trPr>
        <w:tc>
          <w:tcPr>
            <w:tcW w:w="1195" w:type="dxa"/>
            <w:shd w:val="clear" w:color="auto" w:fill="FFFFFF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</w:pPr>
            <w:r>
              <w:t>DIČ:</w:t>
            </w:r>
          </w:p>
        </w:tc>
        <w:tc>
          <w:tcPr>
            <w:tcW w:w="8474" w:type="dxa"/>
            <w:shd w:val="clear" w:color="auto" w:fill="FFFFFF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  <w:ind w:firstLine="220"/>
            </w:pPr>
            <w:r>
              <w:t>CZ00023281</w:t>
            </w:r>
          </w:p>
        </w:tc>
      </w:tr>
      <w:tr w:rsidR="006A3A75">
        <w:tblPrEx>
          <w:tblCellMar>
            <w:top w:w="0" w:type="dxa"/>
            <w:bottom w:w="0" w:type="dxa"/>
          </w:tblCellMar>
        </w:tblPrEx>
        <w:trPr>
          <w:trHeight w:hRule="exact" w:val="241"/>
          <w:jc w:val="center"/>
        </w:trPr>
        <w:tc>
          <w:tcPr>
            <w:tcW w:w="1195" w:type="dxa"/>
            <w:shd w:val="clear" w:color="auto" w:fill="FFFFFF"/>
            <w:vAlign w:val="bottom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</w:pPr>
            <w:r>
              <w:t>zastoupená:</w:t>
            </w:r>
          </w:p>
        </w:tc>
        <w:tc>
          <w:tcPr>
            <w:tcW w:w="8474" w:type="dxa"/>
            <w:shd w:val="clear" w:color="auto" w:fill="FFFFFF"/>
            <w:vAlign w:val="bottom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  <w:ind w:firstLine="220"/>
            </w:pPr>
            <w:r>
              <w:t>Ing. Alena Anne-Marie Nedoma, generální ředitelka</w:t>
            </w:r>
          </w:p>
        </w:tc>
      </w:tr>
      <w:tr w:rsidR="006A3A75">
        <w:tblPrEx>
          <w:tblCellMar>
            <w:top w:w="0" w:type="dxa"/>
            <w:bottom w:w="0" w:type="dxa"/>
          </w:tblCellMar>
        </w:tblPrEx>
        <w:trPr>
          <w:trHeight w:hRule="exact" w:val="1840"/>
          <w:jc w:val="center"/>
        </w:trPr>
        <w:tc>
          <w:tcPr>
            <w:tcW w:w="1195" w:type="dxa"/>
            <w:shd w:val="clear" w:color="auto" w:fill="FFFFFF"/>
          </w:tcPr>
          <w:p w:rsidR="006A3A75" w:rsidRDefault="002F5376">
            <w:pPr>
              <w:pStyle w:val="Jin0"/>
              <w:shd w:val="clear" w:color="auto" w:fill="auto"/>
              <w:spacing w:before="440" w:after="0" w:line="240" w:lineRule="auto"/>
            </w:pPr>
            <w:r>
              <w:t>a</w:t>
            </w:r>
          </w:p>
        </w:tc>
        <w:tc>
          <w:tcPr>
            <w:tcW w:w="8474" w:type="dxa"/>
            <w:shd w:val="clear" w:color="auto" w:fill="FFFFFF"/>
            <w:vAlign w:val="bottom"/>
          </w:tcPr>
          <w:p w:rsidR="006A3A75" w:rsidRDefault="002F5376">
            <w:pPr>
              <w:pStyle w:val="Jin0"/>
              <w:shd w:val="clear" w:color="auto" w:fill="auto"/>
              <w:spacing w:after="700"/>
              <w:ind w:firstLine="220"/>
            </w:pPr>
            <w:r>
              <w:t>(dále jen klient)</w:t>
            </w:r>
          </w:p>
          <w:p w:rsidR="006A3A75" w:rsidRDefault="002F5376">
            <w:pPr>
              <w:pStyle w:val="Jin0"/>
              <w:shd w:val="clear" w:color="auto" w:fill="auto"/>
              <w:spacing w:after="0"/>
              <w:ind w:firstLine="220"/>
            </w:pPr>
            <w:r>
              <w:rPr>
                <w:b/>
                <w:bCs/>
                <w:lang w:val="en-US" w:eastAsia="en-US" w:bidi="en-US"/>
              </w:rPr>
              <w:t xml:space="preserve">METIS </w:t>
            </w:r>
            <w:r>
              <w:rPr>
                <w:b/>
                <w:bCs/>
              </w:rPr>
              <w:t>Praha, spol. s r.o.</w:t>
            </w:r>
          </w:p>
          <w:p w:rsidR="006A3A75" w:rsidRDefault="002F5376">
            <w:pPr>
              <w:pStyle w:val="Jin0"/>
              <w:shd w:val="clear" w:color="auto" w:fill="auto"/>
              <w:spacing w:after="340"/>
              <w:ind w:left="220"/>
            </w:pPr>
            <w:r>
              <w:t xml:space="preserve">společnost zapsaná v evidenci právnických osob oprávněných vykonávat daňové poradenství vedené Komorou daňových </w:t>
            </w:r>
            <w:r>
              <w:t>poradců ČR a v obchodním rejstříku vedeném Městským soudem v Praze, oddíl C, vložka 60562</w:t>
            </w:r>
          </w:p>
        </w:tc>
      </w:tr>
      <w:tr w:rsidR="006A3A75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1195" w:type="dxa"/>
            <w:shd w:val="clear" w:color="auto" w:fill="FFFFFF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</w:pPr>
            <w:r>
              <w:t>sídlem:</w:t>
            </w:r>
          </w:p>
        </w:tc>
        <w:tc>
          <w:tcPr>
            <w:tcW w:w="8474" w:type="dxa"/>
            <w:shd w:val="clear" w:color="auto" w:fill="FFFFFF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  <w:ind w:firstLine="220"/>
            </w:pPr>
            <w:r>
              <w:t>Ke Stříbrníku 43/7, 252 62 Únětice</w:t>
            </w:r>
          </w:p>
        </w:tc>
      </w:tr>
      <w:tr w:rsidR="006A3A75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1195" w:type="dxa"/>
            <w:shd w:val="clear" w:color="auto" w:fill="FFFFFF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</w:pPr>
            <w:r>
              <w:t>IČO:</w:t>
            </w:r>
          </w:p>
        </w:tc>
        <w:tc>
          <w:tcPr>
            <w:tcW w:w="8474" w:type="dxa"/>
            <w:shd w:val="clear" w:color="auto" w:fill="FFFFFF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  <w:ind w:firstLine="220"/>
            </w:pPr>
            <w:r>
              <w:t>25679465</w:t>
            </w:r>
          </w:p>
        </w:tc>
      </w:tr>
      <w:tr w:rsidR="006A3A75">
        <w:tblPrEx>
          <w:tblCellMar>
            <w:top w:w="0" w:type="dxa"/>
            <w:bottom w:w="0" w:type="dxa"/>
          </w:tblCellMar>
        </w:tblPrEx>
        <w:trPr>
          <w:trHeight w:hRule="exact" w:val="482"/>
          <w:jc w:val="center"/>
        </w:trPr>
        <w:tc>
          <w:tcPr>
            <w:tcW w:w="1195" w:type="dxa"/>
            <w:shd w:val="clear" w:color="auto" w:fill="FFFFFF"/>
          </w:tcPr>
          <w:p w:rsidR="006A3A75" w:rsidRDefault="002F5376">
            <w:pPr>
              <w:pStyle w:val="Jin0"/>
              <w:shd w:val="clear" w:color="auto" w:fill="auto"/>
              <w:spacing w:after="0" w:line="240" w:lineRule="auto"/>
            </w:pPr>
            <w:r>
              <w:t>zastoupená:</w:t>
            </w:r>
          </w:p>
        </w:tc>
        <w:tc>
          <w:tcPr>
            <w:tcW w:w="8474" w:type="dxa"/>
            <w:shd w:val="clear" w:color="auto" w:fill="FFFFFF"/>
            <w:vAlign w:val="bottom"/>
          </w:tcPr>
          <w:p w:rsidR="006A3A75" w:rsidRDefault="00475165">
            <w:pPr>
              <w:pStyle w:val="Jin0"/>
              <w:shd w:val="clear" w:color="auto" w:fill="auto"/>
              <w:spacing w:after="0" w:line="240" w:lineRule="auto"/>
              <w:ind w:left="220"/>
            </w:pPr>
            <w:r>
              <w:t>XXXXXXXXXXXXXXX</w:t>
            </w:r>
            <w:r w:rsidR="002F5376">
              <w:t>, jednatelka (dále jen poradce)</w:t>
            </w:r>
          </w:p>
        </w:tc>
      </w:tr>
    </w:tbl>
    <w:p w:rsidR="006A3A75" w:rsidRDefault="006A3A75">
      <w:pPr>
        <w:spacing w:after="219" w:line="1" w:lineRule="exact"/>
      </w:pPr>
    </w:p>
    <w:p w:rsidR="006A3A75" w:rsidRDefault="002F5376">
      <w:pPr>
        <w:pStyle w:val="Zkladntext1"/>
        <w:shd w:val="clear" w:color="auto" w:fill="auto"/>
        <w:spacing w:after="220"/>
        <w:jc w:val="center"/>
      </w:pPr>
      <w:r>
        <w:t xml:space="preserve">uzavřely dne 2. 3. 2018 ve smyslu § </w:t>
      </w:r>
      <w:r>
        <w:t>2430 a násl. Občanského zákoníku příkazní smlouvu o poskytování právní pomoci</w:t>
      </w:r>
      <w:r>
        <w:br/>
        <w:t>a finančně ekonomických rad ve věcech daní, odvodů, poplatků a jiných podobných plateb, jakož i ve věcech, které</w:t>
      </w:r>
      <w:r>
        <w:br/>
        <w:t>s nimi přímo souvisejí. Vedeni snahou zajistit pro Národní galeri</w:t>
      </w:r>
      <w:r>
        <w:t>i v Praze sestavení a podání přiznání k dani z příjmů za</w:t>
      </w:r>
      <w:r>
        <w:br/>
        <w:t>rok 2019 a roky následující, sjednávají ke shora označené smlouvě klient a poradce</w:t>
      </w:r>
    </w:p>
    <w:p w:rsidR="006A3A75" w:rsidRDefault="002F5376">
      <w:pPr>
        <w:pStyle w:val="Zkladntext1"/>
        <w:shd w:val="clear" w:color="auto" w:fill="auto"/>
        <w:spacing w:after="220" w:line="240" w:lineRule="auto"/>
        <w:jc w:val="center"/>
      </w:pPr>
      <w:r>
        <w:rPr>
          <w:b/>
          <w:bCs/>
        </w:rPr>
        <w:t>Dodatek č. 1, kterým se shora označená smlouva mění takto:</w:t>
      </w:r>
    </w:p>
    <w:p w:rsidR="006A3A75" w:rsidRDefault="002F5376">
      <w:pPr>
        <w:pStyle w:val="Zkladntext1"/>
        <w:numPr>
          <w:ilvl w:val="0"/>
          <w:numId w:val="1"/>
        </w:numPr>
        <w:shd w:val="clear" w:color="auto" w:fill="auto"/>
        <w:tabs>
          <w:tab w:val="left" w:pos="280"/>
        </w:tabs>
        <w:spacing w:after="40" w:line="240" w:lineRule="auto"/>
        <w:ind w:left="300" w:hanging="300"/>
        <w:jc w:val="both"/>
      </w:pPr>
      <w:r>
        <w:t>V článku I. Předmět smlouvy se dosavadní odstavec označuj</w:t>
      </w:r>
      <w:r>
        <w:t>e jako odstavec 1. a na konec článku I. se vkládá nový odstavec 2., který zní:</w:t>
      </w:r>
    </w:p>
    <w:p w:rsidR="006A3A75" w:rsidRDefault="002F5376">
      <w:pPr>
        <w:pStyle w:val="Zkladntext1"/>
        <w:shd w:val="clear" w:color="auto" w:fill="auto"/>
        <w:jc w:val="both"/>
      </w:pPr>
      <w:r>
        <w:t>"2. Předmětem smlouvy je sestavení přiznání k dani z příjmů právnických osob klienta za rok 2019 a za roky následující a jeho podání v prodloužené lhůtě dle § 136 odst. 2 zákona</w:t>
      </w:r>
      <w:r>
        <w:t xml:space="preserve"> č. 280/2009 Sb., daňový řád, na základě účetní závěrky a dalších mimoúčetních podkladů, které klient předá poradci."</w:t>
      </w:r>
    </w:p>
    <w:p w:rsidR="006A3A75" w:rsidRDefault="002F5376">
      <w:pPr>
        <w:pStyle w:val="Zkladntext1"/>
        <w:numPr>
          <w:ilvl w:val="0"/>
          <w:numId w:val="1"/>
        </w:numPr>
        <w:shd w:val="clear" w:color="auto" w:fill="auto"/>
        <w:tabs>
          <w:tab w:val="left" w:pos="280"/>
        </w:tabs>
        <w:spacing w:line="240" w:lineRule="auto"/>
        <w:jc w:val="both"/>
      </w:pPr>
      <w:r>
        <w:t>V článku II. Způsob plnění se vkládá odstavec 4., který zní:</w:t>
      </w:r>
    </w:p>
    <w:p w:rsidR="006A3A75" w:rsidRDefault="002F5376">
      <w:pPr>
        <w:pStyle w:val="Zkladntext1"/>
        <w:shd w:val="clear" w:color="auto" w:fill="auto"/>
        <w:spacing w:line="240" w:lineRule="auto"/>
        <w:jc w:val="both"/>
      </w:pPr>
      <w:r>
        <w:t>„4. Pro plnění předmětu smlouvy dle článku I. odst. 2 předá klient poradci do</w:t>
      </w:r>
      <w:r>
        <w:t xml:space="preserve"> </w:t>
      </w:r>
      <w:proofErr w:type="gramStart"/>
      <w:r>
        <w:t>10.5. vhodně</w:t>
      </w:r>
      <w:proofErr w:type="gramEnd"/>
      <w:r>
        <w:t xml:space="preserve"> agregované výstupy z účetnictví vedeného v souladu s právními předpisy ČR, jakož i další mimoúčetní podklady potřebné pro správné stanovení daně, zejména informace o skladbě a obsahu jednotlivých činností klienta a podklady, na jejichž základ</w:t>
      </w:r>
      <w:r>
        <w:t xml:space="preserve">ě jsou rozdělovány náklady k jednotlivým činnostem. K podkladům předaným po </w:t>
      </w:r>
      <w:proofErr w:type="gramStart"/>
      <w:r>
        <w:t>10.6. není</w:t>
      </w:r>
      <w:proofErr w:type="gramEnd"/>
      <w:r>
        <w:t xml:space="preserve"> poradce při sestavení přiznání povinen přihlédnout.“</w:t>
      </w:r>
    </w:p>
    <w:p w:rsidR="006A3A75" w:rsidRDefault="002F5376">
      <w:pPr>
        <w:pStyle w:val="Zkladntext1"/>
        <w:numPr>
          <w:ilvl w:val="0"/>
          <w:numId w:val="1"/>
        </w:numPr>
        <w:shd w:val="clear" w:color="auto" w:fill="auto"/>
        <w:tabs>
          <w:tab w:val="left" w:pos="280"/>
        </w:tabs>
        <w:spacing w:line="240" w:lineRule="auto"/>
        <w:jc w:val="both"/>
      </w:pPr>
      <w:r>
        <w:t xml:space="preserve">V článku </w:t>
      </w:r>
      <w:r>
        <w:rPr>
          <w:lang w:val="en-US" w:eastAsia="en-US" w:bidi="en-US"/>
        </w:rPr>
        <w:t xml:space="preserve">III. </w:t>
      </w:r>
      <w:r>
        <w:t xml:space="preserve">Odměna poradce odst. 1 větě druhé </w:t>
      </w:r>
      <w:proofErr w:type="gramStart"/>
      <w:r>
        <w:t>se text: „či</w:t>
      </w:r>
      <w:proofErr w:type="gramEnd"/>
      <w:r>
        <w:t>. I“ nahrazuje textem: „čl. I odst. 1“.</w:t>
      </w:r>
    </w:p>
    <w:p w:rsidR="006A3A75" w:rsidRDefault="002F5376">
      <w:pPr>
        <w:pStyle w:val="Zkladntext1"/>
        <w:numPr>
          <w:ilvl w:val="0"/>
          <w:numId w:val="1"/>
        </w:numPr>
        <w:shd w:val="clear" w:color="auto" w:fill="auto"/>
        <w:tabs>
          <w:tab w:val="left" w:pos="280"/>
        </w:tabs>
        <w:spacing w:line="240" w:lineRule="auto"/>
        <w:ind w:left="300" w:hanging="300"/>
        <w:jc w:val="both"/>
      </w:pPr>
      <w:r>
        <w:t>V článku III. Od</w:t>
      </w:r>
      <w:r>
        <w:t>měna poradce se na konec odst. 1 vkládá věta: „Odměna poradce za Činnosti dle čl. I odst. 2 je sjednána v ceně 85.000 Kč za řádné daňové přiznání.“</w:t>
      </w:r>
    </w:p>
    <w:p w:rsidR="006A3A75" w:rsidRDefault="002F5376">
      <w:pPr>
        <w:pStyle w:val="Zkladntext1"/>
        <w:numPr>
          <w:ilvl w:val="0"/>
          <w:numId w:val="1"/>
        </w:numPr>
        <w:shd w:val="clear" w:color="auto" w:fill="auto"/>
        <w:tabs>
          <w:tab w:val="left" w:pos="280"/>
        </w:tabs>
        <w:spacing w:line="240" w:lineRule="auto"/>
        <w:ind w:left="300" w:hanging="300"/>
        <w:jc w:val="both"/>
      </w:pPr>
      <w:r>
        <w:t>Článek V. odst. 2 zní: „Klient určuje pro styk s poradcem tyto osoby, které jsou oprávněny jednat s poradcem</w:t>
      </w:r>
      <w:r>
        <w:t xml:space="preserve"> jménem klienta: finanční ředitel.“.</w:t>
      </w:r>
    </w:p>
    <w:p w:rsidR="006A3A75" w:rsidRDefault="002F5376">
      <w:pPr>
        <w:pStyle w:val="Zkladntext1"/>
        <w:numPr>
          <w:ilvl w:val="0"/>
          <w:numId w:val="1"/>
        </w:numPr>
        <w:shd w:val="clear" w:color="auto" w:fill="auto"/>
        <w:tabs>
          <w:tab w:val="left" w:pos="280"/>
        </w:tabs>
        <w:spacing w:after="320" w:line="240" w:lineRule="auto"/>
        <w:ind w:left="300" w:hanging="300"/>
        <w:jc w:val="both"/>
      </w:pPr>
      <w:r>
        <w:t>Dosavadní článek VI. Závěrečná ustanovení se označuje jako článek VII. a vkládá se před něj nový článek VI., který zní:</w:t>
      </w:r>
    </w:p>
    <w:p w:rsidR="006A3A75" w:rsidRDefault="002F5376">
      <w:pPr>
        <w:pStyle w:val="Nadpis10"/>
        <w:keepNext/>
        <w:keepLines/>
        <w:shd w:val="clear" w:color="auto" w:fill="auto"/>
      </w:pPr>
      <w:bookmarkStart w:id="2" w:name="bookmark2"/>
      <w:bookmarkStart w:id="3" w:name="bookmark3"/>
      <w:r>
        <w:t>„VI. Identifikace klienta a ochrana osobních údajů</w:t>
      </w:r>
      <w:bookmarkEnd w:id="2"/>
      <w:bookmarkEnd w:id="3"/>
    </w:p>
    <w:p w:rsidR="006A3A75" w:rsidRDefault="002F5376">
      <w:pPr>
        <w:pStyle w:val="Zkladntext1"/>
        <w:numPr>
          <w:ilvl w:val="0"/>
          <w:numId w:val="2"/>
        </w:numPr>
        <w:shd w:val="clear" w:color="auto" w:fill="auto"/>
        <w:tabs>
          <w:tab w:val="left" w:pos="594"/>
        </w:tabs>
        <w:spacing w:after="40" w:line="257" w:lineRule="auto"/>
        <w:ind w:left="600" w:hanging="280"/>
        <w:jc w:val="both"/>
      </w:pPr>
      <w:r>
        <w:t>Poradce zpracovává osobní údaje, identifikační a</w:t>
      </w:r>
      <w:r>
        <w:t xml:space="preserve"> kontaktní údaje a ekonomické údaje získané v souvislosti s tímto smluvním vztahem pro účely plnění předmětu smlouvy a pro účely plnění právních povinností poradce.</w:t>
      </w:r>
    </w:p>
    <w:p w:rsidR="006A3A75" w:rsidRDefault="002F5376">
      <w:pPr>
        <w:pStyle w:val="Zkladntext1"/>
        <w:numPr>
          <w:ilvl w:val="0"/>
          <w:numId w:val="2"/>
        </w:numPr>
        <w:shd w:val="clear" w:color="auto" w:fill="auto"/>
        <w:tabs>
          <w:tab w:val="left" w:pos="594"/>
        </w:tabs>
        <w:spacing w:line="240" w:lineRule="auto"/>
        <w:ind w:left="600" w:hanging="280"/>
        <w:jc w:val="both"/>
      </w:pPr>
      <w:r>
        <w:t>Klient je povinen podrobit se identifikaci podle zvláštních předpisů. Za tím účelem předlož</w:t>
      </w:r>
      <w:r>
        <w:t xml:space="preserve">í poradci příslušné doklady a předá mu jejich kopie. Klient poskytne poradci veškerou součinnost, které je zapotřebí pro plnění povinností poradce vyplývajících ze zákona č. 253/2008 Sb., o některých opatřeních proti legalizaci výnosů z trestné činnosti a </w:t>
      </w:r>
      <w:r>
        <w:t>financování terorismu, v platném znění (dále jen „AML zákon“), a to zejména při provádění kontroly ve smyslu § 9 AML zákona.</w:t>
      </w:r>
      <w:r>
        <w:br w:type="page"/>
      </w:r>
    </w:p>
    <w:p w:rsidR="006A3A75" w:rsidRDefault="002F5376">
      <w:pPr>
        <w:pStyle w:val="Zkladntext1"/>
        <w:numPr>
          <w:ilvl w:val="0"/>
          <w:numId w:val="2"/>
        </w:numPr>
        <w:shd w:val="clear" w:color="auto" w:fill="auto"/>
        <w:tabs>
          <w:tab w:val="left" w:pos="586"/>
        </w:tabs>
        <w:spacing w:after="60"/>
        <w:ind w:left="560" w:hanging="260"/>
        <w:jc w:val="both"/>
      </w:pPr>
      <w:r>
        <w:lastRenderedPageBreak/>
        <w:t xml:space="preserve">Klient informuje poradce o zdrojích peněžních prostředků, pokud nebyly dosaženy řádnou podnikatelskou Činností klienta. Klient </w:t>
      </w:r>
      <w:r>
        <w:t>informuje poradce o svém skutečném majiteli. Klient po dobu trvání závazku informuje poradce o veškerých změnách, které by mohly mít vliv na správnou identifikaci klienta, a to zejména pokud jde o platnost a úplnost identifikačních údajů.</w:t>
      </w:r>
    </w:p>
    <w:p w:rsidR="006A3A75" w:rsidRDefault="002F5376">
      <w:pPr>
        <w:pStyle w:val="Zkladntext1"/>
        <w:numPr>
          <w:ilvl w:val="0"/>
          <w:numId w:val="2"/>
        </w:numPr>
        <w:shd w:val="clear" w:color="auto" w:fill="auto"/>
        <w:tabs>
          <w:tab w:val="left" w:pos="586"/>
        </w:tabs>
        <w:spacing w:after="60" w:line="254" w:lineRule="auto"/>
        <w:ind w:left="560" w:hanging="260"/>
        <w:jc w:val="both"/>
      </w:pPr>
      <w:r>
        <w:t>Poradce bude údaj</w:t>
      </w:r>
      <w:r>
        <w:t>e získané v souvislosti s tímto smluvním vztahem uchovávat nejdéle do okamžiku, než bude postaveno najisto, že trvale zaniklo právo stanovit daň za předmětné zdaňovací období (§ 148 daňového řádu) a současně že zanikly potenciální nároky mající původ v tom</w:t>
      </w:r>
      <w:r>
        <w:t>to smluvním vztahu.</w:t>
      </w:r>
    </w:p>
    <w:p w:rsidR="006A3A75" w:rsidRDefault="002F5376">
      <w:pPr>
        <w:pStyle w:val="Zkladntext1"/>
        <w:numPr>
          <w:ilvl w:val="0"/>
          <w:numId w:val="2"/>
        </w:numPr>
        <w:shd w:val="clear" w:color="auto" w:fill="auto"/>
        <w:tabs>
          <w:tab w:val="left" w:pos="586"/>
        </w:tabs>
        <w:spacing w:after="60"/>
        <w:ind w:left="560" w:hanging="260"/>
        <w:jc w:val="both"/>
      </w:pPr>
      <w:r>
        <w:t>Dotčené osoby mají právo vyžádat si přístup ke zpracovávaným osobním údajům, zejména získat informace o jejich zpracování, případně kopii osobních údajů, jež se jich týkají; právo na opravu zpracovávaných osobních údajů, jež se jich týk</w:t>
      </w:r>
      <w:r>
        <w:t>ají a jsou nepřesné či neaktuální; právo na námitku proti zpracování osobních údajů, jež se jich týkají, jde-li o zpracování založené na oprávněném zájmu; právo na výmaz osobních údajů, jež se jich týkají, zejména chybí-li právní základ pro jejich zpracová</w:t>
      </w:r>
      <w:r>
        <w:t xml:space="preserve">ní; právo na omezení zpracování osobních údajů, jež se jich týkají, zejména je-li žádána jejich oprava či vznesena námitka proti jejich zpracování; tato práva lze uplatnit u poradce prostřednictvím kontaktních údajů uvedených ve smlouvě. Zákonná povinnost </w:t>
      </w:r>
      <w:r>
        <w:t>mlčenlivosti poradce tím není dotčena. Dotčené osoby mají dále právo podat proti zpracování osobních údajů poradcem stížnost u Úřadu pro ochranu osobních údajů.</w:t>
      </w:r>
    </w:p>
    <w:p w:rsidR="006A3A75" w:rsidRDefault="002F5376">
      <w:pPr>
        <w:pStyle w:val="Zkladntext1"/>
        <w:numPr>
          <w:ilvl w:val="0"/>
          <w:numId w:val="2"/>
        </w:numPr>
        <w:shd w:val="clear" w:color="auto" w:fill="auto"/>
        <w:tabs>
          <w:tab w:val="left" w:pos="586"/>
        </w:tabs>
        <w:ind w:left="560" w:hanging="260"/>
        <w:jc w:val="both"/>
      </w:pPr>
      <w:r>
        <w:t>Smluvní strany se zavazují poskytnout si vzájemně veškeré informace potřebné k doložení toho, ž</w:t>
      </w:r>
      <w:r>
        <w:t>e byly splněny povinnosti související s ochranou osobních údajů zpracovávaných dle této smlouvy a veškerou další potřebnou součinnost a podklady pro plnění s tím souvisejících povinností, zejména při plnění povinností vyplývajících ze zabezpečení zpracován</w:t>
      </w:r>
      <w:r>
        <w:t>í osobních údajů, při provádění auditů, při posouzení vlivu na ochranu osobních údajů, při předchozí konzultaci s dozorovým úřadem a při plnění žádostí o uplatnění práv subjektů údajů. Součinnost poradce je zpoplatněna jako služba poradce v běžných hodinov</w:t>
      </w:r>
      <w:r>
        <w:t>ých cenách poradce. Poradce při zpracování osobních údajů zohledňuje povahu tohoto zpracování.“</w:t>
      </w:r>
    </w:p>
    <w:p w:rsidR="006A3A75" w:rsidRDefault="002F5376">
      <w:pPr>
        <w:pStyle w:val="Zkladntext1"/>
        <w:shd w:val="clear" w:color="auto" w:fill="auto"/>
      </w:pPr>
      <w:r>
        <w:t>Ostatní text shora označené smlouvy zůstává beze změn.</w:t>
      </w:r>
    </w:p>
    <w:p w:rsidR="006A3A75" w:rsidRDefault="002F5376">
      <w:pPr>
        <w:pStyle w:val="Zkladntext1"/>
        <w:shd w:val="clear" w:color="auto" w:fill="auto"/>
        <w:spacing w:after="0" w:line="240" w:lineRule="auto"/>
        <w:jc w:val="both"/>
        <w:sectPr w:rsidR="006A3A75">
          <w:footerReference w:type="even" r:id="rId7"/>
          <w:footerReference w:type="default" r:id="rId8"/>
          <w:pgSz w:w="11900" w:h="16840"/>
          <w:pgMar w:top="752" w:right="1111" w:bottom="1606" w:left="1069" w:header="0" w:footer="3" w:gutter="0"/>
          <w:pgNumType w:start="1"/>
          <w:cols w:space="720"/>
          <w:noEndnote/>
          <w:docGrid w:linePitch="360"/>
        </w:sectPr>
      </w:pPr>
      <w:r>
        <w:t>Smluvní strany shodně prohlašují, že si tento dodatek před jeho podpisem řádně přečetly, že ho uzavírají po vzájemném projednání, za oboustranného souhlasu s jeho zněním, z jejich výslovné, vážné a svobodné vůle, nikoli v tísn</w:t>
      </w:r>
      <w:r>
        <w:t>i ani za nevýhodných podmínek. Na důkaz toho obě smluvní strany Dodatek č. 1 bez nátlaku podepisují.</w:t>
      </w:r>
    </w:p>
    <w:p w:rsidR="006A3A75" w:rsidRDefault="006A3A75">
      <w:pPr>
        <w:spacing w:line="240" w:lineRule="exact"/>
        <w:rPr>
          <w:sz w:val="19"/>
          <w:szCs w:val="19"/>
        </w:rPr>
      </w:pPr>
    </w:p>
    <w:p w:rsidR="006A3A75" w:rsidRDefault="006A3A75">
      <w:pPr>
        <w:spacing w:before="9" w:after="9" w:line="240" w:lineRule="exact"/>
        <w:rPr>
          <w:sz w:val="19"/>
          <w:szCs w:val="19"/>
        </w:rPr>
      </w:pPr>
    </w:p>
    <w:p w:rsidR="006A3A75" w:rsidRDefault="006A3A75">
      <w:pPr>
        <w:spacing w:line="1" w:lineRule="exact"/>
        <w:sectPr w:rsidR="006A3A75">
          <w:type w:val="continuous"/>
          <w:pgSz w:w="11900" w:h="16840"/>
          <w:pgMar w:top="912" w:right="0" w:bottom="1057" w:left="0" w:header="0" w:footer="3" w:gutter="0"/>
          <w:cols w:space="720"/>
          <w:noEndnote/>
          <w:docGrid w:linePitch="360"/>
        </w:sectPr>
      </w:pPr>
    </w:p>
    <w:p w:rsidR="006A3A75" w:rsidRPr="00475165" w:rsidRDefault="002F5376" w:rsidP="00475165">
      <w:pPr>
        <w:pStyle w:val="Zkladntext1"/>
        <w:framePr w:w="9555" w:h="426" w:wrap="none" w:vAnchor="text" w:hAnchor="page" w:x="1090" w:y="233"/>
        <w:shd w:val="clear" w:color="auto" w:fill="auto"/>
        <w:spacing w:after="0" w:line="240" w:lineRule="auto"/>
        <w:rPr>
          <w:sz w:val="20"/>
          <w:szCs w:val="20"/>
        </w:rPr>
      </w:pPr>
      <w:bookmarkStart w:id="4" w:name="_GoBack"/>
      <w:r>
        <w:t>V Praze dne</w:t>
      </w:r>
      <w:r w:rsidR="00475165">
        <w:tab/>
      </w:r>
      <w:r w:rsidR="00475165">
        <w:tab/>
      </w:r>
      <w:r w:rsidR="00475165">
        <w:tab/>
      </w:r>
      <w:r w:rsidR="00475165">
        <w:tab/>
      </w:r>
      <w:r w:rsidR="00475165">
        <w:tab/>
      </w:r>
      <w:r w:rsidR="00475165">
        <w:tab/>
      </w:r>
      <w:r w:rsidR="00475165">
        <w:tab/>
      </w:r>
      <w:r w:rsidR="00475165">
        <w:tab/>
      </w:r>
      <w:r w:rsidR="00475165" w:rsidRPr="00475165">
        <w:rPr>
          <w:sz w:val="20"/>
          <w:szCs w:val="20"/>
        </w:rPr>
        <w:t>20. 12. 2019</w:t>
      </w:r>
    </w:p>
    <w:bookmarkEnd w:id="4"/>
    <w:p w:rsidR="00475165" w:rsidRDefault="002F5376" w:rsidP="00475165">
      <w:pPr>
        <w:pStyle w:val="Titulekobrzku0"/>
        <w:framePr w:w="8554" w:h="1328" w:wrap="none" w:vAnchor="text" w:hAnchor="page" w:x="1327" w:y="1585"/>
        <w:shd w:val="clear" w:color="auto" w:fill="auto"/>
        <w:spacing w:line="254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  <w:lang w:val="en-US" w:eastAsia="en-US" w:bidi="en-US"/>
        </w:rPr>
        <w:t xml:space="preserve">METIS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Praha, spol. s r.o. </w:t>
      </w:r>
      <w:r w:rsidR="00475165">
        <w:rPr>
          <w:rFonts w:ascii="Times New Roman" w:eastAsia="Times New Roman" w:hAnsi="Times New Roman" w:cs="Times New Roman"/>
          <w:sz w:val="19"/>
          <w:szCs w:val="19"/>
        </w:rPr>
        <w:tab/>
      </w:r>
      <w:r w:rsidR="00475165">
        <w:rPr>
          <w:rFonts w:ascii="Times New Roman" w:eastAsia="Times New Roman" w:hAnsi="Times New Roman" w:cs="Times New Roman"/>
          <w:sz w:val="19"/>
          <w:szCs w:val="19"/>
        </w:rPr>
        <w:tab/>
      </w:r>
      <w:r w:rsidR="00475165">
        <w:rPr>
          <w:rFonts w:ascii="Times New Roman" w:eastAsia="Times New Roman" w:hAnsi="Times New Roman" w:cs="Times New Roman"/>
          <w:sz w:val="19"/>
          <w:szCs w:val="19"/>
        </w:rPr>
        <w:tab/>
      </w:r>
      <w:r w:rsidR="00475165">
        <w:rPr>
          <w:rFonts w:ascii="Times New Roman" w:eastAsia="Times New Roman" w:hAnsi="Times New Roman" w:cs="Times New Roman"/>
          <w:sz w:val="19"/>
          <w:szCs w:val="19"/>
        </w:rPr>
        <w:tab/>
      </w:r>
      <w:r w:rsidR="00475165">
        <w:rPr>
          <w:rFonts w:ascii="Times New Roman" w:eastAsia="Times New Roman" w:hAnsi="Times New Roman" w:cs="Times New Roman"/>
          <w:sz w:val="19"/>
          <w:szCs w:val="19"/>
        </w:rPr>
        <w:tab/>
      </w:r>
      <w:r w:rsidR="00475165">
        <w:rPr>
          <w:rFonts w:ascii="Times New Roman" w:eastAsia="Times New Roman" w:hAnsi="Times New Roman" w:cs="Times New Roman"/>
          <w:sz w:val="19"/>
          <w:szCs w:val="19"/>
        </w:rPr>
        <w:tab/>
        <w:t>Národní galerie v Praze</w:t>
      </w:r>
    </w:p>
    <w:p w:rsidR="006A3A75" w:rsidRDefault="00475165" w:rsidP="00475165">
      <w:pPr>
        <w:pStyle w:val="Titulekobrzku0"/>
        <w:framePr w:w="8554" w:h="1328" w:wrap="none" w:vAnchor="text" w:hAnchor="page" w:x="1327" w:y="1585"/>
        <w:shd w:val="clear" w:color="auto" w:fill="auto"/>
        <w:spacing w:line="254" w:lineRule="auto"/>
        <w:rPr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              p</w:t>
      </w:r>
      <w:r w:rsidR="002F5376">
        <w:rPr>
          <w:rFonts w:ascii="Times New Roman" w:eastAsia="Times New Roman" w:hAnsi="Times New Roman" w:cs="Times New Roman"/>
          <w:sz w:val="19"/>
          <w:szCs w:val="19"/>
        </w:rPr>
        <w:t>oradce</w:t>
      </w:r>
      <w:r>
        <w:rPr>
          <w:rFonts w:ascii="Times New Roman" w:eastAsia="Times New Roman" w:hAnsi="Times New Roman" w:cs="Times New Roman"/>
          <w:sz w:val="19"/>
          <w:szCs w:val="19"/>
        </w:rPr>
        <w:tab/>
      </w:r>
      <w:r>
        <w:rPr>
          <w:rFonts w:ascii="Times New Roman" w:eastAsia="Times New Roman" w:hAnsi="Times New Roman" w:cs="Times New Roman"/>
          <w:sz w:val="19"/>
          <w:szCs w:val="19"/>
        </w:rPr>
        <w:tab/>
      </w:r>
      <w:r>
        <w:rPr>
          <w:rFonts w:ascii="Times New Roman" w:eastAsia="Times New Roman" w:hAnsi="Times New Roman" w:cs="Times New Roman"/>
          <w:sz w:val="19"/>
          <w:szCs w:val="19"/>
        </w:rPr>
        <w:tab/>
      </w:r>
      <w:r>
        <w:rPr>
          <w:rFonts w:ascii="Times New Roman" w:eastAsia="Times New Roman" w:hAnsi="Times New Roman" w:cs="Times New Roman"/>
          <w:sz w:val="19"/>
          <w:szCs w:val="19"/>
        </w:rPr>
        <w:tab/>
      </w:r>
      <w:r>
        <w:rPr>
          <w:rFonts w:ascii="Times New Roman" w:eastAsia="Times New Roman" w:hAnsi="Times New Roman" w:cs="Times New Roman"/>
          <w:sz w:val="19"/>
          <w:szCs w:val="19"/>
        </w:rPr>
        <w:tab/>
      </w:r>
      <w:r>
        <w:rPr>
          <w:rFonts w:ascii="Times New Roman" w:eastAsia="Times New Roman" w:hAnsi="Times New Roman" w:cs="Times New Roman"/>
          <w:sz w:val="19"/>
          <w:szCs w:val="19"/>
        </w:rPr>
        <w:tab/>
      </w:r>
      <w:r>
        <w:rPr>
          <w:rFonts w:ascii="Times New Roman" w:eastAsia="Times New Roman" w:hAnsi="Times New Roman" w:cs="Times New Roman"/>
          <w:sz w:val="19"/>
          <w:szCs w:val="19"/>
        </w:rPr>
        <w:tab/>
      </w:r>
      <w:r>
        <w:rPr>
          <w:rFonts w:ascii="Times New Roman" w:eastAsia="Times New Roman" w:hAnsi="Times New Roman" w:cs="Times New Roman"/>
          <w:sz w:val="19"/>
          <w:szCs w:val="19"/>
        </w:rPr>
        <w:tab/>
        <w:t>klient</w:t>
      </w:r>
    </w:p>
    <w:p w:rsidR="006A3A75" w:rsidRDefault="006A3A75">
      <w:pPr>
        <w:spacing w:line="1" w:lineRule="exact"/>
      </w:pPr>
    </w:p>
    <w:sectPr w:rsidR="006A3A75">
      <w:type w:val="continuous"/>
      <w:pgSz w:w="11900" w:h="16840"/>
      <w:pgMar w:top="912" w:right="1097" w:bottom="1057" w:left="90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376" w:rsidRDefault="002F5376">
      <w:r>
        <w:separator/>
      </w:r>
    </w:p>
  </w:endnote>
  <w:endnote w:type="continuationSeparator" w:id="0">
    <w:p w:rsidR="002F5376" w:rsidRDefault="002F5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A75" w:rsidRDefault="002F537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3722370</wp:posOffset>
              </wp:positionH>
              <wp:positionV relativeFrom="page">
                <wp:posOffset>10010140</wp:posOffset>
              </wp:positionV>
              <wp:extent cx="52705" cy="8445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" cy="844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A3A75" w:rsidRDefault="002F5376">
                          <w:pPr>
                            <w:pStyle w:val="Zhlavnebozpat20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sz w:val="19"/>
                              <w:szCs w:val="19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293.10000000000002pt;margin-top:788.20000000000005pt;width:4.1500000000000004pt;height:6.6500000000000004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shd w:val="clear" w:color="auto" w:fill="auto"/>
                        <w:lang w:val="cs-CZ" w:eastAsia="cs-CZ" w:bidi="cs-CZ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A75" w:rsidRDefault="002F537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3746500</wp:posOffset>
              </wp:positionH>
              <wp:positionV relativeFrom="page">
                <wp:posOffset>9864090</wp:posOffset>
              </wp:positionV>
              <wp:extent cx="27305" cy="8445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05" cy="844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A3A75" w:rsidRDefault="002F5376">
                          <w:pPr>
                            <w:pStyle w:val="Zhlavnebozpat20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sz w:val="19"/>
                              <w:szCs w:val="19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5.pt;margin-top:776.70000000000005pt;width:2.1499999999999999pt;height:6.6500000000000004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z w:val="19"/>
                        <w:szCs w:val="19"/>
                        <w:shd w:val="clear" w:color="auto" w:fill="auto"/>
                        <w:lang w:val="cs-CZ" w:eastAsia="cs-CZ" w:bidi="cs-CZ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376" w:rsidRDefault="002F5376"/>
  </w:footnote>
  <w:footnote w:type="continuationSeparator" w:id="0">
    <w:p w:rsidR="002F5376" w:rsidRDefault="002F53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D6A"/>
    <w:multiLevelType w:val="multilevel"/>
    <w:tmpl w:val="5A3078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1B744C"/>
    <w:multiLevelType w:val="multilevel"/>
    <w:tmpl w:val="A002EE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A75"/>
    <w:rsid w:val="002F5376"/>
    <w:rsid w:val="00475165"/>
    <w:rsid w:val="006A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F354C"/>
  <w15:docId w15:val="{6133B7C8-550D-4E4D-82FB-EE93980D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">
    <w:name w:val="Nadpis #1_"/>
    <w:basedOn w:val="Standardnpsmoodstavce"/>
    <w:link w:val="Nadpis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Zhlavnebozpat2">
    <w:name w:val="Záhlaví nebo zápatí (2)_"/>
    <w:basedOn w:val="Standardnpsmoodstavce"/>
    <w:link w:val="Zhlavnebozpa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Jin">
    <w:name w:val="Jiné_"/>
    <w:basedOn w:val="Standardnpsmoodstavce"/>
    <w:link w:val="J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itulekobrzku">
    <w:name w:val="Titulek obrázku_"/>
    <w:basedOn w:val="Standardnpsmoodstavce"/>
    <w:link w:val="Titulekobrzku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after="4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Zhlavnebozpat20">
    <w:name w:val="Záhlaví nebo zápatí (2)"/>
    <w:basedOn w:val="Normln"/>
    <w:link w:val="Zhlavnebozpat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1">
    <w:name w:val="Základní text1"/>
    <w:basedOn w:val="Normln"/>
    <w:link w:val="Zkladntext"/>
    <w:pPr>
      <w:shd w:val="clear" w:color="auto" w:fill="FFFFFF"/>
      <w:spacing w:after="120" w:line="252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Jin0">
    <w:name w:val="Jiné"/>
    <w:basedOn w:val="Normln"/>
    <w:link w:val="Jin"/>
    <w:pPr>
      <w:shd w:val="clear" w:color="auto" w:fill="FFFFFF"/>
      <w:spacing w:after="120" w:line="252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Titulekobrzku0">
    <w:name w:val="Titulek obrázku"/>
    <w:basedOn w:val="Normln"/>
    <w:link w:val="Titulekobrzku"/>
    <w:pPr>
      <w:shd w:val="clear" w:color="auto" w:fill="FFFFFF"/>
      <w:spacing w:line="187" w:lineRule="auto"/>
    </w:pPr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901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kopirka2.VP-20200203121044</dc:title>
  <dc:subject/>
  <dc:creator/>
  <cp:keywords/>
  <cp:lastModifiedBy>Zdenka Šímová</cp:lastModifiedBy>
  <cp:revision>2</cp:revision>
  <dcterms:created xsi:type="dcterms:W3CDTF">2020-02-04T13:49:00Z</dcterms:created>
  <dcterms:modified xsi:type="dcterms:W3CDTF">2020-02-04T13:53:00Z</dcterms:modified>
</cp:coreProperties>
</file>