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C5F" w:rsidRPr="00627C5F" w:rsidRDefault="00627C5F" w:rsidP="00627C5F">
      <w:pPr>
        <w:pStyle w:val="Nadpis10"/>
        <w:keepNext/>
        <w:keepLines/>
        <w:shd w:val="clear" w:color="auto" w:fill="auto"/>
        <w:jc w:val="right"/>
        <w:rPr>
          <w:b w:val="0"/>
          <w:sz w:val="19"/>
          <w:szCs w:val="19"/>
        </w:rPr>
      </w:pPr>
      <w:bookmarkStart w:id="0" w:name="bookmark0"/>
      <w:bookmarkStart w:id="1" w:name="bookmark1"/>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sidRPr="00627C5F">
        <w:rPr>
          <w:b w:val="0"/>
          <w:sz w:val="19"/>
          <w:szCs w:val="19"/>
        </w:rPr>
        <w:t>Č.j.</w:t>
      </w:r>
      <w:proofErr w:type="gramEnd"/>
      <w:r>
        <w:rPr>
          <w:b w:val="0"/>
          <w:sz w:val="19"/>
          <w:szCs w:val="19"/>
        </w:rPr>
        <w:t xml:space="preserve"> NG 128/2020</w:t>
      </w:r>
    </w:p>
    <w:p w:rsidR="005B2DC8" w:rsidRDefault="00AE748B">
      <w:pPr>
        <w:pStyle w:val="Nadpis10"/>
        <w:keepNext/>
        <w:keepLines/>
        <w:shd w:val="clear" w:color="auto" w:fill="auto"/>
      </w:pPr>
      <w:r>
        <w:t>SMLOUVA O POSKYTOVÁNÍ PRÁVNÍ POMOCI</w:t>
      </w:r>
      <w:bookmarkEnd w:id="0"/>
      <w:bookmarkEnd w:id="1"/>
    </w:p>
    <w:p w:rsidR="005B2DC8" w:rsidRDefault="00AE748B">
      <w:pPr>
        <w:pStyle w:val="Nadpis30"/>
        <w:keepNext/>
        <w:keepLines/>
        <w:shd w:val="clear" w:color="auto" w:fill="auto"/>
        <w:spacing w:after="0"/>
        <w:jc w:val="left"/>
      </w:pPr>
      <w:bookmarkStart w:id="2" w:name="bookmark2"/>
      <w:bookmarkStart w:id="3" w:name="bookmark3"/>
      <w:r>
        <w:t>Národní galerie v Praze</w:t>
      </w:r>
      <w:bookmarkEnd w:id="2"/>
      <w:bookmarkEnd w:id="3"/>
    </w:p>
    <w:p w:rsidR="005B2DC8" w:rsidRDefault="00AE748B">
      <w:pPr>
        <w:pStyle w:val="Zkladntext1"/>
        <w:shd w:val="clear" w:color="auto" w:fill="auto"/>
        <w:spacing w:after="0"/>
      </w:pPr>
      <w:r>
        <w:t>příspěvková organizace založená zák. č. 148/1949 Sb., o Národní galerii v Praze</w:t>
      </w:r>
    </w:p>
    <w:p w:rsidR="005B2DC8" w:rsidRDefault="00AE748B">
      <w:pPr>
        <w:pStyle w:val="Zkladntext1"/>
        <w:shd w:val="clear" w:color="auto" w:fill="auto"/>
        <w:spacing w:after="0"/>
      </w:pPr>
      <w:r>
        <w:t>IČ: 00023281</w:t>
      </w:r>
    </w:p>
    <w:p w:rsidR="005B2DC8" w:rsidRDefault="00AE748B">
      <w:pPr>
        <w:pStyle w:val="Zkladntext1"/>
        <w:shd w:val="clear" w:color="auto" w:fill="auto"/>
        <w:spacing w:after="0"/>
      </w:pPr>
      <w:r>
        <w:t>se sídlem Staroměstské nám. 606/12, 110 15 Praha 1</w:t>
      </w:r>
    </w:p>
    <w:p w:rsidR="005B2DC8" w:rsidRDefault="00AE748B">
      <w:pPr>
        <w:pStyle w:val="Zkladntext1"/>
        <w:shd w:val="clear" w:color="auto" w:fill="auto"/>
        <w:spacing w:after="240"/>
      </w:pPr>
      <w:r>
        <w:t xml:space="preserve">kterou zastupuje Ing. Alena Anne-Marie Nedoma, </w:t>
      </w:r>
      <w:r>
        <w:t>generální ředitelka</w:t>
      </w:r>
    </w:p>
    <w:p w:rsidR="005B2DC8" w:rsidRDefault="00AE748B">
      <w:pPr>
        <w:pStyle w:val="Zkladntext1"/>
        <w:shd w:val="clear" w:color="auto" w:fill="auto"/>
        <w:spacing w:after="240"/>
      </w:pPr>
      <w:r>
        <w:t xml:space="preserve">(dále jen </w:t>
      </w:r>
      <w:r>
        <w:rPr>
          <w:b/>
          <w:bCs/>
        </w:rPr>
        <w:t>„klient")</w:t>
      </w:r>
    </w:p>
    <w:p w:rsidR="005B2DC8" w:rsidRDefault="00AE748B">
      <w:pPr>
        <w:pStyle w:val="Zkladntext1"/>
        <w:shd w:val="clear" w:color="auto" w:fill="auto"/>
        <w:spacing w:after="240"/>
        <w:jc w:val="both"/>
      </w:pPr>
      <w:r>
        <w:t>a</w:t>
      </w:r>
    </w:p>
    <w:p w:rsidR="005B2DC8" w:rsidRDefault="00AE748B">
      <w:pPr>
        <w:pStyle w:val="Zkladntext1"/>
        <w:shd w:val="clear" w:color="auto" w:fill="auto"/>
        <w:spacing w:after="0"/>
      </w:pPr>
      <w:r>
        <w:rPr>
          <w:b/>
          <w:bCs/>
        </w:rPr>
        <w:t>Mgr. Štěpánka Vincencově, advokát</w:t>
      </w:r>
    </w:p>
    <w:p w:rsidR="005B2DC8" w:rsidRDefault="00AE748B">
      <w:pPr>
        <w:pStyle w:val="Zkladntext1"/>
        <w:shd w:val="clear" w:color="auto" w:fill="auto"/>
        <w:spacing w:after="0"/>
      </w:pPr>
      <w:r>
        <w:t>se sídlem Petrská 1136/12, 110 00 Praha 1</w:t>
      </w:r>
    </w:p>
    <w:p w:rsidR="005B2DC8" w:rsidRDefault="00AE748B">
      <w:pPr>
        <w:pStyle w:val="Zkladntext1"/>
        <w:shd w:val="clear" w:color="auto" w:fill="auto"/>
        <w:spacing w:after="0"/>
      </w:pPr>
      <w:r>
        <w:t>IČ: 73734675</w:t>
      </w:r>
    </w:p>
    <w:p w:rsidR="005B2DC8" w:rsidRDefault="00AE748B">
      <w:pPr>
        <w:pStyle w:val="Zkladntext1"/>
        <w:shd w:val="clear" w:color="auto" w:fill="auto"/>
        <w:spacing w:after="240"/>
      </w:pPr>
      <w:r>
        <w:t>ev. č. ČAK 14370</w:t>
      </w:r>
    </w:p>
    <w:p w:rsidR="005B2DC8" w:rsidRDefault="00AE748B">
      <w:pPr>
        <w:pStyle w:val="Zkladntext1"/>
        <w:shd w:val="clear" w:color="auto" w:fill="auto"/>
        <w:spacing w:after="720"/>
      </w:pPr>
      <w:r>
        <w:t xml:space="preserve">(dále jen </w:t>
      </w:r>
      <w:r>
        <w:rPr>
          <w:b/>
          <w:bCs/>
        </w:rPr>
        <w:t>„advokát")</w:t>
      </w:r>
    </w:p>
    <w:p w:rsidR="005B2DC8" w:rsidRDefault="00AE748B">
      <w:pPr>
        <w:pStyle w:val="Zkladntext1"/>
        <w:shd w:val="clear" w:color="auto" w:fill="auto"/>
        <w:spacing w:after="240"/>
        <w:jc w:val="center"/>
      </w:pPr>
      <w:r>
        <w:t xml:space="preserve">uzavřeli spolu níže uvedeného dne, měsíce a roku podle § 22 </w:t>
      </w:r>
      <w:proofErr w:type="spellStart"/>
      <w:proofErr w:type="gramStart"/>
      <w:r>
        <w:t>zák.č</w:t>
      </w:r>
      <w:proofErr w:type="spellEnd"/>
      <w:r>
        <w:t>.</w:t>
      </w:r>
      <w:proofErr w:type="gramEnd"/>
      <w:r>
        <w:t xml:space="preserve"> 85/1996 Sb.,</w:t>
      </w:r>
      <w:r>
        <w:br/>
        <w:t>o advok</w:t>
      </w:r>
      <w:r>
        <w:t>acii</w:t>
      </w:r>
      <w:r w:rsidR="00171D04">
        <w:t xml:space="preserve">, a § 1 </w:t>
      </w:r>
      <w:proofErr w:type="spellStart"/>
      <w:r w:rsidR="00171D04">
        <w:t>odst.l</w:t>
      </w:r>
      <w:proofErr w:type="spellEnd"/>
      <w:r w:rsidR="00171D04">
        <w:t xml:space="preserve"> a §§ 2 až 5 </w:t>
      </w:r>
      <w:proofErr w:type="spellStart"/>
      <w:r w:rsidR="00171D04">
        <w:t>vyhl</w:t>
      </w:r>
      <w:proofErr w:type="spellEnd"/>
      <w:r w:rsidR="00171D04">
        <w:t>.</w:t>
      </w:r>
      <w:r>
        <w:t xml:space="preserve"> č. 177/1996 Sb., advokátní tarif,</w:t>
      </w:r>
      <w:r>
        <w:br/>
        <w:t>ve znění pozdějších předpisů, tuto</w:t>
      </w:r>
    </w:p>
    <w:p w:rsidR="005B2DC8" w:rsidRDefault="00AE748B">
      <w:pPr>
        <w:pStyle w:val="Zkladntext1"/>
        <w:shd w:val="clear" w:color="auto" w:fill="auto"/>
        <w:spacing w:after="480"/>
        <w:jc w:val="center"/>
      </w:pPr>
      <w:r>
        <w:rPr>
          <w:b/>
          <w:bCs/>
        </w:rPr>
        <w:t>příkazní smlouvu o poskytování právní pomoci:</w:t>
      </w:r>
      <w:bookmarkStart w:id="4" w:name="_GoBack"/>
      <w:bookmarkEnd w:id="4"/>
    </w:p>
    <w:p w:rsidR="005B2DC8" w:rsidRDefault="00AE748B">
      <w:pPr>
        <w:pStyle w:val="Zkladntext1"/>
        <w:shd w:val="clear" w:color="auto" w:fill="auto"/>
        <w:spacing w:after="0"/>
        <w:jc w:val="center"/>
      </w:pPr>
      <w:r>
        <w:rPr>
          <w:b/>
          <w:bCs/>
        </w:rPr>
        <w:t>Článek I.</w:t>
      </w:r>
    </w:p>
    <w:p w:rsidR="005B2DC8" w:rsidRDefault="00AE748B">
      <w:pPr>
        <w:pStyle w:val="Nadpis30"/>
        <w:keepNext/>
        <w:keepLines/>
        <w:shd w:val="clear" w:color="auto" w:fill="auto"/>
      </w:pPr>
      <w:bookmarkStart w:id="5" w:name="bookmark4"/>
      <w:bookmarkStart w:id="6" w:name="bookmark5"/>
      <w:r>
        <w:t>Předmět příkazu</w:t>
      </w:r>
      <w:bookmarkEnd w:id="5"/>
      <w:bookmarkEnd w:id="6"/>
    </w:p>
    <w:p w:rsidR="005B2DC8" w:rsidRDefault="00AE748B">
      <w:pPr>
        <w:pStyle w:val="Zkladntext1"/>
        <w:numPr>
          <w:ilvl w:val="0"/>
          <w:numId w:val="1"/>
        </w:numPr>
        <w:shd w:val="clear" w:color="auto" w:fill="auto"/>
        <w:tabs>
          <w:tab w:val="left" w:pos="562"/>
        </w:tabs>
        <w:ind w:left="560" w:hanging="560"/>
        <w:jc w:val="both"/>
      </w:pPr>
      <w:r>
        <w:t xml:space="preserve">Advokát se zavazuje poskytovat jménem a na účet klienta právní pomoc (služby) ve všech věcech a právních vztazích konkrétně uvedených v odst. </w:t>
      </w:r>
      <w:proofErr w:type="gramStart"/>
      <w:r>
        <w:t>1.2. této</w:t>
      </w:r>
      <w:proofErr w:type="gramEnd"/>
      <w:r>
        <w:t xml:space="preserve"> smlouvy (dále jen </w:t>
      </w:r>
      <w:r>
        <w:rPr>
          <w:b/>
          <w:bCs/>
        </w:rPr>
        <w:t>„předmět právní pomoci").</w:t>
      </w:r>
    </w:p>
    <w:p w:rsidR="005B2DC8" w:rsidRDefault="00AE748B">
      <w:pPr>
        <w:pStyle w:val="Zkladntext1"/>
        <w:numPr>
          <w:ilvl w:val="0"/>
          <w:numId w:val="1"/>
        </w:numPr>
        <w:shd w:val="clear" w:color="auto" w:fill="auto"/>
        <w:tabs>
          <w:tab w:val="left" w:pos="562"/>
        </w:tabs>
        <w:ind w:left="560" w:hanging="560"/>
        <w:jc w:val="both"/>
      </w:pPr>
      <w:r>
        <w:rPr>
          <w:b/>
          <w:bCs/>
        </w:rPr>
        <w:t>Advokát se zavazuje k úplnému a výhradnímu právnímu zastupov</w:t>
      </w:r>
      <w:r>
        <w:rPr>
          <w:b/>
          <w:bCs/>
        </w:rPr>
        <w:t xml:space="preserve">ání klienta a uplatňování veškerých práv a nároků klienta, </w:t>
      </w:r>
      <w:r w:rsidR="00627C5F">
        <w:rPr>
          <w:b/>
          <w:bCs/>
        </w:rPr>
        <w:t>XXXXXXXXXXXXXXXXXXXXXXXXXXXXXXXXXXXXXXXXXXX XXXXXXXXXXXXXXXXXXXXXXXXXXXXXXXXXXXXXXXXXXXXXXXXXXXXXXXXXXXXXXXXXXXXXXXXXXXXXXXXXXXXXXXXXXXXXXXXXXXXXXXXXXXXXXXXXXXXXXXXXXXXXXXXXXXXXXXXXXXXXXXXXXXXXXXXXXXXXXXXXXXXXXXXXXXXXXXXXXXXXXXXXXXXXXXXXXXXXXXXXXXX</w:t>
      </w:r>
      <w:r>
        <w:rPr>
          <w:b/>
          <w:bCs/>
        </w:rPr>
        <w:t xml:space="preserve"> </w:t>
      </w:r>
      <w:r w:rsidR="00627C5F">
        <w:rPr>
          <w:b/>
          <w:bCs/>
        </w:rPr>
        <w:t>XXXXXXXXXXXXXXXXXXXXXXXXXXXXXXXXXXXXXXXXXXXXXXXXXXXXXXXXXXXXXXXXXXXX</w:t>
      </w:r>
      <w:r>
        <w:rPr>
          <w:b/>
          <w:bCs/>
        </w:rPr>
        <w:t xml:space="preserve"> (dále jen „předmět příkazu").</w:t>
      </w:r>
    </w:p>
    <w:p w:rsidR="005B2DC8" w:rsidRDefault="00AE748B">
      <w:pPr>
        <w:pStyle w:val="Zkladntext1"/>
        <w:numPr>
          <w:ilvl w:val="0"/>
          <w:numId w:val="1"/>
        </w:numPr>
        <w:shd w:val="clear" w:color="auto" w:fill="auto"/>
        <w:tabs>
          <w:tab w:val="left" w:pos="562"/>
        </w:tabs>
        <w:spacing w:line="252" w:lineRule="auto"/>
        <w:ind w:left="560" w:hanging="560"/>
        <w:jc w:val="both"/>
      </w:pPr>
      <w:r>
        <w:t>Právní pomoc se advokát zavazuje poskytovat včetně zastupov</w:t>
      </w:r>
      <w:r>
        <w:t>ání před příslušnými státními orgány a/nebo orgány veřejné správy a/nebo jinými orgány veřejné moci a při veškerých mimosoudních jednáních, s právnickými či fyzickými osobami a jinými právními subjekty v České republice.</w:t>
      </w:r>
    </w:p>
    <w:p w:rsidR="005B2DC8" w:rsidRDefault="00AE748B">
      <w:pPr>
        <w:pStyle w:val="Zkladntext1"/>
        <w:numPr>
          <w:ilvl w:val="0"/>
          <w:numId w:val="1"/>
        </w:numPr>
        <w:shd w:val="clear" w:color="auto" w:fill="auto"/>
        <w:tabs>
          <w:tab w:val="left" w:pos="562"/>
        </w:tabs>
        <w:ind w:left="560" w:hanging="560"/>
        <w:jc w:val="both"/>
      </w:pPr>
      <w:r>
        <w:t>Právní pomoc podle předchozích odst</w:t>
      </w:r>
      <w:r>
        <w:t>avců tohoto článku se advokát zavazuje poskytovat pouze dle stanovených dispozic klienta, zavazuje se klienta průběžně informovat o postupu ve věci s tím, že klient je oprávněn udělovat advokátovi konkrétní pokyny k naplnění této smlouvy.</w:t>
      </w:r>
    </w:p>
    <w:p w:rsidR="005B2DC8" w:rsidRDefault="00AE748B">
      <w:pPr>
        <w:pStyle w:val="Zkladntext1"/>
        <w:numPr>
          <w:ilvl w:val="0"/>
          <w:numId w:val="1"/>
        </w:numPr>
        <w:shd w:val="clear" w:color="auto" w:fill="auto"/>
        <w:tabs>
          <w:tab w:val="left" w:pos="562"/>
        </w:tabs>
        <w:ind w:left="560" w:hanging="560"/>
        <w:jc w:val="both"/>
      </w:pPr>
      <w:r>
        <w:t>Klient se zavazuj</w:t>
      </w:r>
      <w:r>
        <w:t>e poskytovat advokátovi potřebnou součinnost, zejména potřebné informace, podklady, doklady a instrukce týkající se záležitosti, jež má být předmětem poskytnutí právní služby, přičemž odpovídá za jejich správnost a úplnost. Klient se zavazuje na výzvu advo</w:t>
      </w:r>
      <w:r>
        <w:t>káta účastnit se potřebných jednání, případně je na jeho výzvu svolat a zajistit. Advokát není vázán právním názorem klienta.</w:t>
      </w:r>
    </w:p>
    <w:p w:rsidR="005B2DC8" w:rsidRDefault="00AE748B">
      <w:pPr>
        <w:pStyle w:val="Zkladntext1"/>
        <w:numPr>
          <w:ilvl w:val="0"/>
          <w:numId w:val="1"/>
        </w:numPr>
        <w:shd w:val="clear" w:color="auto" w:fill="auto"/>
        <w:tabs>
          <w:tab w:val="left" w:pos="562"/>
        </w:tabs>
        <w:ind w:left="560" w:hanging="560"/>
        <w:jc w:val="both"/>
      </w:pPr>
      <w:r>
        <w:t>Klient souhlasí s tím, že advokát se v rámci této smlouvy může dát zastoupit jiným advokátem a při jednotlivých úkonech se může dá</w:t>
      </w:r>
      <w:r>
        <w:t>t zastoupit advokátním koncipientem nebo jiným svým zaměstnancem.</w:t>
      </w:r>
    </w:p>
    <w:p w:rsidR="00627C5F" w:rsidRDefault="00627C5F" w:rsidP="00627C5F">
      <w:pPr>
        <w:pStyle w:val="Zkladntext1"/>
        <w:shd w:val="clear" w:color="auto" w:fill="auto"/>
        <w:tabs>
          <w:tab w:val="left" w:pos="562"/>
        </w:tabs>
        <w:ind w:left="560"/>
        <w:jc w:val="both"/>
      </w:pPr>
    </w:p>
    <w:p w:rsidR="00627C5F" w:rsidRDefault="00627C5F" w:rsidP="00627C5F">
      <w:pPr>
        <w:pStyle w:val="Zkladntext1"/>
        <w:shd w:val="clear" w:color="auto" w:fill="auto"/>
        <w:tabs>
          <w:tab w:val="left" w:pos="562"/>
        </w:tabs>
        <w:ind w:left="560"/>
        <w:jc w:val="both"/>
      </w:pPr>
    </w:p>
    <w:p w:rsidR="00627C5F" w:rsidRDefault="00627C5F" w:rsidP="00627C5F">
      <w:pPr>
        <w:pStyle w:val="Zkladntext1"/>
        <w:shd w:val="clear" w:color="auto" w:fill="auto"/>
        <w:tabs>
          <w:tab w:val="left" w:pos="562"/>
        </w:tabs>
        <w:ind w:left="560"/>
        <w:jc w:val="both"/>
      </w:pPr>
    </w:p>
    <w:p w:rsidR="005B2DC8" w:rsidRDefault="00AE748B">
      <w:pPr>
        <w:pStyle w:val="Zkladntext1"/>
        <w:numPr>
          <w:ilvl w:val="0"/>
          <w:numId w:val="1"/>
        </w:numPr>
        <w:shd w:val="clear" w:color="auto" w:fill="auto"/>
        <w:tabs>
          <w:tab w:val="left" w:pos="560"/>
        </w:tabs>
        <w:spacing w:after="460" w:line="252" w:lineRule="auto"/>
        <w:ind w:left="560" w:hanging="560"/>
        <w:jc w:val="both"/>
      </w:pPr>
      <w:r>
        <w:t xml:space="preserve">Spolu s uzavřením této smlouvy udělí klient písemnou plnou moc k zastupování v rozsahu předmětu právní pomoci podle odst. </w:t>
      </w:r>
      <w:proofErr w:type="gramStart"/>
      <w:r>
        <w:t>1.2. této</w:t>
      </w:r>
      <w:proofErr w:type="gramEnd"/>
      <w:r>
        <w:t xml:space="preserve"> smlouvy.</w:t>
      </w:r>
    </w:p>
    <w:p w:rsidR="005B2DC8" w:rsidRDefault="00AE748B">
      <w:pPr>
        <w:pStyle w:val="Zkladntext1"/>
        <w:shd w:val="clear" w:color="auto" w:fill="auto"/>
        <w:spacing w:after="0"/>
        <w:jc w:val="center"/>
      </w:pPr>
      <w:r>
        <w:rPr>
          <w:b/>
          <w:bCs/>
        </w:rPr>
        <w:t>Článek II.</w:t>
      </w:r>
    </w:p>
    <w:p w:rsidR="005B2DC8" w:rsidRDefault="00AE748B">
      <w:pPr>
        <w:pStyle w:val="Nadpis30"/>
        <w:keepNext/>
        <w:keepLines/>
        <w:shd w:val="clear" w:color="auto" w:fill="auto"/>
      </w:pPr>
      <w:bookmarkStart w:id="7" w:name="bookmark6"/>
      <w:bookmarkStart w:id="8" w:name="bookmark7"/>
      <w:r>
        <w:t>Odměna advokáta a její vyúčtování</w:t>
      </w:r>
      <w:bookmarkEnd w:id="7"/>
      <w:bookmarkEnd w:id="8"/>
    </w:p>
    <w:p w:rsidR="005B2DC8" w:rsidRDefault="00AE748B">
      <w:pPr>
        <w:pStyle w:val="Zkladntext1"/>
        <w:numPr>
          <w:ilvl w:val="0"/>
          <w:numId w:val="2"/>
        </w:numPr>
        <w:shd w:val="clear" w:color="auto" w:fill="auto"/>
        <w:tabs>
          <w:tab w:val="left" w:pos="560"/>
        </w:tabs>
        <w:spacing w:after="240"/>
        <w:ind w:left="560" w:hanging="560"/>
        <w:jc w:val="both"/>
      </w:pPr>
      <w:r>
        <w:t>Advokát a klient se dohodli na smluvní odměně advokáta účtované podle počtu hodin poskytnutých právních služeb se sazbou ve výši 2.000,- Kč (slovy: dva tisíce korun českých) za hodinu. Odměna je advokátem účtována po čtvrthodinových jednotkách (tj. za každ</w:t>
      </w:r>
      <w:r>
        <w:t>ou započatou čtvrthodinu poskytnutých právní služeb náleží advokátovi alikvotní odměna vypočtená z hodinové odměny).</w:t>
      </w:r>
    </w:p>
    <w:p w:rsidR="005B2DC8" w:rsidRDefault="00AE748B">
      <w:pPr>
        <w:pStyle w:val="Zkladntext1"/>
        <w:numPr>
          <w:ilvl w:val="0"/>
          <w:numId w:val="2"/>
        </w:numPr>
        <w:shd w:val="clear" w:color="auto" w:fill="auto"/>
        <w:tabs>
          <w:tab w:val="left" w:pos="560"/>
        </w:tabs>
        <w:spacing w:line="252" w:lineRule="auto"/>
        <w:ind w:left="560" w:hanging="560"/>
        <w:jc w:val="both"/>
      </w:pPr>
      <w:r>
        <w:t>Spolu s paušální odměnou je advokát oprávněn také účtovat úhradu nezbytných hotových výdajů spojených s poskytováním právních služeb, tak j</w:t>
      </w:r>
      <w:r>
        <w:t xml:space="preserve">ak je stanoví vyhláška Ministerstva spravedlnosti CR č. 177/1996 Sb., o odměnách advokátů a náhradách advokátů za poskytování právních služeb ve znění </w:t>
      </w:r>
      <w:proofErr w:type="spellStart"/>
      <w:r>
        <w:t>vyhl</w:t>
      </w:r>
      <w:proofErr w:type="spellEnd"/>
      <w:r>
        <w:t xml:space="preserve">. č. 235/1997 Sb. (advokátní tarif). Smluvní strany se dohodly, že náhrada za vnitrostátní poštovné, </w:t>
      </w:r>
      <w:r>
        <w:t>místní hovorné a přepravné je v plné výši zahrnuta do smluvní odměny dle čl. 2.1 této smlouvy.</w:t>
      </w:r>
    </w:p>
    <w:p w:rsidR="005B2DC8" w:rsidRDefault="00AE748B">
      <w:pPr>
        <w:pStyle w:val="Zkladntext1"/>
        <w:numPr>
          <w:ilvl w:val="0"/>
          <w:numId w:val="2"/>
        </w:numPr>
        <w:shd w:val="clear" w:color="auto" w:fill="auto"/>
        <w:tabs>
          <w:tab w:val="left" w:pos="560"/>
        </w:tabs>
        <w:spacing w:after="240" w:line="252" w:lineRule="auto"/>
        <w:ind w:left="560" w:hanging="560"/>
        <w:jc w:val="both"/>
      </w:pPr>
      <w:r>
        <w:t>Smluvní odměna advokáta nezahrnuje soudní, správní či jiné poplatky, náklady znaleckých posudků, překladů, notářských zápisů, opisů, legalizace atd., v souvislos</w:t>
      </w:r>
      <w:r>
        <w:t>ti s poskytováním právních služeb klientovi. Tyto náklady hradí klient samostatně, popř. je advokát vyúčtovává zvlášť vedle odměny v rámci měsíčního vyúčtování.</w:t>
      </w:r>
    </w:p>
    <w:p w:rsidR="005B2DC8" w:rsidRDefault="00AE748B">
      <w:pPr>
        <w:pStyle w:val="Zkladntext1"/>
        <w:numPr>
          <w:ilvl w:val="0"/>
          <w:numId w:val="2"/>
        </w:numPr>
        <w:shd w:val="clear" w:color="auto" w:fill="auto"/>
        <w:tabs>
          <w:tab w:val="left" w:pos="560"/>
        </w:tabs>
        <w:spacing w:line="252" w:lineRule="auto"/>
        <w:ind w:left="560" w:hanging="560"/>
        <w:jc w:val="both"/>
      </w:pPr>
      <w:r>
        <w:t>Advokát a klient se dohodli, že celková maximální výše vyúčtované smluvní odměny advokáta za za</w:t>
      </w:r>
      <w:r>
        <w:t>stoupení klienta a uplatňování jeho práv v jednom stupni soudního řízení nepřesáhne částku 100.000 Kč.</w:t>
      </w:r>
    </w:p>
    <w:p w:rsidR="005B2DC8" w:rsidRDefault="00AE748B">
      <w:pPr>
        <w:pStyle w:val="Zkladntext1"/>
        <w:numPr>
          <w:ilvl w:val="0"/>
          <w:numId w:val="2"/>
        </w:numPr>
        <w:shd w:val="clear" w:color="auto" w:fill="auto"/>
        <w:tabs>
          <w:tab w:val="left" w:pos="560"/>
        </w:tabs>
        <w:spacing w:after="240" w:line="252" w:lineRule="auto"/>
        <w:ind w:left="560" w:hanging="560"/>
        <w:jc w:val="both"/>
      </w:pPr>
      <w:r>
        <w:t>Advokát provádí měsíční vyúčtování odměny advokáta (včetně případných hotových výdajů), v rámci kterého předkládá klientovi fakturu spolu věcnou a časovo</w:t>
      </w:r>
      <w:r>
        <w:t>u specifikaci právních služeb poskytnutých advokátem klientovi za předcházející kalendářní měsíc. Splatnost odměny je 14 dní ode dne vystavení faktury, kterou je odměna vyúčtována. Faktura musí splňovat náležitosti daňového dokladu a bude advokátem kliento</w:t>
      </w:r>
      <w:r>
        <w:t xml:space="preserve">vi zasílána elektronicky na adresu: </w:t>
      </w:r>
      <w:hyperlink r:id="rId7" w:history="1">
        <w:r>
          <w:rPr>
            <w:lang w:val="en-US" w:eastAsia="en-US" w:bidi="en-US"/>
          </w:rPr>
          <w:t>faktury@ngprague.cz</w:t>
        </w:r>
      </w:hyperlink>
      <w:r>
        <w:rPr>
          <w:lang w:val="en-US" w:eastAsia="en-US" w:bidi="en-US"/>
        </w:rPr>
        <w:t xml:space="preserve">. </w:t>
      </w:r>
      <w:r>
        <w:t>Klient bere na vědomí, že ke dni uzavření této smlouvy není advokát plátcem DPH.</w:t>
      </w:r>
    </w:p>
    <w:p w:rsidR="005B2DC8" w:rsidRDefault="00AE748B">
      <w:pPr>
        <w:pStyle w:val="Zkladntext1"/>
        <w:shd w:val="clear" w:color="auto" w:fill="auto"/>
        <w:spacing w:after="0"/>
        <w:jc w:val="center"/>
      </w:pPr>
      <w:r>
        <w:rPr>
          <w:b/>
          <w:bCs/>
        </w:rPr>
        <w:t>Článek III.</w:t>
      </w:r>
    </w:p>
    <w:p w:rsidR="005B2DC8" w:rsidRDefault="00AE748B">
      <w:pPr>
        <w:pStyle w:val="Nadpis30"/>
        <w:keepNext/>
        <w:keepLines/>
        <w:shd w:val="clear" w:color="auto" w:fill="auto"/>
      </w:pPr>
      <w:bookmarkStart w:id="9" w:name="bookmark8"/>
      <w:bookmarkStart w:id="10" w:name="bookmark9"/>
      <w:r>
        <w:t>Závěrečná ujednání</w:t>
      </w:r>
      <w:bookmarkEnd w:id="9"/>
      <w:bookmarkEnd w:id="10"/>
    </w:p>
    <w:p w:rsidR="005B2DC8" w:rsidRDefault="00AE748B">
      <w:pPr>
        <w:pStyle w:val="Zkladntext1"/>
        <w:numPr>
          <w:ilvl w:val="0"/>
          <w:numId w:val="3"/>
        </w:numPr>
        <w:shd w:val="clear" w:color="auto" w:fill="auto"/>
        <w:tabs>
          <w:tab w:val="left" w:pos="560"/>
        </w:tabs>
        <w:ind w:left="560" w:hanging="560"/>
        <w:jc w:val="both"/>
      </w:pPr>
      <w:r>
        <w:t xml:space="preserve">Tato smlouva se uzavírá na dobu trvání </w:t>
      </w:r>
      <w:r>
        <w:t>sjednaného předmětu příkazu, tj. do pravomocného ukončení soudního řízení, vedeného ve věci specifikované shora pod bodem 1.2 této smlouvy.</w:t>
      </w:r>
    </w:p>
    <w:p w:rsidR="005B2DC8" w:rsidRDefault="00AE748B">
      <w:pPr>
        <w:pStyle w:val="Zkladntext1"/>
        <w:numPr>
          <w:ilvl w:val="0"/>
          <w:numId w:val="3"/>
        </w:numPr>
        <w:shd w:val="clear" w:color="auto" w:fill="auto"/>
        <w:tabs>
          <w:tab w:val="left" w:pos="560"/>
        </w:tabs>
        <w:ind w:left="560" w:hanging="560"/>
        <w:jc w:val="both"/>
      </w:pPr>
      <w:r>
        <w:t>Klient je oprávněn tuto smlouvu vypovědět bez uvedení důvodu, je však povinen uhradit advokátovi bez zbytečného odkl</w:t>
      </w:r>
      <w:r>
        <w:t>adu sjednanou odměnu za do té doby poskytnuté právní služby, včetně hotových výdajů.</w:t>
      </w:r>
    </w:p>
    <w:p w:rsidR="005B2DC8" w:rsidRDefault="00AE748B">
      <w:pPr>
        <w:pStyle w:val="Zkladntext1"/>
        <w:numPr>
          <w:ilvl w:val="0"/>
          <w:numId w:val="3"/>
        </w:numPr>
        <w:shd w:val="clear" w:color="auto" w:fill="auto"/>
        <w:tabs>
          <w:tab w:val="left" w:pos="560"/>
        </w:tabs>
        <w:ind w:left="560" w:hanging="560"/>
        <w:jc w:val="both"/>
      </w:pPr>
      <w:r>
        <w:t>Advokát je oprávněn tuto smlouvu vypovědět jen tehdy, dojde-li k narušení důvěry mezi ním a klientem, neposkytuje-li klient potřebnou součinnost, anebo je-li klient v prod</w:t>
      </w:r>
      <w:r>
        <w:t>lení s úhradou faktury za právní služby po dobu delší než 1 měsíc.</w:t>
      </w:r>
    </w:p>
    <w:p w:rsidR="005B2DC8" w:rsidRDefault="00AE748B">
      <w:pPr>
        <w:pStyle w:val="Zkladntext1"/>
        <w:numPr>
          <w:ilvl w:val="0"/>
          <w:numId w:val="3"/>
        </w:numPr>
        <w:shd w:val="clear" w:color="auto" w:fill="auto"/>
        <w:tabs>
          <w:tab w:val="left" w:pos="560"/>
        </w:tabs>
        <w:ind w:left="560" w:hanging="560"/>
        <w:jc w:val="both"/>
      </w:pPr>
      <w:r>
        <w:t xml:space="preserve">Výpověď smlouvy musí být doručena druhému účastníku. Účinky výpovědi nastanou dnem doručení výpovědi druhému účastníku. Advokát je však povinen po dobu 15 dnů ode dne zániku smlouvy učinit </w:t>
      </w:r>
      <w:r>
        <w:t>všechny neodkladné úkony tak, aby klient neutrpěl na svých právech nebo oprávněných zájmech újmu. To neplatí, pokud klient advokátovi sdělí, že na splnění této povinnosti netrvá, či pokud klient učiní jiná opatření, aby takovou újmu neutrpěl.</w:t>
      </w:r>
    </w:p>
    <w:p w:rsidR="005B2DC8" w:rsidRDefault="00AE748B">
      <w:pPr>
        <w:pStyle w:val="Zkladntext1"/>
        <w:numPr>
          <w:ilvl w:val="0"/>
          <w:numId w:val="3"/>
        </w:numPr>
        <w:shd w:val="clear" w:color="auto" w:fill="auto"/>
        <w:tabs>
          <w:tab w:val="left" w:pos="560"/>
        </w:tabs>
        <w:ind w:left="560" w:hanging="560"/>
        <w:jc w:val="both"/>
      </w:pPr>
      <w:r>
        <w:t>Právní vztahy</w:t>
      </w:r>
      <w:r>
        <w:t xml:space="preserve"> touto smlouvou neupravené se řídí příslušnými obecně závaznými právními předpisy, a to zejména ustanovením § 2430 až 2444 zák. č. 89/2012 Sb., občanský zákoník, v platném znění, o příkazní smlouvě, dále zák. č. 85/1996 Sb., o advokacii, ve znění pozdějšíc</w:t>
      </w:r>
      <w:r>
        <w:t>h předpisů a dále vyhláškou Ministerstva spravedlnosti ČR č. 177/1996 Sb., ve znění pozdějších předpisů (advokátní tarif).</w:t>
      </w:r>
    </w:p>
    <w:p w:rsidR="005B2DC8" w:rsidRDefault="00AE748B">
      <w:pPr>
        <w:pStyle w:val="Zkladntext1"/>
        <w:numPr>
          <w:ilvl w:val="0"/>
          <w:numId w:val="3"/>
        </w:numPr>
        <w:shd w:val="clear" w:color="auto" w:fill="auto"/>
        <w:tabs>
          <w:tab w:val="left" w:pos="560"/>
        </w:tabs>
        <w:ind w:left="560" w:hanging="560"/>
        <w:jc w:val="both"/>
      </w:pPr>
      <w:r>
        <w:t>Tuto smlouvu lze měnit nebo doplňovat pouze písemnými chronologicky číslovanými dodatky podepsanými oběma účastníky této smlouvy.</w:t>
      </w:r>
      <w:r>
        <w:br w:type="page"/>
      </w:r>
    </w:p>
    <w:p w:rsidR="005B2DC8" w:rsidRDefault="00AE748B">
      <w:pPr>
        <w:pStyle w:val="Zkladntext1"/>
        <w:numPr>
          <w:ilvl w:val="0"/>
          <w:numId w:val="3"/>
        </w:numPr>
        <w:shd w:val="clear" w:color="auto" w:fill="auto"/>
        <w:tabs>
          <w:tab w:val="left" w:pos="560"/>
        </w:tabs>
        <w:spacing w:after="100" w:line="252" w:lineRule="auto"/>
        <w:ind w:left="600" w:hanging="600"/>
        <w:jc w:val="both"/>
      </w:pPr>
      <w:r>
        <w:lastRenderedPageBreak/>
        <w:t>Ta</w:t>
      </w:r>
      <w:r>
        <w:t>to smlouva bude zveřejněna v registru smluv dle zákona č. 340/2015 Sb., o registru smluv, přičemž smluvní strany sjednávají, že zveřejnění provede klient. Tato smlouva nabude účinnosti nejdříve jejím zveřejněním v registru smluv dle předchozí věty. Obě sml</w:t>
      </w:r>
      <w:r>
        <w:t>uvní strany berou na vědomí, že nebudou zveřejněny pouze ty informace, které nelze poskytnout podle předpisů upravujících svobodný přístup k informacím. Vzhledem k tomu, že předmětem příkazu je poskytování právní služby v případě soudního sporu, bude vylou</w:t>
      </w:r>
      <w:r>
        <w:t>čen ze zveřejnění předmět příkazu s popisem konkrétní právní služby. Považuje-li advokát některé další informace uvedené v této smlouvě za informace, které nemohou nebo nemají být zveřejněny v registru smluv dle zákona č. 340/2015 Sb., je povinen na to kli</w:t>
      </w:r>
      <w:r>
        <w:t>enta současně s uzavřením této smlouvy písemně upozornit.</w:t>
      </w:r>
    </w:p>
    <w:p w:rsidR="005B2DC8" w:rsidRDefault="00AE748B">
      <w:pPr>
        <w:pStyle w:val="Zkladntext1"/>
        <w:numPr>
          <w:ilvl w:val="0"/>
          <w:numId w:val="3"/>
        </w:numPr>
        <w:shd w:val="clear" w:color="auto" w:fill="auto"/>
        <w:tabs>
          <w:tab w:val="left" w:pos="560"/>
        </w:tabs>
        <w:spacing w:after="100" w:line="252" w:lineRule="auto"/>
        <w:ind w:left="600" w:hanging="600"/>
        <w:jc w:val="both"/>
      </w:pPr>
      <w:r>
        <w:t>Účastníci prohlašují, že si tuto smlouvu řádně přečetli, rozumí zcela jejímu obsahu a veškerým závazkům ze smlouvy vyplývajícím a uzavírají ji na základě své pravé vůle a nikoli v tísni za nápadně n</w:t>
      </w:r>
      <w:r>
        <w:t>evýhodných podmínek a ani jim není známa jakákoli skutečnost, která by mohla vést k neplatnosti či neúčinnosti této smlouvy.</w:t>
      </w:r>
    </w:p>
    <w:p w:rsidR="005B2DC8" w:rsidRDefault="00AE748B">
      <w:pPr>
        <w:pStyle w:val="Zkladntext1"/>
        <w:numPr>
          <w:ilvl w:val="0"/>
          <w:numId w:val="3"/>
        </w:numPr>
        <w:shd w:val="clear" w:color="auto" w:fill="auto"/>
        <w:tabs>
          <w:tab w:val="left" w:pos="560"/>
        </w:tabs>
        <w:spacing w:after="740"/>
        <w:ind w:left="600" w:hanging="600"/>
        <w:jc w:val="both"/>
      </w:pPr>
      <w:r>
        <w:t>Tato smlouva je vyhotovena ve dvou stejnopisech s platností originálu, z nichž každý z účastníků obdrží po jednom vyhotovení.</w:t>
      </w:r>
    </w:p>
    <w:p w:rsidR="005B2DC8" w:rsidRDefault="00AE748B">
      <w:pPr>
        <w:pStyle w:val="Nadpis30"/>
        <w:keepNext/>
        <w:keepLines/>
        <w:shd w:val="clear" w:color="auto" w:fill="auto"/>
        <w:spacing w:after="0"/>
        <w:sectPr w:rsidR="005B2DC8">
          <w:footerReference w:type="default" r:id="rId8"/>
          <w:footerReference w:type="first" r:id="rId9"/>
          <w:pgSz w:w="11900" w:h="16840"/>
          <w:pgMar w:top="1027" w:right="1423" w:bottom="1471" w:left="1009" w:header="0" w:footer="3" w:gutter="0"/>
          <w:pgNumType w:start="1"/>
          <w:cols w:space="720"/>
          <w:noEndnote/>
          <w:titlePg/>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665480</wp:posOffset>
                </wp:positionH>
                <wp:positionV relativeFrom="margin">
                  <wp:posOffset>2917190</wp:posOffset>
                </wp:positionV>
                <wp:extent cx="445770" cy="17399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445770" cy="173990"/>
                        </a:xfrm>
                        <a:prstGeom prst="rect">
                          <a:avLst/>
                        </a:prstGeom>
                        <a:noFill/>
                      </wps:spPr>
                      <wps:txbx>
                        <w:txbxContent>
                          <w:p w:rsidR="005B2DC8" w:rsidRDefault="00AE748B">
                            <w:pPr>
                              <w:pStyle w:val="Zkladntext1"/>
                              <w:shd w:val="clear" w:color="auto" w:fill="auto"/>
                              <w:spacing w:after="0"/>
                            </w:pPr>
                            <w:r>
                              <w:rPr>
                                <w:b/>
                                <w:bCs/>
                              </w:rPr>
                              <w:t>Klient:</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52.4pt;margin-top:229.7pt;width:35.1pt;height:13.7pt;z-index:125829378;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" filled="f" stroked="f">
                <v:textbox inset="0,0,0,0">
                  <w:txbxContent>
                    <w:p w:rsidR="005B2DC8" w:rsidRDefault="00AE748B">
                      <w:pPr>
                        <w:pStyle w:val="Zkladntext1"/>
                        <w:shd w:val="clear" w:color="auto" w:fill="auto"/>
                        <w:spacing w:after="0"/>
                      </w:pPr>
                      <w:r>
                        <w:rPr>
                          <w:b/>
                          <w:bCs/>
                        </w:rPr>
                        <w:t>Klient:</w:t>
                      </w:r>
                    </w:p>
                  </w:txbxContent>
                </v:textbox>
                <w10:wrap type="square" side="right" anchorx="page" anchory="margin"/>
              </v:shape>
            </w:pict>
          </mc:Fallback>
        </mc:AlternateContent>
      </w:r>
      <w:bookmarkStart w:id="11" w:name="bookmark10"/>
      <w:bookmarkStart w:id="12" w:name="bookmark11"/>
      <w:r w:rsidR="003C0DEC">
        <w:t xml:space="preserve">     </w:t>
      </w:r>
      <w:r>
        <w:t>Advokát:</w:t>
      </w:r>
      <w:bookmarkEnd w:id="11"/>
      <w:bookmarkEnd w:id="12"/>
    </w:p>
    <w:p w:rsidR="005B2DC8" w:rsidRDefault="005B2DC8">
      <w:pPr>
        <w:spacing w:line="1" w:lineRule="exact"/>
      </w:pPr>
    </w:p>
    <w:p w:rsidR="005B2DC8" w:rsidRDefault="00627C5F" w:rsidP="00627C5F">
      <w:pPr>
        <w:pStyle w:val="Zkladntext1"/>
        <w:shd w:val="clear" w:color="auto" w:fill="auto"/>
        <w:spacing w:after="0"/>
        <w:sectPr w:rsidR="005B2DC8">
          <w:type w:val="continuous"/>
          <w:pgSz w:w="11900" w:h="16840"/>
          <w:pgMar w:top="1052" w:right="7963" w:bottom="6227" w:left="1046" w:header="0" w:footer="3" w:gutter="0"/>
          <w:cols w:num="2" w:space="443"/>
          <w:noEndnote/>
          <w:docGrid w:linePitch="360"/>
        </w:sectPr>
      </w:pPr>
      <w:r>
        <w:rPr>
          <w:noProof/>
          <w:lang w:bidi="ar-SA"/>
        </w:rPr>
        <mc:AlternateContent>
          <mc:Choice Requires="wps">
            <w:drawing>
              <wp:anchor distT="0" distB="0" distL="0" distR="0" simplePos="0" relativeHeight="251658240" behindDoc="0" locked="0" layoutInCell="1" allowOverlap="1">
                <wp:simplePos x="0" y="0"/>
                <wp:positionH relativeFrom="page">
                  <wp:posOffset>667911</wp:posOffset>
                </wp:positionH>
                <wp:positionV relativeFrom="paragraph">
                  <wp:posOffset>94808</wp:posOffset>
                </wp:positionV>
                <wp:extent cx="5970794" cy="739472"/>
                <wp:effectExtent l="0" t="0" r="0" b="0"/>
                <wp:wrapNone/>
                <wp:docPr id="11" name="Shape 11"/>
                <wp:cNvGraphicFramePr/>
                <a:graphic xmlns:a="http://schemas.openxmlformats.org/drawingml/2006/main">
                  <a:graphicData uri="http://schemas.microsoft.com/office/word/2010/wordprocessingShape">
                    <wps:wsp>
                      <wps:cNvSpPr txBox="1"/>
                      <wps:spPr>
                        <a:xfrm>
                          <a:off x="0" y="0"/>
                          <a:ext cx="5970794" cy="739472"/>
                        </a:xfrm>
                        <a:prstGeom prst="rect">
                          <a:avLst/>
                        </a:prstGeom>
                        <a:noFill/>
                      </wps:spPr>
                      <wps:txbx>
                        <w:txbxContent>
                          <w:p w:rsidR="00627C5F" w:rsidRDefault="00627C5F">
                            <w:pPr>
                              <w:pStyle w:val="Titulekobrzku0"/>
                              <w:shd w:val="clear" w:color="auto" w:fill="auto"/>
                            </w:pPr>
                          </w:p>
                          <w:p w:rsidR="005B2DC8" w:rsidRDefault="00AE748B">
                            <w:pPr>
                              <w:pStyle w:val="Titulekobrzku0"/>
                              <w:shd w:val="clear" w:color="auto" w:fill="auto"/>
                            </w:pPr>
                            <w:r>
                              <w:t>V Praze dne</w:t>
                            </w:r>
                            <w:r w:rsidR="00627C5F">
                              <w:t xml:space="preserve">   22. 1. 2020</w:t>
                            </w:r>
                            <w:r w:rsidR="00627C5F">
                              <w:tab/>
                            </w:r>
                            <w:r w:rsidR="00627C5F">
                              <w:tab/>
                            </w:r>
                            <w:r w:rsidR="00627C5F">
                              <w:tab/>
                              <w:t xml:space="preserve">         </w:t>
                            </w:r>
                            <w:r w:rsidR="003C0DEC">
                              <w:t xml:space="preserve"> </w:t>
                            </w:r>
                            <w:r w:rsidR="00627C5F">
                              <w:t>V Praze dne   22. 1. 2020</w:t>
                            </w:r>
                            <w:r w:rsidR="00627C5F">
                              <w:tab/>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1" o:spid="_x0000_s1027" type="#_x0000_t202" style="position:absolute;margin-left:52.6pt;margin-top:7.45pt;width:470.15pt;height:58.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" filled="f" stroked="f">
                <v:textbox inset="0,0,0,0">
                  <w:txbxContent>
                    <w:p w:rsidR="00627C5F" w:rsidRDefault="00627C5F">
                      <w:pPr>
                        <w:pStyle w:val="Titulekobrzku0"/>
                        <w:shd w:val="clear" w:color="auto" w:fill="auto"/>
                      </w:pPr>
                    </w:p>
                    <w:p w:rsidR="005B2DC8" w:rsidRDefault="00AE748B">
                      <w:pPr>
                        <w:pStyle w:val="Titulekobrzku0"/>
                        <w:shd w:val="clear" w:color="auto" w:fill="auto"/>
                      </w:pPr>
                      <w:r>
                        <w:t>V Praze dne</w:t>
                      </w:r>
                      <w:r w:rsidR="00627C5F">
                        <w:t xml:space="preserve">   22. 1. 2020</w:t>
                      </w:r>
                      <w:r w:rsidR="00627C5F">
                        <w:tab/>
                      </w:r>
                      <w:r w:rsidR="00627C5F">
                        <w:tab/>
                      </w:r>
                      <w:r w:rsidR="00627C5F">
                        <w:tab/>
                        <w:t xml:space="preserve">         </w:t>
                      </w:r>
                      <w:r w:rsidR="003C0DEC">
                        <w:t xml:space="preserve"> </w:t>
                      </w:r>
                      <w:r w:rsidR="00627C5F">
                        <w:t>V Praze dne   22. 1. 2020</w:t>
                      </w:r>
                      <w:r w:rsidR="00627C5F">
                        <w:tab/>
                      </w:r>
                    </w:p>
                  </w:txbxContent>
                </v:textbox>
                <w10:wrap anchorx="page"/>
              </v:shape>
            </w:pict>
          </mc:Fallback>
        </mc:AlternateContent>
      </w:r>
      <w:r w:rsidR="00AE748B">
        <w:t xml:space="preserve"> </w:t>
      </w:r>
    </w:p>
    <w:p w:rsidR="005B2DC8" w:rsidRDefault="005B2DC8">
      <w:pPr>
        <w:spacing w:line="240" w:lineRule="exact"/>
        <w:rPr>
          <w:sz w:val="19"/>
          <w:szCs w:val="19"/>
        </w:rPr>
      </w:pPr>
    </w:p>
    <w:p w:rsidR="005B2DC8" w:rsidRDefault="005B2DC8">
      <w:pPr>
        <w:spacing w:line="240" w:lineRule="exact"/>
        <w:rPr>
          <w:sz w:val="19"/>
          <w:szCs w:val="19"/>
        </w:rPr>
      </w:pPr>
    </w:p>
    <w:p w:rsidR="005B2DC8" w:rsidRDefault="005B2DC8">
      <w:pPr>
        <w:spacing w:line="240" w:lineRule="exact"/>
        <w:rPr>
          <w:sz w:val="19"/>
          <w:szCs w:val="19"/>
        </w:rPr>
      </w:pPr>
    </w:p>
    <w:p w:rsidR="005B2DC8" w:rsidRDefault="005B2DC8">
      <w:pPr>
        <w:spacing w:before="100" w:after="100" w:line="240" w:lineRule="exact"/>
        <w:rPr>
          <w:sz w:val="19"/>
          <w:szCs w:val="19"/>
        </w:rPr>
      </w:pPr>
    </w:p>
    <w:p w:rsidR="005B2DC8" w:rsidRDefault="005B2DC8">
      <w:pPr>
        <w:spacing w:line="1" w:lineRule="exact"/>
        <w:sectPr w:rsidR="005B2DC8">
          <w:type w:val="continuous"/>
          <w:pgSz w:w="11900" w:h="16840"/>
          <w:pgMar w:top="1052" w:right="0" w:bottom="6227" w:left="0" w:header="0" w:footer="3" w:gutter="0"/>
          <w:cols w:space="720"/>
          <w:noEndnote/>
          <w:docGrid w:linePitch="360"/>
        </w:sectPr>
      </w:pPr>
    </w:p>
    <w:p w:rsidR="005B2DC8" w:rsidRDefault="00AE748B">
      <w:pPr>
        <w:spacing w:line="1" w:lineRule="exact"/>
      </w:pPr>
      <w:r>
        <w:rPr>
          <w:noProof/>
          <w:lang w:bidi="ar-SA"/>
        </w:rPr>
        <mc:AlternateContent>
          <mc:Choice Requires="wps">
            <w:drawing>
              <wp:anchor distT="0" distB="0" distL="0" distR="0" simplePos="0" relativeHeight="125829381" behindDoc="0" locked="0" layoutInCell="1" allowOverlap="1">
                <wp:simplePos x="0" y="0"/>
                <wp:positionH relativeFrom="page">
                  <wp:posOffset>3783965</wp:posOffset>
                </wp:positionH>
                <wp:positionV relativeFrom="paragraph">
                  <wp:posOffset>12700</wp:posOffset>
                </wp:positionV>
                <wp:extent cx="1721485" cy="32893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721485" cy="328930"/>
                        </a:xfrm>
                        <a:prstGeom prst="rect">
                          <a:avLst/>
                        </a:prstGeom>
                        <a:noFill/>
                      </wps:spPr>
                      <wps:txbx>
                        <w:txbxContent>
                          <w:p w:rsidR="005B2DC8" w:rsidRDefault="00627C5F">
                            <w:pPr>
                              <w:pStyle w:val="Zkladntext1"/>
                              <w:shd w:val="clear" w:color="auto" w:fill="auto"/>
                              <w:spacing w:after="0"/>
                            </w:pPr>
                            <w:r>
                              <w:rPr>
                                <w:b/>
                                <w:bCs/>
                              </w:rPr>
                              <w:t>Mgr. Š</w:t>
                            </w:r>
                            <w:r w:rsidR="00AE748B">
                              <w:rPr>
                                <w:b/>
                                <w:bCs/>
                              </w:rPr>
                              <w:t>těpá</w:t>
                            </w:r>
                            <w:r>
                              <w:rPr>
                                <w:b/>
                                <w:bCs/>
                              </w:rPr>
                              <w:t>n</w:t>
                            </w:r>
                            <w:r w:rsidR="00AE748B">
                              <w:rPr>
                                <w:b/>
                                <w:bCs/>
                              </w:rPr>
                              <w:t>ka Vincencová advokát</w:t>
                            </w:r>
                          </w:p>
                        </w:txbxContent>
                      </wps:txbx>
                      <wps:bodyPr lIns="0" tIns="0" rIns="0" bIns="0"/>
                    </wps:wsp>
                  </a:graphicData>
                </a:graphic>
              </wp:anchor>
            </w:drawing>
          </mc:Choice>
          <mc:Fallback>
            <w:pict>
              <v:shape id="Shape 13" o:spid="_x0000_s1028" type="#_x0000_t202" style="position:absolute;margin-left:297.95pt;margin-top:1pt;width:135.55pt;height:25.9pt;z-index:1258293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" filled="f" stroked="f">
                <v:textbox inset="0,0,0,0">
                  <w:txbxContent>
                    <w:p w:rsidR="005B2DC8" w:rsidRDefault="00627C5F">
                      <w:pPr>
                        <w:pStyle w:val="Zkladntext1"/>
                        <w:shd w:val="clear" w:color="auto" w:fill="auto"/>
                        <w:spacing w:after="0"/>
                      </w:pPr>
                      <w:r>
                        <w:rPr>
                          <w:b/>
                          <w:bCs/>
                        </w:rPr>
                        <w:t>Mgr. Š</w:t>
                      </w:r>
                      <w:r w:rsidR="00AE748B">
                        <w:rPr>
                          <w:b/>
                          <w:bCs/>
                        </w:rPr>
                        <w:t>těpá</w:t>
                      </w:r>
                      <w:r>
                        <w:rPr>
                          <w:b/>
                          <w:bCs/>
                        </w:rPr>
                        <w:t>n</w:t>
                      </w:r>
                      <w:r w:rsidR="00AE748B">
                        <w:rPr>
                          <w:b/>
                          <w:bCs/>
                        </w:rPr>
                        <w:t>ka Vincencová advokát</w:t>
                      </w:r>
                    </w:p>
                  </w:txbxContent>
                </v:textbox>
                <w10:wrap type="square" anchorx="page"/>
              </v:shape>
            </w:pict>
          </mc:Fallback>
        </mc:AlternateContent>
      </w:r>
    </w:p>
    <w:p w:rsidR="00627C5F" w:rsidRDefault="00AE748B">
      <w:pPr>
        <w:pStyle w:val="Zkladntext1"/>
        <w:shd w:val="clear" w:color="auto" w:fill="auto"/>
        <w:spacing w:after="0"/>
        <w:rPr>
          <w:b/>
          <w:bCs/>
        </w:rPr>
      </w:pPr>
      <w:r>
        <w:t xml:space="preserve">Za </w:t>
      </w:r>
      <w:r>
        <w:rPr>
          <w:b/>
          <w:bCs/>
        </w:rPr>
        <w:t xml:space="preserve">Národní Galerii v Praze </w:t>
      </w:r>
    </w:p>
    <w:p w:rsidR="00627C5F" w:rsidRDefault="00AE748B">
      <w:pPr>
        <w:pStyle w:val="Zkladntext1"/>
        <w:shd w:val="clear" w:color="auto" w:fill="auto"/>
        <w:spacing w:after="0"/>
        <w:rPr>
          <w:b/>
          <w:bCs/>
        </w:rPr>
      </w:pPr>
      <w:r>
        <w:rPr>
          <w:b/>
          <w:bCs/>
        </w:rPr>
        <w:t xml:space="preserve">Ing. Alena Anne-Marie Nedoma </w:t>
      </w:r>
    </w:p>
    <w:p w:rsidR="005B2DC8" w:rsidRDefault="00AE748B">
      <w:pPr>
        <w:pStyle w:val="Zkladntext1"/>
        <w:shd w:val="clear" w:color="auto" w:fill="auto"/>
        <w:spacing w:after="0"/>
        <w:sectPr w:rsidR="005B2DC8">
          <w:type w:val="continuous"/>
          <w:pgSz w:w="11900" w:h="16840"/>
          <w:pgMar w:top="1052" w:right="5933" w:bottom="6227" w:left="1035" w:header="0" w:footer="3" w:gutter="0"/>
          <w:cols w:space="720"/>
          <w:noEndnote/>
          <w:docGrid w:linePitch="360"/>
        </w:sectPr>
      </w:pPr>
      <w:r>
        <w:rPr>
          <w:b/>
          <w:bCs/>
        </w:rPr>
        <w:t>generální ředitelka</w:t>
      </w:r>
    </w:p>
    <w:p w:rsidR="005B2DC8" w:rsidRDefault="005B2DC8">
      <w:pPr>
        <w:spacing w:line="240" w:lineRule="exact"/>
        <w:rPr>
          <w:sz w:val="19"/>
          <w:szCs w:val="19"/>
        </w:rPr>
      </w:pPr>
    </w:p>
    <w:p w:rsidR="005B2DC8" w:rsidRDefault="005B2DC8">
      <w:pPr>
        <w:spacing w:before="99" w:after="99" w:line="240" w:lineRule="exact"/>
        <w:rPr>
          <w:sz w:val="19"/>
          <w:szCs w:val="19"/>
        </w:rPr>
      </w:pPr>
    </w:p>
    <w:p w:rsidR="005B2DC8" w:rsidRDefault="005B2DC8">
      <w:pPr>
        <w:spacing w:line="1" w:lineRule="exact"/>
        <w:sectPr w:rsidR="005B2DC8">
          <w:type w:val="continuous"/>
          <w:pgSz w:w="11900" w:h="16840"/>
          <w:pgMar w:top="1052" w:right="0" w:bottom="960" w:left="0" w:header="0" w:footer="3" w:gutter="0"/>
          <w:cols w:space="720"/>
          <w:noEndnote/>
          <w:docGrid w:linePitch="360"/>
        </w:sectPr>
      </w:pPr>
    </w:p>
    <w:p w:rsidR="005B2DC8" w:rsidRDefault="005B2DC8">
      <w:pPr>
        <w:spacing w:line="360" w:lineRule="exact"/>
      </w:pPr>
    </w:p>
    <w:p w:rsidR="005B2DC8" w:rsidRDefault="005B2DC8">
      <w:pPr>
        <w:spacing w:line="360" w:lineRule="exact"/>
      </w:pPr>
    </w:p>
    <w:p w:rsidR="005B2DC8" w:rsidRDefault="005B2DC8">
      <w:pPr>
        <w:spacing w:after="420" w:line="1" w:lineRule="exact"/>
      </w:pPr>
    </w:p>
    <w:p w:rsidR="005B2DC8" w:rsidRDefault="005B2DC8">
      <w:pPr>
        <w:spacing w:line="1" w:lineRule="exact"/>
      </w:pPr>
    </w:p>
    <w:sectPr w:rsidR="005B2DC8">
      <w:type w:val="continuous"/>
      <w:pgSz w:w="11900" w:h="16840"/>
      <w:pgMar w:top="1052" w:right="1433" w:bottom="960" w:left="103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48B" w:rsidRDefault="00AE748B">
      <w:r>
        <w:separator/>
      </w:r>
    </w:p>
  </w:endnote>
  <w:endnote w:type="continuationSeparator" w:id="0">
    <w:p w:rsidR="00AE748B" w:rsidRDefault="00AE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C8" w:rsidRDefault="00AE748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6543040</wp:posOffset>
              </wp:positionH>
              <wp:positionV relativeFrom="page">
                <wp:posOffset>10038715</wp:posOffset>
              </wp:positionV>
              <wp:extent cx="43180" cy="71120"/>
              <wp:effectExtent l="0" t="0" r="0" b="0"/>
              <wp:wrapNone/>
              <wp:docPr id="1" name="Shape 1"/>
              <wp:cNvGraphicFramePr/>
              <a:graphic xmlns:a="http://schemas.openxmlformats.org/drawingml/2006/main">
                <a:graphicData uri="http://schemas.microsoft.com/office/word/2010/wordprocessingShape">
                  <wps:wsp>
                    <wps:cNvSpPr txBox="1"/>
                    <wps:spPr>
                      <a:xfrm>
                        <a:off x="0" y="0"/>
                        <a:ext cx="43180" cy="71120"/>
                      </a:xfrm>
                      <a:prstGeom prst="rect">
                        <a:avLst/>
                      </a:prstGeom>
                      <a:noFill/>
                    </wps:spPr>
                    <wps:txbx>
                      <w:txbxContent>
                        <w:p w:rsidR="005B2DC8" w:rsidRDefault="00AE748B">
                          <w:pPr>
                            <w:pStyle w:val="Zhlavnebozpat20"/>
                            <w:shd w:val="clear" w:color="auto" w:fill="auto"/>
                            <w:rPr>
                              <w:sz w:val="15"/>
                              <w:szCs w:val="15"/>
                            </w:rPr>
                          </w:pPr>
                          <w:r>
                            <w:fldChar w:fldCharType="begin"/>
                          </w:r>
                          <w:r>
                            <w:instrText xml:space="preserve"> PAGE \* MERGEFORMAT </w:instrText>
                          </w:r>
                          <w:r>
                            <w:fldChar w:fldCharType="separate"/>
                          </w:r>
                          <w:r w:rsidR="00171D04" w:rsidRPr="00171D04">
                            <w:rPr>
                              <w:rFonts w:ascii="Arial" w:eastAsia="Arial" w:hAnsi="Arial" w:cs="Arial"/>
                              <w:noProof/>
                              <w:sz w:val="15"/>
                              <w:szCs w:val="15"/>
                            </w:rPr>
                            <w:t>3</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515.2pt;margin-top:790.45pt;width:3.4pt;height:5.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" filled="f" stroked="f">
              <v:textbox style="mso-fit-shape-to-text:t" inset="0,0,0,0">
                <w:txbxContent>
                  <w:p w:rsidR="005B2DC8" w:rsidRDefault="00AE748B">
                    <w:pPr>
                      <w:pStyle w:val="Zhlavnebozpat20"/>
                      <w:shd w:val="clear" w:color="auto" w:fill="auto"/>
                      <w:rPr>
                        <w:sz w:val="15"/>
                        <w:szCs w:val="15"/>
                      </w:rPr>
                    </w:pPr>
                    <w:r>
                      <w:fldChar w:fldCharType="begin"/>
                    </w:r>
                    <w:r>
                      <w:instrText xml:space="preserve"> PAGE \* MERGEFORMAT </w:instrText>
                    </w:r>
                    <w:r>
                      <w:fldChar w:fldCharType="separate"/>
                    </w:r>
                    <w:r w:rsidR="00171D04" w:rsidRPr="00171D04">
                      <w:rPr>
                        <w:rFonts w:ascii="Arial" w:eastAsia="Arial" w:hAnsi="Arial" w:cs="Arial"/>
                        <w:noProof/>
                        <w:sz w:val="15"/>
                        <w:szCs w:val="15"/>
                      </w:rPr>
                      <w:t>3</w:t>
                    </w:r>
                    <w:r>
                      <w:rPr>
                        <w:rFonts w:ascii="Arial" w:eastAsia="Arial" w:hAnsi="Arial" w:cs="Arial"/>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C8" w:rsidRDefault="005B2DC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48B" w:rsidRDefault="00AE748B"/>
  </w:footnote>
  <w:footnote w:type="continuationSeparator" w:id="0">
    <w:p w:rsidR="00AE748B" w:rsidRDefault="00AE748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0AB3"/>
    <w:multiLevelType w:val="multilevel"/>
    <w:tmpl w:val="3556811A"/>
    <w:lvl w:ilvl="0">
      <w:start w:val="1"/>
      <w:numFmt w:val="decimal"/>
      <w:lvlText w:val="1.%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777B2"/>
    <w:multiLevelType w:val="multilevel"/>
    <w:tmpl w:val="661231A4"/>
    <w:lvl w:ilvl="0">
      <w:start w:val="1"/>
      <w:numFmt w:val="decimal"/>
      <w:lvlText w:val="2.%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BB376E"/>
    <w:multiLevelType w:val="multilevel"/>
    <w:tmpl w:val="565A564E"/>
    <w:lvl w:ilvl="0">
      <w:start w:val="1"/>
      <w:numFmt w:val="decimal"/>
      <w:lvlText w:val="3.%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C8"/>
    <w:rsid w:val="00171D04"/>
    <w:rsid w:val="003C0DEC"/>
    <w:rsid w:val="005B2DC8"/>
    <w:rsid w:val="00627C5F"/>
    <w:rsid w:val="006D123B"/>
    <w:rsid w:val="00AE7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E94E"/>
  <w15:docId w15:val="{34AF5229-AA5A-49DB-A633-6D706424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9"/>
      <w:szCs w:val="19"/>
      <w:u w:val="none"/>
    </w:rPr>
  </w:style>
  <w:style w:type="character" w:customStyle="1" w:styleId="Nadpis1">
    <w:name w:val="Nadpis #1_"/>
    <w:basedOn w:val="Standardnpsmoodstavce"/>
    <w:link w:val="Nadpis10"/>
    <w:rPr>
      <w:rFonts w:ascii="Tahoma" w:eastAsia="Tahoma" w:hAnsi="Tahoma" w:cs="Tahoma"/>
      <w:b/>
      <w:bCs/>
      <w:i w:val="0"/>
      <w:iCs w:val="0"/>
      <w:smallCaps w:val="0"/>
      <w:strike w:val="0"/>
      <w:sz w:val="26"/>
      <w:szCs w:val="26"/>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19"/>
      <w:szCs w:val="19"/>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2"/>
      <w:szCs w:val="22"/>
      <w:u w:val="none"/>
    </w:rPr>
  </w:style>
  <w:style w:type="paragraph" w:customStyle="1" w:styleId="Zkladntext1">
    <w:name w:val="Základní text1"/>
    <w:basedOn w:val="Normln"/>
    <w:link w:val="Zkladntext"/>
    <w:pPr>
      <w:shd w:val="clear" w:color="auto" w:fill="FFFFFF"/>
      <w:spacing w:after="120"/>
    </w:pPr>
    <w:rPr>
      <w:rFonts w:ascii="Tahoma" w:eastAsia="Tahoma" w:hAnsi="Tahoma" w:cs="Tahoma"/>
      <w:sz w:val="19"/>
      <w:szCs w:val="19"/>
    </w:rPr>
  </w:style>
  <w:style w:type="paragraph" w:customStyle="1" w:styleId="Nadpis10">
    <w:name w:val="Nadpis #1"/>
    <w:basedOn w:val="Normln"/>
    <w:link w:val="Nadpis1"/>
    <w:pPr>
      <w:shd w:val="clear" w:color="auto" w:fill="FFFFFF"/>
      <w:spacing w:after="480"/>
      <w:jc w:val="center"/>
      <w:outlineLvl w:val="0"/>
    </w:pPr>
    <w:rPr>
      <w:rFonts w:ascii="Tahoma" w:eastAsia="Tahoma" w:hAnsi="Tahoma" w:cs="Tahoma"/>
      <w:b/>
      <w:bCs/>
      <w:sz w:val="26"/>
      <w:szCs w:val="26"/>
    </w:rPr>
  </w:style>
  <w:style w:type="paragraph" w:customStyle="1" w:styleId="Nadpis30">
    <w:name w:val="Nadpis #3"/>
    <w:basedOn w:val="Normln"/>
    <w:link w:val="Nadpis3"/>
    <w:pPr>
      <w:shd w:val="clear" w:color="auto" w:fill="FFFFFF"/>
      <w:spacing w:after="120"/>
      <w:jc w:val="center"/>
      <w:outlineLvl w:val="2"/>
    </w:pPr>
    <w:rPr>
      <w:rFonts w:ascii="Tahoma" w:eastAsia="Tahoma" w:hAnsi="Tahoma" w:cs="Tahoma"/>
      <w:b/>
      <w:bCs/>
      <w:sz w:val="19"/>
      <w:szCs w:val="19"/>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Tahoma" w:eastAsia="Tahoma" w:hAnsi="Tahoma" w:cs="Tahoma"/>
      <w:sz w:val="19"/>
      <w:szCs w:val="19"/>
    </w:rPr>
  </w:style>
  <w:style w:type="paragraph" w:customStyle="1" w:styleId="Nadpis20">
    <w:name w:val="Nadpis #2"/>
    <w:basedOn w:val="Normln"/>
    <w:link w:val="Nadpis2"/>
    <w:pPr>
      <w:shd w:val="clear" w:color="auto" w:fill="FFFFFF"/>
      <w:outlineLvl w:val="1"/>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ngpragu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1112</Words>
  <Characters>6561</Characters>
  <Application>Microsoft Office Word</Application>
  <DocSecurity>0</DocSecurity>
  <Lines>54</Lines>
  <Paragraphs>15</Paragraphs>
  <ScaleCrop>false</ScaleCrop>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kopirka1.PK-20200131131100</dc:title>
  <dc:subject/>
  <dc:creator/>
  <cp:keywords/>
  <cp:lastModifiedBy>Zdenka Šímová</cp:lastModifiedBy>
  <cp:revision>5</cp:revision>
  <dcterms:created xsi:type="dcterms:W3CDTF">2020-01-31T10:39:00Z</dcterms:created>
  <dcterms:modified xsi:type="dcterms:W3CDTF">2020-01-31T10:46:00Z</dcterms:modified>
</cp:coreProperties>
</file>