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69C" w:rsidRDefault="0065669C">
      <w:pPr>
        <w:rPr>
          <w:sz w:val="2"/>
          <w:szCs w:val="24"/>
        </w:rPr>
      </w:pPr>
    </w:p>
    <w:p w:rsidR="0065669C" w:rsidRDefault="008F46E6">
      <w:pPr>
        <w:framePr w:w="9513" w:h="590" w:wrap="auto" w:hAnchor="margin" w:x="373" w:y="359"/>
        <w:spacing w:line="561" w:lineRule="exact"/>
        <w:ind w:left="1281"/>
        <w:rPr>
          <w:b/>
          <w:sz w:val="50"/>
          <w:szCs w:val="24"/>
          <w:u w:val="single"/>
        </w:rPr>
      </w:pPr>
      <w:r>
        <w:rPr>
          <w:b/>
          <w:sz w:val="50"/>
          <w:szCs w:val="24"/>
          <w:u w:val="single"/>
        </w:rPr>
        <w:t xml:space="preserve">KUPNÍ SMLOUVA- 20008450 </w:t>
      </w:r>
    </w:p>
    <w:p w:rsidR="0065669C" w:rsidRDefault="008F46E6">
      <w:pPr>
        <w:framePr w:w="9513" w:h="326" w:wrap="auto" w:hAnchor="margin" w:x="373" w:y="2346"/>
        <w:spacing w:line="259" w:lineRule="exact"/>
        <w:ind w:left="9"/>
        <w:rPr>
          <w:sz w:val="21"/>
          <w:szCs w:val="24"/>
        </w:rPr>
      </w:pPr>
      <w:r>
        <w:rPr>
          <w:sz w:val="21"/>
          <w:szCs w:val="24"/>
        </w:rPr>
        <w:t xml:space="preserve">uzavřená podle§ 2079 a násl. zákona </w:t>
      </w:r>
      <w:r>
        <w:rPr>
          <w:rFonts w:ascii="Times New Roman" w:hAnsi="Times New Roman"/>
          <w:w w:val="200"/>
          <w:sz w:val="6"/>
          <w:szCs w:val="24"/>
        </w:rPr>
        <w:t xml:space="preserve">č. </w:t>
      </w:r>
      <w:r>
        <w:rPr>
          <w:sz w:val="21"/>
          <w:szCs w:val="24"/>
        </w:rPr>
        <w:t xml:space="preserve">89/2012 Sb., občanského zákoníku, v platném znění mezi </w:t>
      </w:r>
    </w:p>
    <w:p w:rsidR="0065669C" w:rsidRDefault="008F46E6">
      <w:pPr>
        <w:framePr w:w="9503" w:h="2759" w:wrap="auto" w:hAnchor="margin" w:x="383" w:y="2965"/>
        <w:spacing w:line="244" w:lineRule="exact"/>
        <w:ind w:left="2774" w:right="4271"/>
        <w:rPr>
          <w:sz w:val="21"/>
          <w:szCs w:val="24"/>
        </w:rPr>
      </w:pPr>
      <w:r>
        <w:rPr>
          <w:rFonts w:ascii="Times New Roman" w:hAnsi="Times New Roman"/>
          <w:w w:val="84"/>
          <w:sz w:val="23"/>
          <w:szCs w:val="24"/>
        </w:rPr>
        <w:t xml:space="preserve">L I </w:t>
      </w:r>
      <w:r>
        <w:rPr>
          <w:b/>
          <w:szCs w:val="24"/>
        </w:rPr>
        <w:t xml:space="preserve">N E </w:t>
      </w:r>
      <w:r>
        <w:rPr>
          <w:rFonts w:ascii="Times New Roman" w:hAnsi="Times New Roman"/>
          <w:w w:val="84"/>
          <w:sz w:val="23"/>
          <w:szCs w:val="24"/>
        </w:rPr>
        <w:t xml:space="preserve">T, </w:t>
      </w:r>
      <w:r>
        <w:rPr>
          <w:b/>
          <w:szCs w:val="24"/>
        </w:rPr>
        <w:t xml:space="preserve">spol. s r.o. </w:t>
      </w:r>
      <w:proofErr w:type="spellStart"/>
      <w:r>
        <w:rPr>
          <w:sz w:val="21"/>
          <w:szCs w:val="24"/>
        </w:rPr>
        <w:t>Želevčice</w:t>
      </w:r>
      <w:proofErr w:type="spellEnd"/>
      <w:r>
        <w:rPr>
          <w:sz w:val="21"/>
          <w:szCs w:val="24"/>
        </w:rPr>
        <w:t xml:space="preserve"> 5, 27 4 01 Slaný 00507814 </w:t>
      </w:r>
    </w:p>
    <w:p w:rsidR="0065669C" w:rsidRDefault="008F46E6">
      <w:pPr>
        <w:framePr w:w="9503" w:h="2759" w:wrap="auto" w:hAnchor="margin" w:x="383" w:y="2965"/>
        <w:spacing w:line="244" w:lineRule="exact"/>
        <w:ind w:left="2779"/>
        <w:rPr>
          <w:sz w:val="21"/>
          <w:szCs w:val="24"/>
        </w:rPr>
      </w:pPr>
      <w:r>
        <w:rPr>
          <w:sz w:val="21"/>
          <w:szCs w:val="24"/>
        </w:rPr>
        <w:t xml:space="preserve">CZ00507814 </w:t>
      </w:r>
    </w:p>
    <w:p w:rsidR="0065669C" w:rsidRDefault="008F46E6">
      <w:pPr>
        <w:framePr w:w="9503" w:h="2759" w:wrap="auto" w:hAnchor="margin" w:x="383" w:y="2965"/>
        <w:tabs>
          <w:tab w:val="left" w:pos="2754"/>
        </w:tabs>
        <w:spacing w:line="259" w:lineRule="exact"/>
        <w:rPr>
          <w:sz w:val="21"/>
          <w:szCs w:val="24"/>
        </w:rPr>
      </w:pPr>
      <w:r>
        <w:rPr>
          <w:sz w:val="21"/>
          <w:szCs w:val="24"/>
        </w:rPr>
        <w:t xml:space="preserve">Zapsán v: </w:t>
      </w:r>
      <w:r>
        <w:rPr>
          <w:sz w:val="21"/>
          <w:szCs w:val="24"/>
        </w:rPr>
        <w:tab/>
        <w:t>obchodním rejstříku u Mě</w:t>
      </w:r>
      <w:r>
        <w:rPr>
          <w:sz w:val="21"/>
          <w:szCs w:val="24"/>
        </w:rPr>
        <w:t xml:space="preserve">stského soudu v Praze, oddílu C., vložce 163 </w:t>
      </w:r>
    </w:p>
    <w:p w:rsidR="0065669C" w:rsidRDefault="008F46E6">
      <w:pPr>
        <w:framePr w:w="9503" w:h="2759" w:wrap="auto" w:hAnchor="margin" w:x="383" w:y="2965"/>
        <w:tabs>
          <w:tab w:val="left" w:pos="2764"/>
        </w:tabs>
        <w:spacing w:line="239" w:lineRule="exact"/>
        <w:rPr>
          <w:sz w:val="21"/>
          <w:szCs w:val="24"/>
        </w:rPr>
      </w:pPr>
      <w:r>
        <w:rPr>
          <w:sz w:val="21"/>
          <w:szCs w:val="24"/>
        </w:rPr>
        <w:t xml:space="preserve">za níž jednají: </w:t>
      </w:r>
      <w:r>
        <w:rPr>
          <w:sz w:val="21"/>
          <w:szCs w:val="24"/>
        </w:rPr>
        <w:tab/>
      </w:r>
      <w:r>
        <w:rPr>
          <w:sz w:val="21"/>
          <w:szCs w:val="24"/>
        </w:rPr>
        <w:t xml:space="preserve"> </w:t>
      </w:r>
    </w:p>
    <w:p w:rsidR="0065669C" w:rsidRDefault="008F46E6">
      <w:pPr>
        <w:framePr w:w="9503" w:h="2759" w:wrap="auto" w:hAnchor="margin" w:x="383" w:y="2965"/>
        <w:tabs>
          <w:tab w:val="left" w:pos="2759"/>
        </w:tabs>
        <w:spacing w:line="235" w:lineRule="exact"/>
        <w:rPr>
          <w:sz w:val="21"/>
          <w:szCs w:val="24"/>
        </w:rPr>
      </w:pPr>
      <w:r>
        <w:rPr>
          <w:sz w:val="21"/>
          <w:szCs w:val="24"/>
        </w:rPr>
        <w:t xml:space="preserve">tel.: </w:t>
      </w:r>
      <w:r>
        <w:rPr>
          <w:sz w:val="21"/>
          <w:szCs w:val="24"/>
        </w:rPr>
        <w:tab/>
      </w:r>
      <w:r>
        <w:rPr>
          <w:sz w:val="21"/>
          <w:szCs w:val="24"/>
        </w:rPr>
        <w:t xml:space="preserve"> </w:t>
      </w:r>
    </w:p>
    <w:p w:rsidR="0065669C" w:rsidRDefault="008F46E6">
      <w:pPr>
        <w:framePr w:w="9503" w:h="2759" w:wrap="auto" w:hAnchor="margin" w:x="383" w:y="2965"/>
        <w:tabs>
          <w:tab w:val="left" w:pos="2754"/>
        </w:tabs>
        <w:spacing w:line="249" w:lineRule="exact"/>
        <w:rPr>
          <w:sz w:val="21"/>
          <w:szCs w:val="24"/>
        </w:rPr>
      </w:pPr>
      <w:r>
        <w:rPr>
          <w:sz w:val="21"/>
          <w:szCs w:val="24"/>
        </w:rPr>
        <w:t xml:space="preserve">fax: </w:t>
      </w:r>
      <w:r>
        <w:rPr>
          <w:sz w:val="21"/>
          <w:szCs w:val="24"/>
        </w:rPr>
        <w:tab/>
      </w:r>
      <w:r>
        <w:rPr>
          <w:sz w:val="21"/>
          <w:szCs w:val="24"/>
        </w:rPr>
        <w:t xml:space="preserve"> </w:t>
      </w:r>
    </w:p>
    <w:p w:rsidR="0065669C" w:rsidRDefault="008F46E6">
      <w:pPr>
        <w:framePr w:w="9503" w:h="2759" w:wrap="auto" w:hAnchor="margin" w:x="383" w:y="2965"/>
        <w:spacing w:before="19" w:line="235" w:lineRule="exact"/>
        <w:ind w:left="2769" w:right="753" w:hanging="2769"/>
        <w:rPr>
          <w:rFonts w:ascii="Times New Roman" w:hAnsi="Times New Roman"/>
          <w:w w:val="115"/>
          <w:sz w:val="23"/>
          <w:szCs w:val="24"/>
        </w:rPr>
      </w:pPr>
      <w:r>
        <w:rPr>
          <w:sz w:val="21"/>
          <w:szCs w:val="24"/>
        </w:rPr>
        <w:t xml:space="preserve">bankovní spojení/číslo účtu: </w:t>
      </w:r>
    </w:p>
    <w:p w:rsidR="0065669C" w:rsidRDefault="008F46E6">
      <w:pPr>
        <w:framePr w:w="9503" w:h="2759" w:wrap="auto" w:hAnchor="margin" w:x="383" w:y="2965"/>
        <w:spacing w:line="259" w:lineRule="exact"/>
        <w:ind w:left="9"/>
        <w:rPr>
          <w:b/>
          <w:szCs w:val="24"/>
        </w:rPr>
      </w:pPr>
      <w:r>
        <w:rPr>
          <w:sz w:val="21"/>
          <w:szCs w:val="24"/>
        </w:rPr>
        <w:t xml:space="preserve">(dále označován krátce též jako </w:t>
      </w:r>
      <w:r>
        <w:rPr>
          <w:b/>
          <w:szCs w:val="24"/>
        </w:rPr>
        <w:t xml:space="preserve">„prodávající") </w:t>
      </w:r>
    </w:p>
    <w:p w:rsidR="0065669C" w:rsidRDefault="008F46E6">
      <w:pPr>
        <w:framePr w:w="2174" w:h="1223" w:wrap="auto" w:hAnchor="margin" w:x="388" w:y="2696"/>
        <w:spacing w:line="244" w:lineRule="exact"/>
        <w:ind w:left="14"/>
        <w:rPr>
          <w:sz w:val="21"/>
          <w:szCs w:val="24"/>
        </w:rPr>
      </w:pPr>
      <w:r>
        <w:rPr>
          <w:sz w:val="21"/>
          <w:szCs w:val="24"/>
        </w:rPr>
        <w:t xml:space="preserve">prodávajícím, jímž je: obchodní </w:t>
      </w:r>
      <w:proofErr w:type="gramStart"/>
      <w:r>
        <w:rPr>
          <w:sz w:val="21"/>
          <w:szCs w:val="24"/>
        </w:rPr>
        <w:t>firma :</w:t>
      </w:r>
      <w:proofErr w:type="gramEnd"/>
      <w:r>
        <w:rPr>
          <w:sz w:val="21"/>
          <w:szCs w:val="24"/>
        </w:rPr>
        <w:t xml:space="preserve"> </w:t>
      </w:r>
    </w:p>
    <w:p w:rsidR="0065669C" w:rsidRDefault="008F46E6">
      <w:pPr>
        <w:framePr w:w="2174" w:h="1223" w:wrap="auto" w:hAnchor="margin" w:x="388" w:y="2696"/>
        <w:spacing w:line="259" w:lineRule="exact"/>
        <w:ind w:left="9"/>
        <w:rPr>
          <w:sz w:val="21"/>
          <w:szCs w:val="24"/>
        </w:rPr>
      </w:pPr>
      <w:r>
        <w:rPr>
          <w:sz w:val="21"/>
          <w:szCs w:val="24"/>
        </w:rPr>
        <w:t xml:space="preserve">se sídlem: </w:t>
      </w:r>
    </w:p>
    <w:p w:rsidR="0065669C" w:rsidRDefault="008F46E6">
      <w:pPr>
        <w:framePr w:w="2174" w:h="1223" w:wrap="auto" w:hAnchor="margin" w:x="388" w:y="2696"/>
        <w:spacing w:line="244" w:lineRule="exact"/>
        <w:ind w:left="14"/>
        <w:rPr>
          <w:sz w:val="21"/>
          <w:szCs w:val="24"/>
        </w:rPr>
      </w:pPr>
      <w:r>
        <w:rPr>
          <w:sz w:val="21"/>
          <w:szCs w:val="24"/>
        </w:rPr>
        <w:t xml:space="preserve">IČ: </w:t>
      </w:r>
    </w:p>
    <w:p w:rsidR="0065669C" w:rsidRDefault="008F46E6">
      <w:pPr>
        <w:framePr w:w="2174" w:h="1223" w:wrap="auto" w:hAnchor="margin" w:x="388" w:y="2696"/>
        <w:spacing w:line="244" w:lineRule="exact"/>
        <w:ind w:left="14"/>
        <w:rPr>
          <w:sz w:val="21"/>
          <w:szCs w:val="24"/>
        </w:rPr>
      </w:pPr>
      <w:r>
        <w:rPr>
          <w:sz w:val="21"/>
          <w:szCs w:val="24"/>
        </w:rPr>
        <w:t xml:space="preserve">DIČ: </w:t>
      </w:r>
    </w:p>
    <w:p w:rsidR="0065669C" w:rsidRDefault="008F46E6">
      <w:pPr>
        <w:framePr w:w="1852" w:h="1607" w:wrap="auto" w:hAnchor="margin" w:x="373" w:y="5754"/>
        <w:spacing w:line="249" w:lineRule="exact"/>
        <w:ind w:left="14"/>
        <w:rPr>
          <w:rFonts w:ascii="Times New Roman" w:hAnsi="Times New Roman"/>
          <w:b/>
          <w:sz w:val="23"/>
          <w:szCs w:val="24"/>
        </w:rPr>
      </w:pPr>
      <w:r>
        <w:rPr>
          <w:rFonts w:ascii="Times New Roman" w:hAnsi="Times New Roman"/>
          <w:b/>
          <w:sz w:val="23"/>
          <w:szCs w:val="24"/>
        </w:rPr>
        <w:t xml:space="preserve">a </w:t>
      </w:r>
    </w:p>
    <w:p w:rsidR="0065669C" w:rsidRDefault="008F46E6">
      <w:pPr>
        <w:framePr w:w="1852" w:h="1607" w:wrap="auto" w:hAnchor="margin" w:x="373" w:y="5754"/>
        <w:spacing w:before="124" w:line="244" w:lineRule="exact"/>
        <w:ind w:left="14" w:right="14"/>
        <w:rPr>
          <w:sz w:val="21"/>
          <w:szCs w:val="24"/>
        </w:rPr>
      </w:pPr>
      <w:r>
        <w:rPr>
          <w:sz w:val="21"/>
          <w:szCs w:val="24"/>
        </w:rPr>
        <w:t xml:space="preserve">kupujícím, jímž je: obchodní firma: </w:t>
      </w:r>
    </w:p>
    <w:p w:rsidR="0065669C" w:rsidRDefault="008F46E6">
      <w:pPr>
        <w:framePr w:w="1852" w:h="1607" w:wrap="auto" w:hAnchor="margin" w:x="373" w:y="5754"/>
        <w:spacing w:line="259" w:lineRule="exact"/>
        <w:ind w:left="9"/>
        <w:rPr>
          <w:sz w:val="21"/>
          <w:szCs w:val="24"/>
        </w:rPr>
      </w:pPr>
      <w:r>
        <w:rPr>
          <w:sz w:val="21"/>
          <w:szCs w:val="24"/>
        </w:rPr>
        <w:t xml:space="preserve">se sídlem: </w:t>
      </w:r>
    </w:p>
    <w:p w:rsidR="0065669C" w:rsidRDefault="008F46E6">
      <w:pPr>
        <w:framePr w:w="1852" w:h="1607" w:wrap="auto" w:hAnchor="margin" w:x="373" w:y="5754"/>
        <w:spacing w:line="244" w:lineRule="exact"/>
        <w:ind w:left="14"/>
        <w:rPr>
          <w:sz w:val="21"/>
          <w:szCs w:val="24"/>
        </w:rPr>
      </w:pPr>
      <w:r>
        <w:rPr>
          <w:sz w:val="21"/>
          <w:szCs w:val="24"/>
        </w:rPr>
        <w:t xml:space="preserve">IČ: </w:t>
      </w:r>
    </w:p>
    <w:p w:rsidR="0065669C" w:rsidRDefault="008F46E6">
      <w:pPr>
        <w:framePr w:w="1852" w:h="1607" w:wrap="auto" w:hAnchor="margin" w:x="373" w:y="5754"/>
        <w:spacing w:line="244" w:lineRule="exact"/>
        <w:ind w:left="14"/>
        <w:rPr>
          <w:sz w:val="21"/>
          <w:szCs w:val="24"/>
        </w:rPr>
      </w:pPr>
      <w:r>
        <w:rPr>
          <w:sz w:val="21"/>
          <w:szCs w:val="24"/>
        </w:rPr>
        <w:t xml:space="preserve">DIČ: </w:t>
      </w:r>
    </w:p>
    <w:p w:rsidR="0065669C" w:rsidRDefault="008F46E6">
      <w:pPr>
        <w:framePr w:w="4991" w:h="983" w:wrap="auto" w:hAnchor="margin" w:x="3133" w:y="6407"/>
        <w:spacing w:line="244" w:lineRule="exact"/>
        <w:ind w:left="23"/>
        <w:rPr>
          <w:b/>
          <w:szCs w:val="24"/>
        </w:rPr>
      </w:pPr>
      <w:r>
        <w:rPr>
          <w:b/>
          <w:szCs w:val="24"/>
        </w:rPr>
        <w:t xml:space="preserve">Městské středisko </w:t>
      </w:r>
      <w:r>
        <w:rPr>
          <w:sz w:val="21"/>
          <w:szCs w:val="24"/>
        </w:rPr>
        <w:t xml:space="preserve">sociálních služeb </w:t>
      </w:r>
      <w:r>
        <w:rPr>
          <w:b/>
          <w:szCs w:val="24"/>
        </w:rPr>
        <w:t xml:space="preserve">Oáza </w:t>
      </w:r>
    </w:p>
    <w:p w:rsidR="0065669C" w:rsidRDefault="008F46E6">
      <w:pPr>
        <w:framePr w:w="4991" w:h="983" w:wrap="auto" w:hAnchor="margin" w:x="3133" w:y="6407"/>
        <w:spacing w:line="259" w:lineRule="exact"/>
        <w:ind w:left="9"/>
        <w:rPr>
          <w:sz w:val="21"/>
          <w:szCs w:val="24"/>
        </w:rPr>
      </w:pPr>
      <w:r>
        <w:rPr>
          <w:sz w:val="21"/>
          <w:szCs w:val="24"/>
        </w:rPr>
        <w:t xml:space="preserve">T.G. Masaryka 1424, 549 01 Nové Město nad Metují 62730631 </w:t>
      </w:r>
    </w:p>
    <w:p w:rsidR="0065669C" w:rsidRDefault="008F46E6">
      <w:pPr>
        <w:framePr w:w="4991" w:h="983" w:wrap="auto" w:hAnchor="margin" w:x="3133" w:y="6407"/>
        <w:spacing w:line="259" w:lineRule="exact"/>
        <w:ind w:left="9"/>
        <w:rPr>
          <w:sz w:val="21"/>
          <w:szCs w:val="24"/>
        </w:rPr>
      </w:pPr>
      <w:r>
        <w:rPr>
          <w:sz w:val="21"/>
          <w:szCs w:val="24"/>
        </w:rPr>
        <w:t xml:space="preserve">CZ62730631 </w:t>
      </w:r>
    </w:p>
    <w:p w:rsidR="0065669C" w:rsidRDefault="008F46E6">
      <w:pPr>
        <w:framePr w:w="9513" w:h="1027" w:wrap="auto" w:hAnchor="margin" w:x="373" w:y="7391"/>
        <w:tabs>
          <w:tab w:val="left" w:pos="2759"/>
        </w:tabs>
        <w:spacing w:line="225" w:lineRule="exact"/>
        <w:rPr>
          <w:sz w:val="21"/>
          <w:szCs w:val="24"/>
        </w:rPr>
      </w:pPr>
      <w:r>
        <w:rPr>
          <w:sz w:val="21"/>
          <w:szCs w:val="24"/>
        </w:rPr>
        <w:t xml:space="preserve">za níž jedná/jednají: </w:t>
      </w:r>
      <w:r>
        <w:rPr>
          <w:sz w:val="21"/>
          <w:szCs w:val="24"/>
        </w:rPr>
        <w:tab/>
      </w:r>
      <w:r>
        <w:rPr>
          <w:sz w:val="21"/>
          <w:szCs w:val="24"/>
        </w:rPr>
        <w:t xml:space="preserve"> </w:t>
      </w:r>
    </w:p>
    <w:p w:rsidR="0065669C" w:rsidRDefault="008F46E6">
      <w:pPr>
        <w:framePr w:w="9513" w:h="1027" w:wrap="auto" w:hAnchor="margin" w:x="373" w:y="7391"/>
        <w:tabs>
          <w:tab w:val="left" w:pos="2755"/>
        </w:tabs>
        <w:spacing w:line="249" w:lineRule="exact"/>
        <w:rPr>
          <w:sz w:val="21"/>
          <w:szCs w:val="24"/>
        </w:rPr>
      </w:pPr>
      <w:r>
        <w:rPr>
          <w:sz w:val="21"/>
          <w:szCs w:val="24"/>
        </w:rPr>
        <w:t xml:space="preserve">tel.: </w:t>
      </w:r>
      <w:r>
        <w:rPr>
          <w:sz w:val="21"/>
          <w:szCs w:val="24"/>
        </w:rPr>
        <w:tab/>
      </w:r>
      <w:r>
        <w:rPr>
          <w:sz w:val="21"/>
          <w:szCs w:val="24"/>
        </w:rPr>
        <w:t xml:space="preserve"> </w:t>
      </w:r>
    </w:p>
    <w:p w:rsidR="008F46E6" w:rsidRDefault="008F46E6">
      <w:pPr>
        <w:framePr w:w="9513" w:h="1027" w:wrap="auto" w:hAnchor="margin" w:x="373" w:y="7391"/>
        <w:spacing w:before="19" w:line="235" w:lineRule="exact"/>
        <w:ind w:left="9" w:right="2855"/>
        <w:rPr>
          <w:b/>
          <w:sz w:val="19"/>
          <w:szCs w:val="24"/>
        </w:rPr>
      </w:pPr>
      <w:r>
        <w:rPr>
          <w:sz w:val="21"/>
          <w:szCs w:val="24"/>
        </w:rPr>
        <w:t xml:space="preserve">bankovní spojení/ číslo účtu: </w:t>
      </w:r>
    </w:p>
    <w:p w:rsidR="0065669C" w:rsidRDefault="008F46E6">
      <w:pPr>
        <w:framePr w:w="9513" w:h="1027" w:wrap="auto" w:hAnchor="margin" w:x="373" w:y="7391"/>
        <w:spacing w:before="19" w:line="235" w:lineRule="exact"/>
        <w:ind w:left="9" w:right="2855"/>
        <w:rPr>
          <w:b/>
          <w:szCs w:val="24"/>
        </w:rPr>
      </w:pPr>
      <w:r>
        <w:rPr>
          <w:sz w:val="21"/>
          <w:szCs w:val="24"/>
        </w:rPr>
        <w:t>(dále označován krátce té</w:t>
      </w:r>
      <w:r>
        <w:rPr>
          <w:sz w:val="21"/>
          <w:szCs w:val="24"/>
        </w:rPr>
        <w:t xml:space="preserve">ž jako </w:t>
      </w:r>
      <w:r>
        <w:rPr>
          <w:b/>
          <w:szCs w:val="24"/>
        </w:rPr>
        <w:t xml:space="preserve">„kupující"), </w:t>
      </w:r>
    </w:p>
    <w:p w:rsidR="0065669C" w:rsidRDefault="008F46E6">
      <w:pPr>
        <w:framePr w:w="9523" w:h="335" w:wrap="auto" w:hAnchor="margin" w:x="364" w:y="8831"/>
        <w:spacing w:line="259" w:lineRule="exact"/>
        <w:ind w:left="9"/>
        <w:rPr>
          <w:sz w:val="21"/>
          <w:szCs w:val="24"/>
        </w:rPr>
      </w:pPr>
      <w:r>
        <w:rPr>
          <w:sz w:val="21"/>
          <w:szCs w:val="24"/>
        </w:rPr>
        <w:t xml:space="preserve">kupující s prodávajícím společně dále také označováni krátce jako „smluvní strany"; </w:t>
      </w:r>
    </w:p>
    <w:p w:rsidR="0065669C" w:rsidRDefault="008F46E6">
      <w:pPr>
        <w:framePr w:w="9542" w:h="2011" w:wrap="auto" w:hAnchor="margin" w:x="364" w:y="9469"/>
        <w:spacing w:line="249" w:lineRule="exact"/>
        <w:ind w:left="4310"/>
        <w:rPr>
          <w:sz w:val="21"/>
          <w:szCs w:val="24"/>
        </w:rPr>
      </w:pPr>
      <w:r>
        <w:rPr>
          <w:b/>
          <w:szCs w:val="24"/>
        </w:rPr>
        <w:t xml:space="preserve">Článek </w:t>
      </w:r>
      <w:r>
        <w:rPr>
          <w:sz w:val="21"/>
          <w:szCs w:val="24"/>
        </w:rPr>
        <w:t xml:space="preserve">I. </w:t>
      </w:r>
    </w:p>
    <w:p w:rsidR="0065669C" w:rsidRDefault="008F46E6">
      <w:pPr>
        <w:framePr w:w="9542" w:h="2011" w:wrap="auto" w:hAnchor="margin" w:x="364" w:y="9469"/>
        <w:spacing w:line="244" w:lineRule="exact"/>
        <w:ind w:left="3043"/>
        <w:rPr>
          <w:b/>
          <w:szCs w:val="24"/>
        </w:rPr>
      </w:pPr>
      <w:r>
        <w:rPr>
          <w:b/>
          <w:szCs w:val="24"/>
        </w:rPr>
        <w:t xml:space="preserve">Úvodní ustanovení a účel smlouvy </w:t>
      </w:r>
    </w:p>
    <w:p w:rsidR="0065669C" w:rsidRDefault="008F46E6">
      <w:pPr>
        <w:framePr w:w="9542" w:h="2011" w:wrap="auto" w:hAnchor="margin" w:x="364" w:y="9469"/>
        <w:numPr>
          <w:ilvl w:val="0"/>
          <w:numId w:val="1"/>
        </w:numPr>
        <w:spacing w:before="139" w:line="225" w:lineRule="exact"/>
        <w:ind w:left="355" w:right="14" w:hanging="335"/>
        <w:rPr>
          <w:sz w:val="21"/>
          <w:szCs w:val="24"/>
        </w:rPr>
      </w:pPr>
      <w:r>
        <w:rPr>
          <w:sz w:val="21"/>
          <w:szCs w:val="24"/>
        </w:rPr>
        <w:t>Úč</w:t>
      </w:r>
      <w:r>
        <w:rPr>
          <w:sz w:val="21"/>
          <w:szCs w:val="24"/>
        </w:rPr>
        <w:t xml:space="preserve">elem této smlouvy je upravit právní vztahy mezi prodávajícím a kupujícím v souvislosti s prodejem níže uvedeného zboží. </w:t>
      </w:r>
    </w:p>
    <w:p w:rsidR="0065669C" w:rsidRDefault="008F46E6">
      <w:pPr>
        <w:framePr w:w="9542" w:h="2011" w:wrap="auto" w:hAnchor="margin" w:x="364" w:y="9469"/>
        <w:numPr>
          <w:ilvl w:val="0"/>
          <w:numId w:val="1"/>
        </w:numPr>
        <w:spacing w:before="139" w:line="244" w:lineRule="exact"/>
        <w:ind w:left="350" w:right="9" w:hanging="335"/>
        <w:jc w:val="both"/>
        <w:rPr>
          <w:sz w:val="21"/>
          <w:szCs w:val="24"/>
        </w:rPr>
      </w:pPr>
      <w:r>
        <w:rPr>
          <w:sz w:val="21"/>
          <w:szCs w:val="24"/>
        </w:rPr>
        <w:t xml:space="preserve">Smluvní strany prohlašují, že převážná část plnění prodávajícího dle této smlouvy nespočívá ve výkonu činnosti, proto jsou </w:t>
      </w:r>
      <w:proofErr w:type="spellStart"/>
      <w:r>
        <w:rPr>
          <w:sz w:val="21"/>
          <w:szCs w:val="24"/>
        </w:rPr>
        <w:t>právni</w:t>
      </w:r>
      <w:proofErr w:type="spellEnd"/>
      <w:r>
        <w:rPr>
          <w:sz w:val="21"/>
          <w:szCs w:val="24"/>
        </w:rPr>
        <w:t xml:space="preserve"> vztah</w:t>
      </w:r>
      <w:r>
        <w:rPr>
          <w:sz w:val="21"/>
          <w:szCs w:val="24"/>
        </w:rPr>
        <w:t xml:space="preserve">y mezi smluvními stranami založené touto smlouvou závazkovým vztahem z kupní smlouvy dle </w:t>
      </w:r>
      <w:proofErr w:type="spellStart"/>
      <w:r>
        <w:rPr>
          <w:sz w:val="21"/>
          <w:szCs w:val="24"/>
        </w:rPr>
        <w:t>ust</w:t>
      </w:r>
      <w:proofErr w:type="spellEnd"/>
      <w:r>
        <w:rPr>
          <w:sz w:val="21"/>
          <w:szCs w:val="24"/>
        </w:rPr>
        <w:t xml:space="preserve">. </w:t>
      </w:r>
      <w:r>
        <w:rPr>
          <w:szCs w:val="24"/>
        </w:rPr>
        <w:t xml:space="preserve">§ </w:t>
      </w:r>
      <w:r>
        <w:rPr>
          <w:sz w:val="21"/>
          <w:szCs w:val="24"/>
        </w:rPr>
        <w:t xml:space="preserve">2086 odst. 2 občanského zákoníku. </w:t>
      </w:r>
    </w:p>
    <w:p w:rsidR="0065669C" w:rsidRDefault="008F46E6">
      <w:pPr>
        <w:framePr w:w="9537" w:h="1180" w:wrap="auto" w:hAnchor="margin" w:x="359" w:y="11927"/>
        <w:spacing w:line="249" w:lineRule="exact"/>
        <w:ind w:left="4310"/>
        <w:rPr>
          <w:sz w:val="21"/>
          <w:szCs w:val="24"/>
        </w:rPr>
      </w:pPr>
      <w:r>
        <w:rPr>
          <w:b/>
          <w:szCs w:val="24"/>
        </w:rPr>
        <w:t xml:space="preserve">Článek </w:t>
      </w:r>
      <w:proofErr w:type="spellStart"/>
      <w:r>
        <w:rPr>
          <w:sz w:val="21"/>
          <w:szCs w:val="24"/>
        </w:rPr>
        <w:t>li</w:t>
      </w:r>
      <w:proofErr w:type="spellEnd"/>
      <w:r>
        <w:rPr>
          <w:sz w:val="21"/>
          <w:szCs w:val="24"/>
        </w:rPr>
        <w:t xml:space="preserve">. </w:t>
      </w:r>
    </w:p>
    <w:p w:rsidR="0065669C" w:rsidRDefault="008F46E6">
      <w:pPr>
        <w:framePr w:w="9537" w:h="1180" w:wrap="auto" w:hAnchor="margin" w:x="359" w:y="11927"/>
        <w:spacing w:line="244" w:lineRule="exact"/>
        <w:ind w:left="3878"/>
        <w:rPr>
          <w:b/>
          <w:szCs w:val="24"/>
        </w:rPr>
      </w:pPr>
      <w:r>
        <w:rPr>
          <w:b/>
          <w:szCs w:val="24"/>
        </w:rPr>
        <w:t xml:space="preserve">Předmět smlouvy </w:t>
      </w:r>
    </w:p>
    <w:p w:rsidR="0065669C" w:rsidRDefault="008F46E6">
      <w:pPr>
        <w:framePr w:w="9537" w:h="1180" w:wrap="auto" w:hAnchor="margin" w:x="359" w:y="11927"/>
        <w:numPr>
          <w:ilvl w:val="0"/>
          <w:numId w:val="1"/>
        </w:numPr>
        <w:spacing w:before="139" w:line="244" w:lineRule="exact"/>
        <w:ind w:left="350" w:right="9" w:hanging="335"/>
        <w:jc w:val="both"/>
        <w:rPr>
          <w:sz w:val="21"/>
          <w:szCs w:val="24"/>
        </w:rPr>
      </w:pPr>
      <w:r>
        <w:rPr>
          <w:sz w:val="21"/>
          <w:szCs w:val="24"/>
        </w:rPr>
        <w:t xml:space="preserve">Předmětem této smlouvy je dodání 4 ks lůžek </w:t>
      </w:r>
      <w:proofErr w:type="spellStart"/>
      <w:r>
        <w:rPr>
          <w:sz w:val="21"/>
          <w:szCs w:val="24"/>
        </w:rPr>
        <w:t>Sentida</w:t>
      </w:r>
      <w:proofErr w:type="spellEnd"/>
      <w:r>
        <w:rPr>
          <w:sz w:val="21"/>
          <w:szCs w:val="24"/>
        </w:rPr>
        <w:t xml:space="preserve"> 01, 2 ks lůžek </w:t>
      </w:r>
      <w:proofErr w:type="spellStart"/>
      <w:r>
        <w:rPr>
          <w:sz w:val="21"/>
          <w:szCs w:val="24"/>
        </w:rPr>
        <w:t>Sentida</w:t>
      </w:r>
      <w:proofErr w:type="spellEnd"/>
      <w:r>
        <w:rPr>
          <w:sz w:val="21"/>
          <w:szCs w:val="24"/>
        </w:rPr>
        <w:t xml:space="preserve"> 03, 2 ks matrací </w:t>
      </w:r>
      <w:proofErr w:type="spellStart"/>
      <w:r>
        <w:rPr>
          <w:sz w:val="21"/>
          <w:szCs w:val="24"/>
        </w:rPr>
        <w:t>Clin</w:t>
      </w:r>
      <w:r>
        <w:rPr>
          <w:sz w:val="21"/>
          <w:szCs w:val="24"/>
        </w:rPr>
        <w:t>iCare</w:t>
      </w:r>
      <w:proofErr w:type="spellEnd"/>
      <w:r>
        <w:rPr>
          <w:sz w:val="21"/>
          <w:szCs w:val="24"/>
        </w:rPr>
        <w:t xml:space="preserve"> 20+, 5 ks dřevěných stolků, příslušenství k lůžkům (dále též „dodání zboží" a „zboží"). </w:t>
      </w:r>
    </w:p>
    <w:p w:rsidR="0065669C" w:rsidRDefault="0065669C">
      <w:pPr>
        <w:rPr>
          <w:sz w:val="21"/>
          <w:szCs w:val="24"/>
        </w:rPr>
        <w:sectPr w:rsidR="0065669C">
          <w:pgSz w:w="11900" w:h="16840"/>
          <w:pgMar w:top="1382" w:right="1071" w:bottom="360" w:left="921" w:header="708" w:footer="708" w:gutter="0"/>
          <w:cols w:space="708"/>
        </w:sectPr>
      </w:pPr>
      <w:bookmarkStart w:id="0" w:name="_GoBack"/>
      <w:bookmarkEnd w:id="0"/>
    </w:p>
    <w:p w:rsidR="0065669C" w:rsidRDefault="0065669C">
      <w:pPr>
        <w:rPr>
          <w:sz w:val="2"/>
          <w:szCs w:val="24"/>
        </w:rPr>
      </w:pPr>
    </w:p>
    <w:p w:rsidR="0065669C" w:rsidRDefault="008F46E6">
      <w:pPr>
        <w:framePr w:w="9542" w:h="3710" w:wrap="auto" w:hAnchor="margin" w:x="387" w:y="359"/>
        <w:spacing w:before="33" w:line="230" w:lineRule="exact"/>
        <w:ind w:left="417" w:right="4"/>
        <w:rPr>
          <w:szCs w:val="24"/>
        </w:rPr>
      </w:pPr>
      <w:r>
        <w:rPr>
          <w:szCs w:val="24"/>
        </w:rPr>
        <w:t xml:space="preserve">Přesná specifikace zboží, </w:t>
      </w:r>
      <w:proofErr w:type="gramStart"/>
      <w:r>
        <w:rPr>
          <w:szCs w:val="24"/>
        </w:rPr>
        <w:t>t.j.</w:t>
      </w:r>
      <w:proofErr w:type="gramEnd"/>
      <w:r>
        <w:rPr>
          <w:szCs w:val="24"/>
        </w:rPr>
        <w:t xml:space="preserve"> počet kusů, provedení a barevné řešeni, atd. je uvedena v příloze č. 1 této smlouvy, která je její nedílnou souč</w:t>
      </w:r>
      <w:r>
        <w:rPr>
          <w:szCs w:val="24"/>
        </w:rPr>
        <w:t xml:space="preserve">ástí. </w:t>
      </w:r>
    </w:p>
    <w:p w:rsidR="0065669C" w:rsidRDefault="008F46E6">
      <w:pPr>
        <w:framePr w:w="9542" w:h="3710" w:wrap="auto" w:hAnchor="margin" w:x="387" w:y="359"/>
        <w:numPr>
          <w:ilvl w:val="0"/>
          <w:numId w:val="2"/>
        </w:numPr>
        <w:spacing w:line="345" w:lineRule="exact"/>
        <w:ind w:left="388" w:hanging="355"/>
        <w:rPr>
          <w:szCs w:val="24"/>
        </w:rPr>
      </w:pPr>
      <w:r>
        <w:rPr>
          <w:szCs w:val="24"/>
        </w:rPr>
        <w:t xml:space="preserve">Prodávající se zavazuje: </w:t>
      </w:r>
    </w:p>
    <w:p w:rsidR="0065669C" w:rsidRDefault="008F46E6">
      <w:pPr>
        <w:framePr w:w="9542" w:h="3710" w:wrap="auto" w:hAnchor="margin" w:x="387" w:y="359"/>
        <w:numPr>
          <w:ilvl w:val="0"/>
          <w:numId w:val="3"/>
        </w:numPr>
        <w:spacing w:line="259" w:lineRule="exact"/>
        <w:ind w:left="743" w:hanging="340"/>
        <w:rPr>
          <w:szCs w:val="24"/>
        </w:rPr>
      </w:pPr>
      <w:r>
        <w:rPr>
          <w:szCs w:val="24"/>
        </w:rPr>
        <w:t xml:space="preserve">dodat kupujícímu zboží, a zároveň </w:t>
      </w:r>
    </w:p>
    <w:p w:rsidR="0065669C" w:rsidRDefault="008F46E6">
      <w:pPr>
        <w:framePr w:w="9542" w:h="3710" w:wrap="auto" w:hAnchor="margin" w:x="387" w:y="359"/>
        <w:numPr>
          <w:ilvl w:val="0"/>
          <w:numId w:val="3"/>
        </w:numPr>
        <w:spacing w:line="259" w:lineRule="exact"/>
        <w:ind w:left="743" w:hanging="340"/>
        <w:rPr>
          <w:szCs w:val="24"/>
        </w:rPr>
      </w:pPr>
      <w:r>
        <w:rPr>
          <w:szCs w:val="24"/>
        </w:rPr>
        <w:t xml:space="preserve">provést dopravu zboží do místa plnění, a zároveň </w:t>
      </w:r>
    </w:p>
    <w:p w:rsidR="0065669C" w:rsidRDefault="008F46E6">
      <w:pPr>
        <w:framePr w:w="9542" w:h="3710" w:wrap="auto" w:hAnchor="margin" w:x="387" w:y="359"/>
        <w:numPr>
          <w:ilvl w:val="0"/>
          <w:numId w:val="3"/>
        </w:numPr>
        <w:spacing w:line="259" w:lineRule="exact"/>
        <w:ind w:left="743" w:hanging="340"/>
        <w:rPr>
          <w:szCs w:val="24"/>
        </w:rPr>
      </w:pPr>
      <w:r>
        <w:rPr>
          <w:szCs w:val="24"/>
        </w:rPr>
        <w:t xml:space="preserve">předat zboží kupujícímu, a zároveň </w:t>
      </w:r>
    </w:p>
    <w:p w:rsidR="0065669C" w:rsidRDefault="008F46E6">
      <w:pPr>
        <w:framePr w:w="9542" w:h="3710" w:wrap="auto" w:hAnchor="margin" w:x="387" w:y="359"/>
        <w:numPr>
          <w:ilvl w:val="0"/>
          <w:numId w:val="3"/>
        </w:numPr>
        <w:spacing w:line="259" w:lineRule="exact"/>
        <w:ind w:left="743" w:hanging="340"/>
        <w:rPr>
          <w:szCs w:val="24"/>
        </w:rPr>
      </w:pPr>
      <w:r>
        <w:rPr>
          <w:szCs w:val="24"/>
        </w:rPr>
        <w:t xml:space="preserve">umožnit kupujícímu nabýt vlastnické právo ke zboží. </w:t>
      </w:r>
    </w:p>
    <w:p w:rsidR="0065669C" w:rsidRDefault="008F46E6">
      <w:pPr>
        <w:framePr w:w="9542" w:h="3710" w:wrap="auto" w:hAnchor="margin" w:x="387" w:y="359"/>
        <w:numPr>
          <w:ilvl w:val="0"/>
          <w:numId w:val="4"/>
        </w:numPr>
        <w:spacing w:before="163" w:line="215" w:lineRule="exact"/>
        <w:ind w:left="369" w:right="38" w:hanging="350"/>
        <w:rPr>
          <w:szCs w:val="24"/>
        </w:rPr>
      </w:pPr>
      <w:r>
        <w:rPr>
          <w:szCs w:val="24"/>
        </w:rPr>
        <w:t xml:space="preserve">Kupující se zavazuje toto zboží řádně a včas převzít a zaplatit za něj kupní cenu dle článku </w:t>
      </w:r>
      <w:proofErr w:type="spellStart"/>
      <w:r>
        <w:rPr>
          <w:szCs w:val="24"/>
        </w:rPr>
        <w:t>Ill</w:t>
      </w:r>
      <w:proofErr w:type="spellEnd"/>
      <w:r>
        <w:rPr>
          <w:szCs w:val="24"/>
        </w:rPr>
        <w:t xml:space="preserve">. této smlouvy. </w:t>
      </w:r>
    </w:p>
    <w:p w:rsidR="0065669C" w:rsidRDefault="008F46E6">
      <w:pPr>
        <w:framePr w:w="9542" w:h="3710" w:wrap="auto" w:hAnchor="margin" w:x="387" w:y="359"/>
        <w:spacing w:line="643" w:lineRule="exact"/>
        <w:ind w:left="4281"/>
        <w:rPr>
          <w:szCs w:val="24"/>
        </w:rPr>
      </w:pPr>
      <w:r>
        <w:rPr>
          <w:b/>
          <w:szCs w:val="24"/>
        </w:rPr>
        <w:t xml:space="preserve">Článek </w:t>
      </w:r>
      <w:proofErr w:type="spellStart"/>
      <w:r>
        <w:rPr>
          <w:szCs w:val="24"/>
        </w:rPr>
        <w:t>Ill</w:t>
      </w:r>
      <w:proofErr w:type="spellEnd"/>
      <w:r>
        <w:rPr>
          <w:szCs w:val="24"/>
        </w:rPr>
        <w:t xml:space="preserve">. </w:t>
      </w:r>
    </w:p>
    <w:p w:rsidR="0065669C" w:rsidRDefault="008F46E6">
      <w:pPr>
        <w:framePr w:w="9542" w:h="3710" w:wrap="auto" w:hAnchor="margin" w:x="387" w:y="359"/>
        <w:spacing w:line="244" w:lineRule="exact"/>
        <w:ind w:left="4233"/>
        <w:rPr>
          <w:b/>
          <w:szCs w:val="24"/>
        </w:rPr>
      </w:pPr>
      <w:r>
        <w:rPr>
          <w:b/>
          <w:szCs w:val="24"/>
        </w:rPr>
        <w:t xml:space="preserve">Kupní cena </w:t>
      </w:r>
    </w:p>
    <w:p w:rsidR="0065669C" w:rsidRDefault="008F46E6">
      <w:pPr>
        <w:framePr w:w="9542" w:h="3710" w:wrap="auto" w:hAnchor="margin" w:x="387" w:y="359"/>
        <w:spacing w:line="331" w:lineRule="exact"/>
        <w:ind w:left="52"/>
        <w:rPr>
          <w:szCs w:val="24"/>
        </w:rPr>
      </w:pPr>
      <w:r>
        <w:rPr>
          <w:szCs w:val="24"/>
        </w:rPr>
        <w:t xml:space="preserve">1) Kupní cena dodávky zboží činí: </w:t>
      </w:r>
    </w:p>
    <w:tbl>
      <w:tblPr>
        <w:tblW w:w="0" w:type="auto"/>
        <w:tblInd w:w="5" w:type="dxa"/>
        <w:tblLayout w:type="fixed"/>
        <w:tblCellMar>
          <w:left w:w="0" w:type="dxa"/>
          <w:right w:w="0" w:type="dxa"/>
        </w:tblCellMar>
        <w:tblLook w:val="04A0" w:firstRow="1" w:lastRow="0" w:firstColumn="1" w:lastColumn="0" w:noHBand="0" w:noVBand="1"/>
      </w:tblPr>
      <w:tblGrid>
        <w:gridCol w:w="4108"/>
        <w:gridCol w:w="5083"/>
      </w:tblGrid>
      <w:tr w:rsidR="0065669C">
        <w:trPr>
          <w:trHeight w:hRule="exact" w:val="393"/>
        </w:trPr>
        <w:tc>
          <w:tcPr>
            <w:tcW w:w="4108" w:type="dxa"/>
            <w:tcBorders>
              <w:top w:val="single" w:sz="4" w:space="0" w:color="auto"/>
              <w:left w:val="single" w:sz="4" w:space="0" w:color="auto"/>
              <w:bottom w:val="single" w:sz="4" w:space="0" w:color="auto"/>
              <w:right w:val="single" w:sz="4" w:space="0" w:color="auto"/>
            </w:tcBorders>
            <w:vAlign w:val="center"/>
          </w:tcPr>
          <w:p w:rsidR="0065669C" w:rsidRDefault="008F46E6">
            <w:pPr>
              <w:framePr w:w="9191" w:h="1185" w:wrap="auto" w:hAnchor="margin" w:x="402" w:y="4175"/>
              <w:ind w:left="95"/>
              <w:rPr>
                <w:szCs w:val="24"/>
              </w:rPr>
            </w:pPr>
            <w:r>
              <w:rPr>
                <w:szCs w:val="24"/>
              </w:rPr>
              <w:t xml:space="preserve">Cena bez DPH: </w:t>
            </w:r>
          </w:p>
        </w:tc>
        <w:tc>
          <w:tcPr>
            <w:tcW w:w="5083" w:type="dxa"/>
            <w:tcBorders>
              <w:top w:val="single" w:sz="4" w:space="0" w:color="auto"/>
              <w:left w:val="single" w:sz="4" w:space="0" w:color="auto"/>
              <w:bottom w:val="single" w:sz="4" w:space="0" w:color="auto"/>
              <w:right w:val="single" w:sz="4" w:space="0" w:color="auto"/>
            </w:tcBorders>
            <w:vAlign w:val="center"/>
          </w:tcPr>
          <w:p w:rsidR="0065669C" w:rsidRDefault="008F46E6">
            <w:pPr>
              <w:framePr w:w="9191" w:h="1185" w:wrap="auto" w:hAnchor="margin" w:x="402" w:y="4175"/>
              <w:ind w:right="47"/>
              <w:jc w:val="right"/>
              <w:rPr>
                <w:szCs w:val="24"/>
              </w:rPr>
            </w:pPr>
            <w:r>
              <w:rPr>
                <w:szCs w:val="24"/>
              </w:rPr>
              <w:t xml:space="preserve">244 </w:t>
            </w:r>
            <w:r>
              <w:rPr>
                <w:szCs w:val="24"/>
              </w:rPr>
              <w:t xml:space="preserve">423,40 Kč </w:t>
            </w:r>
          </w:p>
        </w:tc>
      </w:tr>
      <w:tr w:rsidR="0065669C">
        <w:trPr>
          <w:trHeight w:hRule="exact" w:val="398"/>
        </w:trPr>
        <w:tc>
          <w:tcPr>
            <w:tcW w:w="4108" w:type="dxa"/>
            <w:tcBorders>
              <w:top w:val="single" w:sz="4" w:space="0" w:color="auto"/>
              <w:left w:val="single" w:sz="4" w:space="0" w:color="auto"/>
              <w:bottom w:val="single" w:sz="4" w:space="0" w:color="auto"/>
              <w:right w:val="single" w:sz="4" w:space="0" w:color="auto"/>
            </w:tcBorders>
            <w:vAlign w:val="center"/>
          </w:tcPr>
          <w:p w:rsidR="0065669C" w:rsidRDefault="008F46E6">
            <w:pPr>
              <w:framePr w:w="9191" w:h="1185" w:wrap="auto" w:hAnchor="margin" w:x="402" w:y="4175"/>
              <w:ind w:left="95"/>
              <w:rPr>
                <w:szCs w:val="24"/>
              </w:rPr>
            </w:pPr>
            <w:r>
              <w:rPr>
                <w:szCs w:val="24"/>
              </w:rPr>
              <w:t xml:space="preserve">DPH: </w:t>
            </w:r>
          </w:p>
        </w:tc>
        <w:tc>
          <w:tcPr>
            <w:tcW w:w="5083" w:type="dxa"/>
            <w:tcBorders>
              <w:top w:val="single" w:sz="4" w:space="0" w:color="auto"/>
              <w:left w:val="single" w:sz="4" w:space="0" w:color="auto"/>
              <w:bottom w:val="single" w:sz="4" w:space="0" w:color="auto"/>
              <w:right w:val="single" w:sz="4" w:space="0" w:color="auto"/>
            </w:tcBorders>
            <w:vAlign w:val="center"/>
          </w:tcPr>
          <w:p w:rsidR="0065669C" w:rsidRDefault="008F46E6">
            <w:pPr>
              <w:framePr w:w="9191" w:h="1185" w:wrap="auto" w:hAnchor="margin" w:x="402" w:y="4175"/>
              <w:ind w:right="47"/>
              <w:jc w:val="right"/>
              <w:rPr>
                <w:szCs w:val="24"/>
              </w:rPr>
            </w:pPr>
            <w:r>
              <w:rPr>
                <w:b/>
                <w:szCs w:val="24"/>
              </w:rPr>
              <w:t xml:space="preserve">39 209,43 </w:t>
            </w:r>
            <w:r>
              <w:rPr>
                <w:szCs w:val="24"/>
              </w:rPr>
              <w:t xml:space="preserve">Kč </w:t>
            </w:r>
          </w:p>
        </w:tc>
      </w:tr>
      <w:tr w:rsidR="0065669C">
        <w:trPr>
          <w:trHeight w:hRule="exact" w:val="393"/>
        </w:trPr>
        <w:tc>
          <w:tcPr>
            <w:tcW w:w="4108" w:type="dxa"/>
            <w:tcBorders>
              <w:top w:val="single" w:sz="4" w:space="0" w:color="auto"/>
              <w:left w:val="single" w:sz="4" w:space="0" w:color="auto"/>
              <w:bottom w:val="single" w:sz="4" w:space="0" w:color="auto"/>
              <w:right w:val="single" w:sz="4" w:space="0" w:color="auto"/>
            </w:tcBorders>
            <w:vAlign w:val="center"/>
          </w:tcPr>
          <w:p w:rsidR="0065669C" w:rsidRDefault="008F46E6">
            <w:pPr>
              <w:framePr w:w="9191" w:h="1185" w:wrap="auto" w:hAnchor="margin" w:x="402" w:y="4175"/>
              <w:ind w:left="95"/>
              <w:rPr>
                <w:szCs w:val="24"/>
              </w:rPr>
            </w:pPr>
            <w:r>
              <w:rPr>
                <w:szCs w:val="24"/>
              </w:rPr>
              <w:t xml:space="preserve">Celková kupní cena včetně DPH: </w:t>
            </w:r>
          </w:p>
        </w:tc>
        <w:tc>
          <w:tcPr>
            <w:tcW w:w="5083" w:type="dxa"/>
            <w:tcBorders>
              <w:top w:val="single" w:sz="4" w:space="0" w:color="auto"/>
              <w:left w:val="single" w:sz="4" w:space="0" w:color="auto"/>
              <w:bottom w:val="single" w:sz="4" w:space="0" w:color="auto"/>
              <w:right w:val="single" w:sz="4" w:space="0" w:color="auto"/>
            </w:tcBorders>
            <w:vAlign w:val="center"/>
          </w:tcPr>
          <w:p w:rsidR="0065669C" w:rsidRDefault="008F46E6">
            <w:pPr>
              <w:framePr w:w="9191" w:h="1185" w:wrap="auto" w:hAnchor="margin" w:x="402" w:y="4175"/>
              <w:ind w:right="47"/>
              <w:jc w:val="right"/>
              <w:rPr>
                <w:b/>
                <w:szCs w:val="24"/>
              </w:rPr>
            </w:pPr>
            <w:r>
              <w:rPr>
                <w:b/>
                <w:szCs w:val="24"/>
              </w:rPr>
              <w:t xml:space="preserve">283 632,83 Kč </w:t>
            </w:r>
          </w:p>
        </w:tc>
      </w:tr>
    </w:tbl>
    <w:p w:rsidR="0065669C" w:rsidRDefault="008F46E6">
      <w:pPr>
        <w:framePr w:w="9542" w:h="5971" w:wrap="auto" w:hAnchor="margin" w:x="383" w:y="5403"/>
        <w:numPr>
          <w:ilvl w:val="0"/>
          <w:numId w:val="5"/>
        </w:numPr>
        <w:spacing w:before="52" w:line="220" w:lineRule="exact"/>
        <w:ind w:left="383" w:right="19" w:hanging="350"/>
        <w:rPr>
          <w:szCs w:val="24"/>
        </w:rPr>
      </w:pPr>
      <w:r>
        <w:rPr>
          <w:szCs w:val="24"/>
        </w:rPr>
        <w:t xml:space="preserve">Kupní cena za zboží položkovým rozpočtem je uvedena v příloze </w:t>
      </w:r>
      <w:r>
        <w:rPr>
          <w:rFonts w:ascii="Times New Roman" w:hAnsi="Times New Roman"/>
          <w:w w:val="200"/>
          <w:sz w:val="6"/>
          <w:szCs w:val="24"/>
        </w:rPr>
        <w:t xml:space="preserve">č, </w:t>
      </w:r>
      <w:r>
        <w:rPr>
          <w:szCs w:val="24"/>
        </w:rPr>
        <w:t xml:space="preserve">1 této smlouvy, která je nedílnou součástí této smlouvy. </w:t>
      </w:r>
    </w:p>
    <w:p w:rsidR="0065669C" w:rsidRDefault="008F46E6">
      <w:pPr>
        <w:framePr w:w="9542" w:h="5971" w:wrap="auto" w:hAnchor="margin" w:x="383" w:y="5403"/>
        <w:numPr>
          <w:ilvl w:val="0"/>
          <w:numId w:val="5"/>
        </w:numPr>
        <w:spacing w:before="163" w:line="215" w:lineRule="exact"/>
        <w:ind w:left="369" w:right="38" w:hanging="350"/>
        <w:rPr>
          <w:szCs w:val="24"/>
        </w:rPr>
      </w:pPr>
      <w:r>
        <w:rPr>
          <w:szCs w:val="24"/>
        </w:rPr>
        <w:t xml:space="preserve">Kupní cena dodávky zboží zahrnuje cenu </w:t>
      </w:r>
      <w:r>
        <w:rPr>
          <w:szCs w:val="24"/>
        </w:rPr>
        <w:t xml:space="preserve">vlastního zboží včetně obalu, cenu dopravy zboží do místa plnění včetně transportního obalu. </w:t>
      </w:r>
    </w:p>
    <w:p w:rsidR="0065669C" w:rsidRDefault="008F46E6">
      <w:pPr>
        <w:framePr w:w="9542" w:h="5971" w:wrap="auto" w:hAnchor="margin" w:x="383" w:y="5403"/>
        <w:numPr>
          <w:ilvl w:val="0"/>
          <w:numId w:val="6"/>
        </w:numPr>
        <w:tabs>
          <w:tab w:val="left" w:pos="2043"/>
          <w:tab w:val="left" w:pos="3479"/>
          <w:tab w:val="left" w:pos="4847"/>
          <w:tab w:val="left" w:pos="5989"/>
          <w:tab w:val="left" w:pos="7271"/>
          <w:tab w:val="left" w:pos="9277"/>
        </w:tabs>
        <w:spacing w:line="383" w:lineRule="exact"/>
        <w:rPr>
          <w:szCs w:val="24"/>
        </w:rPr>
      </w:pPr>
      <w:r>
        <w:rPr>
          <w:szCs w:val="24"/>
        </w:rPr>
        <w:t xml:space="preserve">Celková </w:t>
      </w:r>
      <w:r>
        <w:rPr>
          <w:szCs w:val="24"/>
        </w:rPr>
        <w:tab/>
        <w:t xml:space="preserve">kupní </w:t>
      </w:r>
      <w:r>
        <w:rPr>
          <w:szCs w:val="24"/>
        </w:rPr>
        <w:tab/>
        <w:t xml:space="preserve">cena </w:t>
      </w:r>
      <w:r>
        <w:rPr>
          <w:szCs w:val="24"/>
        </w:rPr>
        <w:tab/>
        <w:t xml:space="preserve">ve </w:t>
      </w:r>
      <w:r>
        <w:rPr>
          <w:szCs w:val="24"/>
        </w:rPr>
        <w:tab/>
        <w:t xml:space="preserve">výši </w:t>
      </w:r>
      <w:r>
        <w:rPr>
          <w:szCs w:val="24"/>
        </w:rPr>
        <w:tab/>
      </w:r>
      <w:r>
        <w:rPr>
          <w:b/>
          <w:szCs w:val="24"/>
        </w:rPr>
        <w:t xml:space="preserve">283 632,83 </w:t>
      </w:r>
      <w:r>
        <w:rPr>
          <w:b/>
          <w:szCs w:val="24"/>
        </w:rPr>
        <w:tab/>
      </w:r>
      <w:r>
        <w:rPr>
          <w:szCs w:val="24"/>
        </w:rPr>
        <w:t xml:space="preserve">Kč </w:t>
      </w:r>
    </w:p>
    <w:p w:rsidR="0065669C" w:rsidRDefault="008F46E6">
      <w:pPr>
        <w:framePr w:w="9542" w:h="5971" w:wrap="auto" w:hAnchor="margin" w:x="383" w:y="5403"/>
        <w:spacing w:before="14" w:line="235" w:lineRule="exact"/>
        <w:ind w:left="350" w:right="23"/>
        <w:jc w:val="both"/>
        <w:rPr>
          <w:szCs w:val="24"/>
        </w:rPr>
      </w:pPr>
      <w:r>
        <w:rPr>
          <w:szCs w:val="24"/>
        </w:rPr>
        <w:t>(</w:t>
      </w:r>
      <w:proofErr w:type="spellStart"/>
      <w:r>
        <w:rPr>
          <w:szCs w:val="24"/>
        </w:rPr>
        <w:t>dvěstěosmdesáttřitisícšestsettřicetdvakorunosmdesáttřihaléřů</w:t>
      </w:r>
      <w:proofErr w:type="spellEnd"/>
      <w:r>
        <w:rPr>
          <w:szCs w:val="24"/>
        </w:rPr>
        <w:t>) včetně příslušné DPH bude uhrazena kupujícím prodáv</w:t>
      </w:r>
      <w:r>
        <w:rPr>
          <w:szCs w:val="24"/>
        </w:rPr>
        <w:t xml:space="preserve">ajícímu na základě faktury, kterou zašle prodávající kupujícímu po podpisu předávacího protokolu. Faktura je splatná do 14 (čtrnácti) kalendářních dnů ode dne jejího vystavení. </w:t>
      </w:r>
    </w:p>
    <w:p w:rsidR="0065669C" w:rsidRDefault="008F46E6">
      <w:pPr>
        <w:framePr w:w="9542" w:h="5971" w:wrap="auto" w:hAnchor="margin" w:x="383" w:y="5403"/>
        <w:numPr>
          <w:ilvl w:val="0"/>
          <w:numId w:val="7"/>
        </w:numPr>
        <w:spacing w:before="148" w:line="244" w:lineRule="exact"/>
        <w:ind w:left="369" w:right="33" w:hanging="350"/>
        <w:jc w:val="both"/>
        <w:rPr>
          <w:szCs w:val="24"/>
        </w:rPr>
      </w:pPr>
      <w:r>
        <w:rPr>
          <w:szCs w:val="24"/>
        </w:rPr>
        <w:t>Faktura bude obsahovat číslo účtu prodávajícího a náležitosti podle zákona o ú</w:t>
      </w:r>
      <w:r>
        <w:rPr>
          <w:szCs w:val="24"/>
        </w:rPr>
        <w:t>četnictví a zákona o dani z přidané hodnoty. Nesplatnou fakturu je kupující oprávněn vrátit prodávajícímu, jestliže neobsahuje náležitosti dle tohoto odstavce nebo jestliže cena neodpovídá podmínkám sjednaným v této smlouvě. Nová lhůta splatnosti pak začne</w:t>
      </w:r>
      <w:r>
        <w:rPr>
          <w:szCs w:val="24"/>
        </w:rPr>
        <w:t xml:space="preserve"> běžet doručením opravené faktury. </w:t>
      </w:r>
    </w:p>
    <w:p w:rsidR="0065669C" w:rsidRDefault="008F46E6">
      <w:pPr>
        <w:framePr w:w="9542" w:h="5971" w:wrap="auto" w:hAnchor="margin" w:x="383" w:y="5403"/>
        <w:numPr>
          <w:ilvl w:val="0"/>
          <w:numId w:val="7"/>
        </w:numPr>
        <w:spacing w:line="345" w:lineRule="exact"/>
        <w:ind w:left="388" w:hanging="355"/>
        <w:rPr>
          <w:szCs w:val="24"/>
        </w:rPr>
      </w:pPr>
      <w:r>
        <w:rPr>
          <w:szCs w:val="24"/>
        </w:rPr>
        <w:t xml:space="preserve">Prodávající prohlašuje, že: </w:t>
      </w:r>
    </w:p>
    <w:p w:rsidR="0065669C" w:rsidRDefault="008F46E6">
      <w:pPr>
        <w:framePr w:w="9542" w:h="5971" w:wrap="auto" w:hAnchor="margin" w:x="383" w:y="5403"/>
        <w:spacing w:before="71" w:line="211" w:lineRule="exact"/>
        <w:ind w:left="700" w:right="33"/>
        <w:rPr>
          <w:szCs w:val="24"/>
        </w:rPr>
      </w:pPr>
      <w:r>
        <w:rPr>
          <w:szCs w:val="24"/>
        </w:rPr>
        <w:t xml:space="preserve">nemá v úmyslu nezaplatit daň z přidané hodnoty u zdanitelného plnění podle této smlouvy (dále jen „daň") </w:t>
      </w:r>
    </w:p>
    <w:p w:rsidR="0065669C" w:rsidRDefault="008F46E6">
      <w:pPr>
        <w:framePr w:w="9542" w:h="5971" w:wrap="auto" w:hAnchor="margin" w:x="383" w:y="5403"/>
        <w:spacing w:before="71" w:line="211" w:lineRule="exact"/>
        <w:ind w:left="700" w:right="33"/>
        <w:rPr>
          <w:szCs w:val="24"/>
        </w:rPr>
      </w:pPr>
      <w:r>
        <w:rPr>
          <w:szCs w:val="24"/>
        </w:rPr>
        <w:t xml:space="preserve">mu nejsou známy skutečnosti, nasvědčující tomu, že se dostane do postavení, kdy </w:t>
      </w:r>
      <w:r>
        <w:rPr>
          <w:szCs w:val="24"/>
        </w:rPr>
        <w:t xml:space="preserve">nemůže daň zaplatit a ani se ke dni podpisu této smlouvy v takovém postavení nenachází </w:t>
      </w:r>
    </w:p>
    <w:p w:rsidR="0065669C" w:rsidRDefault="008F46E6">
      <w:pPr>
        <w:framePr w:w="9542" w:h="5971" w:wrap="auto" w:hAnchor="margin" w:x="383" w:y="5403"/>
        <w:spacing w:line="230" w:lineRule="exact"/>
        <w:ind w:left="700"/>
        <w:rPr>
          <w:szCs w:val="24"/>
        </w:rPr>
      </w:pPr>
      <w:r>
        <w:rPr>
          <w:szCs w:val="24"/>
        </w:rPr>
        <w:t xml:space="preserve">nezkrátí daň nebo nevyláká daňovou výhodu </w:t>
      </w:r>
    </w:p>
    <w:p w:rsidR="0065669C" w:rsidRDefault="008F46E6">
      <w:pPr>
        <w:framePr w:w="9542" w:h="5971" w:wrap="auto" w:hAnchor="margin" w:x="383" w:y="5403"/>
        <w:spacing w:before="14" w:line="235" w:lineRule="exact"/>
        <w:ind w:left="695" w:right="3143"/>
        <w:rPr>
          <w:szCs w:val="24"/>
        </w:rPr>
      </w:pPr>
      <w:r>
        <w:rPr>
          <w:szCs w:val="24"/>
        </w:rPr>
        <w:t>úplata za plně</w:t>
      </w:r>
      <w:r>
        <w:rPr>
          <w:szCs w:val="24"/>
        </w:rPr>
        <w:t xml:space="preserve">ní dle smlouvy není odchylná od obvyklé ceny nebude nespolehlivým plátcem </w:t>
      </w:r>
    </w:p>
    <w:p w:rsidR="0065669C" w:rsidRDefault="008F46E6">
      <w:pPr>
        <w:framePr w:w="9542" w:h="5971" w:wrap="auto" w:hAnchor="margin" w:x="383" w:y="5403"/>
        <w:spacing w:line="230" w:lineRule="exact"/>
        <w:ind w:left="700"/>
        <w:rPr>
          <w:szCs w:val="24"/>
        </w:rPr>
      </w:pPr>
      <w:r>
        <w:rPr>
          <w:szCs w:val="24"/>
        </w:rPr>
        <w:t xml:space="preserve">bude mít u správce daně registrován bankovní účet používaný pro ekonomickou činnost </w:t>
      </w:r>
    </w:p>
    <w:p w:rsidR="0065669C" w:rsidRDefault="008F46E6">
      <w:pPr>
        <w:framePr w:w="9566" w:h="1727" w:wrap="auto" w:hAnchor="margin" w:x="359" w:y="11845"/>
        <w:spacing w:line="244" w:lineRule="exact"/>
        <w:ind w:left="4233"/>
        <w:rPr>
          <w:b/>
          <w:szCs w:val="24"/>
        </w:rPr>
      </w:pPr>
      <w:r>
        <w:rPr>
          <w:b/>
          <w:szCs w:val="24"/>
        </w:rPr>
        <w:t xml:space="preserve">Článek IV. </w:t>
      </w:r>
    </w:p>
    <w:p w:rsidR="0065669C" w:rsidRDefault="008F46E6">
      <w:pPr>
        <w:framePr w:w="9566" w:h="1727" w:wrap="auto" w:hAnchor="margin" w:x="359" w:y="11845"/>
        <w:spacing w:line="244" w:lineRule="exact"/>
        <w:ind w:left="2817"/>
        <w:rPr>
          <w:b/>
          <w:szCs w:val="24"/>
        </w:rPr>
      </w:pPr>
      <w:r>
        <w:rPr>
          <w:b/>
          <w:szCs w:val="24"/>
        </w:rPr>
        <w:t xml:space="preserve">Přechod vlastnictví a nebezpečí škody </w:t>
      </w:r>
    </w:p>
    <w:p w:rsidR="0065669C" w:rsidRDefault="008F46E6">
      <w:pPr>
        <w:framePr w:w="9566" w:h="1727" w:wrap="auto" w:hAnchor="margin" w:x="359" w:y="11845"/>
        <w:numPr>
          <w:ilvl w:val="0"/>
          <w:numId w:val="8"/>
        </w:numPr>
        <w:spacing w:before="163" w:line="215" w:lineRule="exact"/>
        <w:ind w:left="369" w:right="38" w:hanging="350"/>
        <w:rPr>
          <w:szCs w:val="24"/>
        </w:rPr>
      </w:pPr>
      <w:r>
        <w:rPr>
          <w:szCs w:val="24"/>
        </w:rPr>
        <w:t>Vlastnické právo ke zboží přechází z prodávaj</w:t>
      </w:r>
      <w:r>
        <w:rPr>
          <w:szCs w:val="24"/>
        </w:rPr>
        <w:t xml:space="preserve">ícího na kupujícího okamžikem podpisu předávacího protokolu dle čl. V. odst. 1) této smlouvy oběma smluvními stranami. </w:t>
      </w:r>
    </w:p>
    <w:p w:rsidR="0065669C" w:rsidRDefault="008F46E6">
      <w:pPr>
        <w:framePr w:w="9566" w:h="1727" w:wrap="auto" w:hAnchor="margin" w:x="359" w:y="11845"/>
        <w:numPr>
          <w:ilvl w:val="0"/>
          <w:numId w:val="8"/>
        </w:numPr>
        <w:spacing w:before="163" w:line="215" w:lineRule="exact"/>
        <w:ind w:left="369" w:right="38" w:hanging="350"/>
        <w:rPr>
          <w:szCs w:val="24"/>
        </w:rPr>
      </w:pPr>
      <w:r>
        <w:rPr>
          <w:szCs w:val="24"/>
        </w:rPr>
        <w:t>Nebezpečí škody na zboží přechází na kupujícího okamžikem podpisu předávacího protokolu dle čl. V. odst. 1) této smlouvy oběma smluvními</w:t>
      </w:r>
      <w:r>
        <w:rPr>
          <w:szCs w:val="24"/>
        </w:rPr>
        <w:t xml:space="preserve"> stranami. </w:t>
      </w:r>
    </w:p>
    <w:p w:rsidR="0065669C" w:rsidRDefault="008F46E6">
      <w:pPr>
        <w:framePr w:w="9537" w:h="187" w:wrap="auto" w:hAnchor="margin" w:x="387" w:y="14495"/>
        <w:spacing w:line="187" w:lineRule="exact"/>
        <w:ind w:left="9057"/>
        <w:rPr>
          <w:sz w:val="17"/>
          <w:szCs w:val="24"/>
        </w:rPr>
      </w:pPr>
      <w:r>
        <w:rPr>
          <w:sz w:val="17"/>
          <w:szCs w:val="24"/>
        </w:rPr>
        <w:t xml:space="preserve">2 </w:t>
      </w:r>
    </w:p>
    <w:p w:rsidR="0065669C" w:rsidRDefault="0065669C">
      <w:pPr>
        <w:rPr>
          <w:sz w:val="17"/>
          <w:szCs w:val="24"/>
        </w:rPr>
        <w:sectPr w:rsidR="0065669C">
          <w:pgSz w:w="11900" w:h="16840"/>
          <w:pgMar w:top="1150" w:right="1085" w:bottom="360" w:left="883" w:header="708" w:footer="708" w:gutter="0"/>
          <w:cols w:space="708"/>
        </w:sectPr>
      </w:pPr>
    </w:p>
    <w:p w:rsidR="0065669C" w:rsidRDefault="0065669C">
      <w:pPr>
        <w:rPr>
          <w:sz w:val="2"/>
          <w:szCs w:val="24"/>
        </w:rPr>
      </w:pPr>
    </w:p>
    <w:p w:rsidR="0065669C" w:rsidRDefault="008F46E6">
      <w:pPr>
        <w:framePr w:w="9518" w:h="537" w:wrap="auto" w:hAnchor="margin" w:x="364" w:y="359"/>
        <w:numPr>
          <w:ilvl w:val="0"/>
          <w:numId w:val="9"/>
        </w:numPr>
        <w:spacing w:before="23" w:line="230" w:lineRule="exact"/>
        <w:ind w:left="388" w:right="4" w:hanging="345"/>
        <w:rPr>
          <w:sz w:val="21"/>
          <w:szCs w:val="24"/>
        </w:rPr>
      </w:pPr>
      <w:r>
        <w:rPr>
          <w:sz w:val="21"/>
          <w:szCs w:val="24"/>
        </w:rPr>
        <w:t xml:space="preserve">V případě, že bude kupující bezdůvodně v prodlení s převzetím zboží, přechází na něho nebezpečí škody, </w:t>
      </w:r>
      <w:proofErr w:type="gramStart"/>
      <w:r>
        <w:rPr>
          <w:sz w:val="21"/>
          <w:szCs w:val="24"/>
        </w:rPr>
        <w:t>jakoby</w:t>
      </w:r>
      <w:proofErr w:type="gramEnd"/>
      <w:r>
        <w:rPr>
          <w:sz w:val="21"/>
          <w:szCs w:val="24"/>
        </w:rPr>
        <w:t xml:space="preserve"> zboží převzal. </w:t>
      </w:r>
    </w:p>
    <w:p w:rsidR="0065669C" w:rsidRDefault="008F46E6">
      <w:pPr>
        <w:framePr w:w="9513" w:h="11803" w:wrap="auto" w:hAnchor="margin" w:x="359" w:y="1473"/>
        <w:spacing w:line="244" w:lineRule="exact"/>
        <w:ind w:left="4295"/>
        <w:rPr>
          <w:b/>
          <w:szCs w:val="24"/>
        </w:rPr>
      </w:pPr>
      <w:r>
        <w:rPr>
          <w:b/>
          <w:szCs w:val="24"/>
        </w:rPr>
        <w:t xml:space="preserve">Článek V. </w:t>
      </w:r>
    </w:p>
    <w:p w:rsidR="0065669C" w:rsidRDefault="008F46E6">
      <w:pPr>
        <w:framePr w:w="9513" w:h="11803" w:wrap="auto" w:hAnchor="margin" w:x="359" w:y="1473"/>
        <w:spacing w:line="244" w:lineRule="exact"/>
        <w:ind w:left="3595"/>
        <w:rPr>
          <w:b/>
          <w:szCs w:val="24"/>
        </w:rPr>
      </w:pPr>
      <w:r>
        <w:rPr>
          <w:b/>
          <w:szCs w:val="24"/>
        </w:rPr>
        <w:t xml:space="preserve">Dodání </w:t>
      </w:r>
      <w:r>
        <w:rPr>
          <w:b/>
          <w:w w:val="86"/>
          <w:sz w:val="23"/>
          <w:szCs w:val="24"/>
        </w:rPr>
        <w:t xml:space="preserve">a </w:t>
      </w:r>
      <w:r>
        <w:rPr>
          <w:b/>
          <w:szCs w:val="24"/>
        </w:rPr>
        <w:t xml:space="preserve">převzetí zboží </w:t>
      </w:r>
    </w:p>
    <w:p w:rsidR="0065669C" w:rsidRDefault="008F46E6">
      <w:pPr>
        <w:framePr w:w="9513" w:h="11803" w:wrap="auto" w:hAnchor="margin" w:x="359" w:y="1473"/>
        <w:numPr>
          <w:ilvl w:val="0"/>
          <w:numId w:val="10"/>
        </w:numPr>
        <w:spacing w:before="129" w:line="235" w:lineRule="exact"/>
        <w:ind w:left="355" w:right="23" w:hanging="345"/>
        <w:jc w:val="both"/>
        <w:rPr>
          <w:sz w:val="21"/>
          <w:szCs w:val="24"/>
        </w:rPr>
      </w:pPr>
      <w:r>
        <w:rPr>
          <w:sz w:val="21"/>
          <w:szCs w:val="24"/>
        </w:rPr>
        <w:t xml:space="preserve">Dodáním zboží se rozumí postup, jehož završením je </w:t>
      </w:r>
      <w:r>
        <w:rPr>
          <w:sz w:val="21"/>
          <w:szCs w:val="24"/>
        </w:rPr>
        <w:t xml:space="preserve">faktické předání zboží kupujícímu potvrzené oboustranně podepsaným písemným předávacím protokolem nebo dodacím listem po zaškolení personálu kupujícího v obsluze a údržbě zboží. </w:t>
      </w:r>
    </w:p>
    <w:p w:rsidR="0065669C" w:rsidRDefault="008F46E6">
      <w:pPr>
        <w:framePr w:w="9513" w:h="11803" w:wrap="auto" w:hAnchor="margin" w:x="359" w:y="1473"/>
        <w:numPr>
          <w:ilvl w:val="0"/>
          <w:numId w:val="10"/>
        </w:numPr>
        <w:spacing w:line="364" w:lineRule="exact"/>
        <w:ind w:left="364" w:hanging="345"/>
        <w:rPr>
          <w:sz w:val="21"/>
          <w:szCs w:val="24"/>
        </w:rPr>
      </w:pPr>
      <w:r>
        <w:rPr>
          <w:sz w:val="21"/>
          <w:szCs w:val="24"/>
        </w:rPr>
        <w:t xml:space="preserve">Místem plnění pro dodání zboží je místo na adrese: </w:t>
      </w:r>
    </w:p>
    <w:p w:rsidR="0065669C" w:rsidRDefault="008F46E6">
      <w:pPr>
        <w:framePr w:w="9513" w:h="11803" w:wrap="auto" w:hAnchor="margin" w:x="359" w:y="1473"/>
        <w:spacing w:before="163" w:line="215" w:lineRule="exact"/>
        <w:ind w:left="374" w:right="4"/>
        <w:rPr>
          <w:sz w:val="21"/>
          <w:szCs w:val="24"/>
        </w:rPr>
      </w:pPr>
      <w:r>
        <w:rPr>
          <w:sz w:val="21"/>
          <w:szCs w:val="24"/>
        </w:rPr>
        <w:t>Městské středisko sociáln</w:t>
      </w:r>
      <w:r>
        <w:rPr>
          <w:sz w:val="21"/>
          <w:szCs w:val="24"/>
        </w:rPr>
        <w:t xml:space="preserve">ích služeb Oáza, T.G. Masaryka 1424, Nové Město nad Metují (dále </w:t>
      </w:r>
      <w:proofErr w:type="gramStart"/>
      <w:r>
        <w:rPr>
          <w:sz w:val="21"/>
          <w:szCs w:val="24"/>
        </w:rPr>
        <w:t>též ,,místo</w:t>
      </w:r>
      <w:proofErr w:type="gramEnd"/>
      <w:r>
        <w:rPr>
          <w:sz w:val="21"/>
          <w:szCs w:val="24"/>
        </w:rPr>
        <w:t xml:space="preserve"> plnění"). </w:t>
      </w:r>
    </w:p>
    <w:p w:rsidR="0065669C" w:rsidRDefault="008F46E6">
      <w:pPr>
        <w:framePr w:w="9513" w:h="11803" w:wrap="auto" w:hAnchor="margin" w:x="359" w:y="1473"/>
        <w:numPr>
          <w:ilvl w:val="0"/>
          <w:numId w:val="11"/>
        </w:numPr>
        <w:spacing w:line="364" w:lineRule="exact"/>
        <w:ind w:left="364" w:hanging="345"/>
        <w:rPr>
          <w:b/>
          <w:szCs w:val="24"/>
        </w:rPr>
      </w:pPr>
      <w:r>
        <w:rPr>
          <w:sz w:val="21"/>
          <w:szCs w:val="24"/>
        </w:rPr>
        <w:t xml:space="preserve">Prodávající se zavazuje zboží kupujícímu dodat </w:t>
      </w:r>
      <w:r>
        <w:rPr>
          <w:b/>
          <w:szCs w:val="24"/>
        </w:rPr>
        <w:t xml:space="preserve">do 31.12.2019. </w:t>
      </w:r>
    </w:p>
    <w:p w:rsidR="0065669C" w:rsidRDefault="008F46E6">
      <w:pPr>
        <w:framePr w:w="9513" w:h="11803" w:wrap="auto" w:hAnchor="margin" w:x="359" w:y="1473"/>
        <w:spacing w:before="268" w:line="235" w:lineRule="exact"/>
        <w:ind w:left="364" w:right="14"/>
        <w:jc w:val="both"/>
        <w:rPr>
          <w:sz w:val="21"/>
          <w:szCs w:val="24"/>
        </w:rPr>
      </w:pPr>
      <w:r>
        <w:rPr>
          <w:sz w:val="21"/>
          <w:szCs w:val="24"/>
        </w:rPr>
        <w:t xml:space="preserve">Tento termín dodání je platný pouze v případě, že kupující nedluží prodávajícímu z předchozích </w:t>
      </w:r>
      <w:r>
        <w:rPr>
          <w:sz w:val="21"/>
          <w:szCs w:val="24"/>
        </w:rPr>
        <w:t xml:space="preserve">kupních smluv nedoplatky kupní ceny. Nesplatil-li kupující prodávajícímu včas a řádně kupní cenu z předchozích uzavřených kupních smluv, sjednaný termín dodání zboží se posouvá do okamžiku úplného splaceni dlužné částky. </w:t>
      </w:r>
    </w:p>
    <w:p w:rsidR="0065669C" w:rsidRDefault="008F46E6">
      <w:pPr>
        <w:framePr w:w="9513" w:h="11803" w:wrap="auto" w:hAnchor="margin" w:x="359" w:y="1473"/>
        <w:numPr>
          <w:ilvl w:val="0"/>
          <w:numId w:val="12"/>
        </w:numPr>
        <w:spacing w:before="129" w:line="235" w:lineRule="exact"/>
        <w:ind w:left="355" w:right="23" w:hanging="345"/>
        <w:jc w:val="both"/>
        <w:rPr>
          <w:sz w:val="21"/>
          <w:szCs w:val="24"/>
        </w:rPr>
      </w:pPr>
      <w:r>
        <w:rPr>
          <w:sz w:val="21"/>
          <w:szCs w:val="24"/>
        </w:rPr>
        <w:t>Kupující zajistí stavební připrave</w:t>
      </w:r>
      <w:r>
        <w:rPr>
          <w:sz w:val="21"/>
          <w:szCs w:val="24"/>
        </w:rPr>
        <w:t xml:space="preserve">nost a plynulé vyklizení prostor v objektu místa plnění (dokončené, vyklizené, uklizené a uzamykatelné místnosti či montážní zóny) tak, aby bylo možné v dohodnutém </w:t>
      </w:r>
      <w:proofErr w:type="spellStart"/>
      <w:r>
        <w:rPr>
          <w:sz w:val="21"/>
          <w:szCs w:val="24"/>
        </w:rPr>
        <w:t>termf</w:t>
      </w:r>
      <w:proofErr w:type="spellEnd"/>
      <w:r>
        <w:rPr>
          <w:sz w:val="21"/>
          <w:szCs w:val="24"/>
        </w:rPr>
        <w:t xml:space="preserve"> nu dopravit zboží na místo plnění a nainstalovat jej na jednotlivá oddělení při použit</w:t>
      </w:r>
      <w:r>
        <w:rPr>
          <w:sz w:val="21"/>
          <w:szCs w:val="24"/>
        </w:rPr>
        <w:t xml:space="preserve">í nejkratších možných přístupových cest a dopravy výtahem s možností horizontální přepravy paletovými vozíky zhotovitele. </w:t>
      </w:r>
    </w:p>
    <w:p w:rsidR="0065669C" w:rsidRDefault="008F46E6">
      <w:pPr>
        <w:framePr w:w="9513" w:h="11803" w:wrap="auto" w:hAnchor="margin" w:x="359" w:y="1473"/>
        <w:numPr>
          <w:ilvl w:val="0"/>
          <w:numId w:val="12"/>
        </w:numPr>
        <w:spacing w:before="129" w:line="235" w:lineRule="exact"/>
        <w:ind w:left="355" w:right="23" w:hanging="345"/>
        <w:jc w:val="both"/>
        <w:rPr>
          <w:sz w:val="21"/>
          <w:szCs w:val="24"/>
        </w:rPr>
      </w:pPr>
      <w:r>
        <w:rPr>
          <w:sz w:val="21"/>
          <w:szCs w:val="24"/>
        </w:rPr>
        <w:t xml:space="preserve">Místo plnění bude pro instalaci vyklizené, uklizené, temperované min. na </w:t>
      </w:r>
      <w:proofErr w:type="gramStart"/>
      <w:r>
        <w:rPr>
          <w:sz w:val="21"/>
          <w:szCs w:val="24"/>
        </w:rPr>
        <w:t>18°C</w:t>
      </w:r>
      <w:proofErr w:type="gramEnd"/>
      <w:r>
        <w:rPr>
          <w:sz w:val="21"/>
          <w:szCs w:val="24"/>
        </w:rPr>
        <w:t xml:space="preserve"> a osvětlené, v dosahu funkčních zásuvek na 220 V, s mož</w:t>
      </w:r>
      <w:r>
        <w:rPr>
          <w:sz w:val="21"/>
          <w:szCs w:val="24"/>
        </w:rPr>
        <w:t xml:space="preserve">ností používání sociálního vybavení objektu (1x WC, tekoucí voda). V případě nedodržení tohoto a předchozího odst. tohoto článku, není prodávající v prodlení se splněním předmětu smlouvy, termín dodání a související termíny se alikvotně posouvají. </w:t>
      </w:r>
    </w:p>
    <w:p w:rsidR="0065669C" w:rsidRDefault="008F46E6">
      <w:pPr>
        <w:framePr w:w="9513" w:h="11803" w:wrap="auto" w:hAnchor="margin" w:x="359" w:y="1473"/>
        <w:numPr>
          <w:ilvl w:val="0"/>
          <w:numId w:val="12"/>
        </w:numPr>
        <w:spacing w:before="129" w:line="235" w:lineRule="exact"/>
        <w:ind w:left="355" w:right="23" w:hanging="345"/>
        <w:jc w:val="both"/>
        <w:rPr>
          <w:sz w:val="21"/>
          <w:szCs w:val="24"/>
        </w:rPr>
      </w:pPr>
      <w:r>
        <w:rPr>
          <w:sz w:val="21"/>
          <w:szCs w:val="24"/>
        </w:rPr>
        <w:t>Cena za</w:t>
      </w:r>
      <w:r>
        <w:rPr>
          <w:sz w:val="21"/>
          <w:szCs w:val="24"/>
        </w:rPr>
        <w:t xml:space="preserve"> předmět smlouvy nezahrnuje dodávku zboží a služeb nad rámec přiložené specifikace v příloze č. 1 této smlouvy. Změny a doplňky ve věcném plnění této smlouvy mohou být dohodnuty formou písemného dodatku k této smlouvě, ve kterém bude dohodnuta i nová cena </w:t>
      </w:r>
      <w:r>
        <w:rPr>
          <w:sz w:val="21"/>
          <w:szCs w:val="24"/>
        </w:rPr>
        <w:t xml:space="preserve">a termín dodání. Forma ústních dodatků je tímto mezi smluvními stranami vyloučena. </w:t>
      </w:r>
    </w:p>
    <w:p w:rsidR="0065669C" w:rsidRDefault="008F46E6">
      <w:pPr>
        <w:framePr w:w="9513" w:h="11803" w:wrap="auto" w:hAnchor="margin" w:x="359" w:y="1473"/>
        <w:spacing w:line="503" w:lineRule="exact"/>
        <w:ind w:left="4238"/>
        <w:rPr>
          <w:b/>
          <w:szCs w:val="24"/>
        </w:rPr>
      </w:pPr>
      <w:r>
        <w:rPr>
          <w:b/>
          <w:szCs w:val="24"/>
        </w:rPr>
        <w:t xml:space="preserve">Článek VI. </w:t>
      </w:r>
    </w:p>
    <w:p w:rsidR="0065669C" w:rsidRDefault="008F46E6">
      <w:pPr>
        <w:framePr w:w="9513" w:h="11803" w:wrap="auto" w:hAnchor="margin" w:x="359" w:y="1473"/>
        <w:spacing w:line="244" w:lineRule="exact"/>
        <w:ind w:left="2894"/>
        <w:rPr>
          <w:b/>
          <w:szCs w:val="24"/>
        </w:rPr>
      </w:pPr>
      <w:r>
        <w:rPr>
          <w:b/>
          <w:szCs w:val="24"/>
        </w:rPr>
        <w:t xml:space="preserve">Prohlášení a záruky smluvních stran </w:t>
      </w:r>
    </w:p>
    <w:p w:rsidR="0065669C" w:rsidRDefault="008F46E6">
      <w:pPr>
        <w:framePr w:w="9513" w:h="11803" w:wrap="auto" w:hAnchor="margin" w:x="359" w:y="1473"/>
        <w:numPr>
          <w:ilvl w:val="0"/>
          <w:numId w:val="13"/>
        </w:numPr>
        <w:spacing w:before="129" w:line="235" w:lineRule="exact"/>
        <w:ind w:left="355" w:right="23" w:hanging="345"/>
        <w:jc w:val="both"/>
        <w:rPr>
          <w:sz w:val="21"/>
          <w:szCs w:val="24"/>
        </w:rPr>
      </w:pPr>
      <w:r>
        <w:rPr>
          <w:sz w:val="21"/>
          <w:szCs w:val="24"/>
        </w:rPr>
        <w:t>Prodávající prohlašuje, že je výlučným vlastníkem zboží a že je oprávněn s ním bez omezení disponovat, že zboží není zatíže</w:t>
      </w:r>
      <w:r>
        <w:rPr>
          <w:sz w:val="21"/>
          <w:szCs w:val="24"/>
        </w:rPr>
        <w:t xml:space="preserve">no jakýmikoli právy třetích osob ani jinými právními nebo faktickými vadami. </w:t>
      </w:r>
    </w:p>
    <w:p w:rsidR="0065669C" w:rsidRDefault="008F46E6">
      <w:pPr>
        <w:framePr w:w="9513" w:h="11803" w:wrap="auto" w:hAnchor="margin" w:x="359" w:y="1473"/>
        <w:numPr>
          <w:ilvl w:val="0"/>
          <w:numId w:val="13"/>
        </w:numPr>
        <w:spacing w:before="129" w:line="235" w:lineRule="exact"/>
        <w:ind w:left="355" w:right="23" w:hanging="345"/>
        <w:jc w:val="both"/>
        <w:rPr>
          <w:sz w:val="21"/>
          <w:szCs w:val="24"/>
        </w:rPr>
      </w:pPr>
      <w:r>
        <w:rPr>
          <w:sz w:val="21"/>
          <w:szCs w:val="24"/>
        </w:rPr>
        <w:t xml:space="preserve">Záruku na jakost poskytuje prodávající po dobu 24 (dvaceti čtyř) měsíců. Záruční doba </w:t>
      </w:r>
      <w:proofErr w:type="spellStart"/>
      <w:r>
        <w:rPr>
          <w:sz w:val="21"/>
          <w:szCs w:val="24"/>
        </w:rPr>
        <w:t>počiná</w:t>
      </w:r>
      <w:proofErr w:type="spellEnd"/>
      <w:r>
        <w:rPr>
          <w:sz w:val="21"/>
          <w:szCs w:val="24"/>
        </w:rPr>
        <w:t xml:space="preserve"> běžet dnem podpisu předávacího protokolu dle čl. V. odst. 1) této smlouvy. Záruka v d</w:t>
      </w:r>
      <w:r>
        <w:rPr>
          <w:sz w:val="21"/>
          <w:szCs w:val="24"/>
        </w:rPr>
        <w:t xml:space="preserve">élce 24 (dvaceti čtyř) měsíců se nevztahuje na běžné opotřebení zboží a na jeho součásti, jejichž sama životnost je kratší než 24 (dvaceti čtyři) měsíců, v takovém případě je záruka rovna životnosti. </w:t>
      </w:r>
    </w:p>
    <w:p w:rsidR="0065669C" w:rsidRDefault="008F46E6">
      <w:pPr>
        <w:framePr w:w="9513" w:h="11803" w:wrap="auto" w:hAnchor="margin" w:x="359" w:y="1473"/>
        <w:numPr>
          <w:ilvl w:val="0"/>
          <w:numId w:val="13"/>
        </w:numPr>
        <w:spacing w:line="364" w:lineRule="exact"/>
        <w:ind w:left="364" w:hanging="345"/>
        <w:rPr>
          <w:sz w:val="21"/>
          <w:szCs w:val="24"/>
        </w:rPr>
      </w:pPr>
      <w:r>
        <w:rPr>
          <w:sz w:val="21"/>
          <w:szCs w:val="24"/>
        </w:rPr>
        <w:t xml:space="preserve">Kupující není oprávněn v průběhu záruční doby </w:t>
      </w:r>
      <w:r>
        <w:rPr>
          <w:sz w:val="21"/>
          <w:szCs w:val="24"/>
        </w:rPr>
        <w:t xml:space="preserve">provádět na zboží žádné opravy či úpravy. </w:t>
      </w:r>
    </w:p>
    <w:p w:rsidR="0065669C" w:rsidRDefault="008F46E6">
      <w:pPr>
        <w:framePr w:w="9513" w:h="11803" w:wrap="auto" w:hAnchor="margin" w:x="359" w:y="1473"/>
        <w:spacing w:before="4" w:line="239" w:lineRule="exact"/>
        <w:ind w:left="345" w:right="28"/>
        <w:jc w:val="both"/>
        <w:rPr>
          <w:sz w:val="21"/>
          <w:szCs w:val="24"/>
        </w:rPr>
      </w:pPr>
      <w:r>
        <w:rPr>
          <w:sz w:val="21"/>
          <w:szCs w:val="24"/>
        </w:rPr>
        <w:t xml:space="preserve">Kupující bude po dobu záruky používat originální náhradní příslušenství a díly dodávané prodávajícím. Pokud by kupující do zboží neoprávněně zasáhl, nebo použil jiné příslušenství, ztrácí nárok na záruku. </w:t>
      </w:r>
      <w:r>
        <w:rPr>
          <w:sz w:val="21"/>
          <w:szCs w:val="24"/>
        </w:rPr>
        <w:t xml:space="preserve">Záruka se nevztahuje na úmyslné poškození zboží kupujícím nebo na mechanické poškození způsobené nesprávným nakládáním se zbožím. </w:t>
      </w:r>
    </w:p>
    <w:p w:rsidR="0065669C" w:rsidRDefault="008F46E6">
      <w:pPr>
        <w:framePr w:w="9503" w:h="201" w:wrap="auto" w:hAnchor="margin" w:x="364" w:y="14476"/>
        <w:spacing w:line="201" w:lineRule="exact"/>
        <w:ind w:left="9057"/>
        <w:rPr>
          <w:rFonts w:ascii="Times New Roman" w:hAnsi="Times New Roman"/>
          <w:w w:val="91"/>
          <w:sz w:val="19"/>
          <w:szCs w:val="24"/>
        </w:rPr>
      </w:pPr>
      <w:r>
        <w:rPr>
          <w:rFonts w:ascii="Times New Roman" w:hAnsi="Times New Roman"/>
          <w:w w:val="91"/>
          <w:sz w:val="19"/>
          <w:szCs w:val="24"/>
        </w:rPr>
        <w:t xml:space="preserve">3 </w:t>
      </w:r>
    </w:p>
    <w:p w:rsidR="0065669C" w:rsidRDefault="0065669C">
      <w:pPr>
        <w:rPr>
          <w:rFonts w:ascii="Times New Roman" w:hAnsi="Times New Roman"/>
          <w:sz w:val="19"/>
          <w:szCs w:val="24"/>
        </w:rPr>
        <w:sectPr w:rsidR="0065669C">
          <w:pgSz w:w="11900" w:h="16840"/>
          <w:pgMar w:top="1155" w:right="1080" w:bottom="360" w:left="935" w:header="708" w:footer="708" w:gutter="0"/>
          <w:cols w:space="708"/>
        </w:sectPr>
      </w:pPr>
    </w:p>
    <w:p w:rsidR="0065669C" w:rsidRDefault="0065669C">
      <w:pPr>
        <w:rPr>
          <w:rFonts w:ascii="Times New Roman" w:hAnsi="Times New Roman"/>
          <w:sz w:val="2"/>
          <w:szCs w:val="24"/>
        </w:rPr>
      </w:pPr>
    </w:p>
    <w:p w:rsidR="0065669C" w:rsidRDefault="008F46E6">
      <w:pPr>
        <w:framePr w:w="9484" w:h="1703" w:wrap="auto" w:hAnchor="margin" w:x="359" w:y="359"/>
        <w:numPr>
          <w:ilvl w:val="0"/>
          <w:numId w:val="14"/>
        </w:numPr>
        <w:spacing w:line="239" w:lineRule="exact"/>
        <w:ind w:left="364" w:right="14" w:hanging="359"/>
        <w:jc w:val="both"/>
        <w:rPr>
          <w:sz w:val="21"/>
          <w:szCs w:val="24"/>
        </w:rPr>
      </w:pPr>
      <w:r>
        <w:rPr>
          <w:sz w:val="21"/>
          <w:szCs w:val="24"/>
        </w:rPr>
        <w:t>Záruka se nevztahuje na vady, které se projeví během záruční lhůty v důsledku neodborného zacházení nebo ne</w:t>
      </w:r>
      <w:r>
        <w:rPr>
          <w:sz w:val="21"/>
          <w:szCs w:val="24"/>
        </w:rPr>
        <w:t>dostatku odborné péče či zanedbání běžné údržby ze strany kupujícího nebo uživatele zboží nebo obsluhy zboží. Prodávající rovněž neodpovídá za vady, které jsou způsobeny neodbornou manipulací uživatele zboží (např. mechanické, chemické nebo tepelné poškoze</w:t>
      </w:r>
      <w:r>
        <w:rPr>
          <w:sz w:val="21"/>
          <w:szCs w:val="24"/>
        </w:rPr>
        <w:t xml:space="preserve">ní v případě, kdy byly překročeny stanovené hodnoty odolnosti materiálu). Kupující nemá právo ze záruky, způsobila-li vadu po přechodu nebezpečí škody na zboží na kupujícího vnější událost. </w:t>
      </w:r>
    </w:p>
    <w:p w:rsidR="0065669C" w:rsidRDefault="008F46E6">
      <w:pPr>
        <w:framePr w:w="9489" w:h="9076" w:wrap="auto" w:hAnchor="margin" w:x="359" w:y="2457"/>
        <w:spacing w:line="230" w:lineRule="exact"/>
        <w:ind w:left="4180"/>
        <w:rPr>
          <w:b/>
          <w:szCs w:val="24"/>
        </w:rPr>
      </w:pPr>
      <w:r>
        <w:rPr>
          <w:b/>
          <w:szCs w:val="24"/>
        </w:rPr>
        <w:t xml:space="preserve">Článek VII. </w:t>
      </w:r>
    </w:p>
    <w:p w:rsidR="0065669C" w:rsidRDefault="008F46E6">
      <w:pPr>
        <w:framePr w:w="9489" w:h="9076" w:wrap="auto" w:hAnchor="margin" w:x="359" w:y="2457"/>
        <w:spacing w:line="244" w:lineRule="exact"/>
        <w:ind w:left="4415"/>
        <w:rPr>
          <w:b/>
          <w:szCs w:val="24"/>
        </w:rPr>
      </w:pPr>
      <w:r>
        <w:rPr>
          <w:b/>
          <w:szCs w:val="24"/>
        </w:rPr>
        <w:t xml:space="preserve">Servis </w:t>
      </w:r>
    </w:p>
    <w:p w:rsidR="0065669C" w:rsidRDefault="008F46E6">
      <w:pPr>
        <w:framePr w:w="9489" w:h="9076" w:wrap="auto" w:hAnchor="margin" w:x="359" w:y="2457"/>
        <w:numPr>
          <w:ilvl w:val="0"/>
          <w:numId w:val="15"/>
        </w:numPr>
        <w:spacing w:before="124" w:line="239" w:lineRule="exact"/>
        <w:ind w:left="364" w:right="9" w:hanging="345"/>
        <w:jc w:val="both"/>
        <w:rPr>
          <w:sz w:val="21"/>
          <w:szCs w:val="24"/>
        </w:rPr>
      </w:pPr>
      <w:r>
        <w:rPr>
          <w:sz w:val="21"/>
          <w:szCs w:val="24"/>
        </w:rPr>
        <w:t>Prodávající zajistí záruční a pozáruční serv</w:t>
      </w:r>
      <w:r>
        <w:rPr>
          <w:sz w:val="21"/>
          <w:szCs w:val="24"/>
        </w:rPr>
        <w:t xml:space="preserve">is pouze na základě písemného nahlášení vady kupujícím (faxem na faxové </w:t>
      </w:r>
      <w:r>
        <w:rPr>
          <w:rFonts w:ascii="Times New Roman" w:hAnsi="Times New Roman"/>
          <w:w w:val="200"/>
          <w:sz w:val="7"/>
          <w:szCs w:val="24"/>
        </w:rPr>
        <w:t xml:space="preserve">č. </w:t>
      </w:r>
      <w:r>
        <w:rPr>
          <w:sz w:val="21"/>
          <w:szCs w:val="24"/>
        </w:rPr>
        <w:t xml:space="preserve">nebo E-mailem na </w:t>
      </w:r>
      <w:proofErr w:type="gramStart"/>
      <w:r>
        <w:rPr>
          <w:sz w:val="21"/>
          <w:szCs w:val="24"/>
        </w:rPr>
        <w:t xml:space="preserve">adresu </w:t>
      </w:r>
      <w:r>
        <w:rPr>
          <w:sz w:val="21"/>
          <w:szCs w:val="24"/>
        </w:rPr>
        <w:t>)</w:t>
      </w:r>
      <w:proofErr w:type="gramEnd"/>
      <w:r>
        <w:rPr>
          <w:sz w:val="21"/>
          <w:szCs w:val="24"/>
        </w:rPr>
        <w:t>. Po nahlášení vady prodávající kupujícímu potvrdí v písemné formě, kdy právo z vadného plně</w:t>
      </w:r>
      <w:r>
        <w:rPr>
          <w:sz w:val="21"/>
          <w:szCs w:val="24"/>
        </w:rPr>
        <w:t xml:space="preserve">ní uplatnil, jakož i provedení opravy a dobu jejího trvání, pokud by měla být jiná než v odst. </w:t>
      </w:r>
      <w:r>
        <w:rPr>
          <w:b/>
          <w:szCs w:val="24"/>
        </w:rPr>
        <w:t xml:space="preserve">4) </w:t>
      </w:r>
      <w:r>
        <w:rPr>
          <w:sz w:val="21"/>
          <w:szCs w:val="24"/>
        </w:rPr>
        <w:t xml:space="preserve">tohoto článku. </w:t>
      </w:r>
    </w:p>
    <w:p w:rsidR="0065669C" w:rsidRDefault="008F46E6">
      <w:pPr>
        <w:framePr w:w="9489" w:h="9076" w:wrap="auto" w:hAnchor="margin" w:x="359" w:y="2457"/>
        <w:numPr>
          <w:ilvl w:val="0"/>
          <w:numId w:val="15"/>
        </w:numPr>
        <w:spacing w:before="124" w:line="239" w:lineRule="exact"/>
        <w:ind w:left="364" w:right="9" w:hanging="345"/>
        <w:jc w:val="both"/>
        <w:rPr>
          <w:sz w:val="21"/>
          <w:szCs w:val="24"/>
        </w:rPr>
      </w:pPr>
      <w:r>
        <w:rPr>
          <w:sz w:val="21"/>
          <w:szCs w:val="24"/>
        </w:rPr>
        <w:t>Smluvní strany se dohodly, že při případné reklamaci vady zjištěné v záruční době má kupující právo požadovat a prodávající povinnost bezplatn</w:t>
      </w:r>
      <w:r>
        <w:rPr>
          <w:sz w:val="21"/>
          <w:szCs w:val="24"/>
        </w:rPr>
        <w:t xml:space="preserve">ě vadu odstranit, to neplatí, vznikne-li vada z důvodů uvedených v čl. VI. odst. 3) a 4) této smlouvy. </w:t>
      </w:r>
    </w:p>
    <w:p w:rsidR="0065669C" w:rsidRDefault="008F46E6">
      <w:pPr>
        <w:framePr w:w="9489" w:h="9076" w:wrap="auto" w:hAnchor="margin" w:x="359" w:y="2457"/>
        <w:numPr>
          <w:ilvl w:val="0"/>
          <w:numId w:val="15"/>
        </w:numPr>
        <w:spacing w:before="124" w:line="239" w:lineRule="exact"/>
        <w:ind w:left="355" w:right="9" w:hanging="345"/>
        <w:rPr>
          <w:sz w:val="21"/>
          <w:szCs w:val="24"/>
        </w:rPr>
      </w:pPr>
      <w:r>
        <w:rPr>
          <w:sz w:val="21"/>
          <w:szCs w:val="24"/>
        </w:rPr>
        <w:t xml:space="preserve">Prodávající se zavazuje, že servis bude prováděn autorizovanými servisními techniky ze servisního střediska v </w:t>
      </w:r>
      <w:proofErr w:type="spellStart"/>
      <w:r>
        <w:rPr>
          <w:sz w:val="21"/>
          <w:szCs w:val="24"/>
        </w:rPr>
        <w:t>Želevčicích</w:t>
      </w:r>
      <w:proofErr w:type="spellEnd"/>
      <w:r>
        <w:rPr>
          <w:sz w:val="21"/>
          <w:szCs w:val="24"/>
        </w:rPr>
        <w:t xml:space="preserve">. </w:t>
      </w:r>
    </w:p>
    <w:p w:rsidR="0065669C" w:rsidRDefault="008F46E6">
      <w:pPr>
        <w:framePr w:w="9489" w:h="9076" w:wrap="auto" w:hAnchor="margin" w:x="359" w:y="2457"/>
        <w:numPr>
          <w:ilvl w:val="0"/>
          <w:numId w:val="15"/>
        </w:numPr>
        <w:spacing w:before="124" w:line="239" w:lineRule="exact"/>
        <w:ind w:left="364" w:right="9" w:hanging="345"/>
        <w:jc w:val="both"/>
        <w:rPr>
          <w:sz w:val="21"/>
          <w:szCs w:val="24"/>
        </w:rPr>
      </w:pPr>
      <w:r>
        <w:rPr>
          <w:sz w:val="21"/>
          <w:szCs w:val="24"/>
        </w:rPr>
        <w:t xml:space="preserve">V případě závady či </w:t>
      </w:r>
      <w:r>
        <w:rPr>
          <w:sz w:val="21"/>
          <w:szCs w:val="24"/>
        </w:rPr>
        <w:t>poruchy zboží se prodávající zavazuje vyslat kvalifikovaného servisního technika na místo plnění k opravě závady do 2 (dvou) pracovních dnů od nahlášení závady, což se považuje za uplatnění vady. Prodávající se zavazuje, že do 7 (sedmi) kalendářních dnů od</w:t>
      </w:r>
      <w:r>
        <w:rPr>
          <w:sz w:val="21"/>
          <w:szCs w:val="24"/>
        </w:rPr>
        <w:t xml:space="preserve"> příjezdu servisního technika na místo plnění odstraní závadu na zboží a uvede zboží do běžného provozu. To může splnit i tím, že zapůjčí kupujícímu po dobu opravy náhradní zboží, jehož funkčnost bude plně srovnatelná se zbožím opravovaným. Lhůta pro odstr</w:t>
      </w:r>
      <w:r>
        <w:rPr>
          <w:sz w:val="21"/>
          <w:szCs w:val="24"/>
        </w:rPr>
        <w:t>anění závady neběží v těch případech, kdy kupující neposkytne prodávajícímu pro odstranění závady potřebnou součinnost (např. zpřístupněním prostor, poskytnutím možnosti napojit se na síť elektrické energie), rovněž v těch případech, kdy projev vady byl ku</w:t>
      </w:r>
      <w:r>
        <w:rPr>
          <w:sz w:val="21"/>
          <w:szCs w:val="24"/>
        </w:rPr>
        <w:t xml:space="preserve">pujícím prodávajícímu nesprávně popsán, a tato lhůta pro odstranění závady neběží rovněž po dobu nutnou ke zjištění skutečné příčiny vady. </w:t>
      </w:r>
    </w:p>
    <w:p w:rsidR="0065669C" w:rsidRDefault="008F46E6">
      <w:pPr>
        <w:framePr w:w="9489" w:h="9076" w:wrap="auto" w:hAnchor="margin" w:x="359" w:y="2457"/>
        <w:numPr>
          <w:ilvl w:val="0"/>
          <w:numId w:val="15"/>
        </w:numPr>
        <w:spacing w:before="124" w:line="239" w:lineRule="exact"/>
        <w:ind w:left="355" w:right="9" w:hanging="345"/>
        <w:rPr>
          <w:sz w:val="21"/>
          <w:szCs w:val="24"/>
        </w:rPr>
      </w:pPr>
      <w:r>
        <w:rPr>
          <w:sz w:val="21"/>
          <w:szCs w:val="24"/>
        </w:rPr>
        <w:t>Smluvní strany mohou za účelem stanovení podrobnějších podmínek poskytování servisních služeb ze strany prodávajícíh</w:t>
      </w:r>
      <w:r>
        <w:rPr>
          <w:sz w:val="21"/>
          <w:szCs w:val="24"/>
        </w:rPr>
        <w:t xml:space="preserve">o uzavřít samostatnou servisní smlouvu. </w:t>
      </w:r>
    </w:p>
    <w:p w:rsidR="0065669C" w:rsidRDefault="008F46E6">
      <w:pPr>
        <w:framePr w:w="9489" w:h="9076" w:wrap="auto" w:hAnchor="margin" w:x="359" w:y="2457"/>
        <w:numPr>
          <w:ilvl w:val="0"/>
          <w:numId w:val="15"/>
        </w:numPr>
        <w:spacing w:before="124" w:line="239" w:lineRule="exact"/>
        <w:ind w:left="364" w:right="9" w:hanging="345"/>
        <w:jc w:val="both"/>
        <w:rPr>
          <w:sz w:val="21"/>
          <w:szCs w:val="24"/>
        </w:rPr>
      </w:pPr>
      <w:r>
        <w:rPr>
          <w:sz w:val="21"/>
          <w:szCs w:val="24"/>
        </w:rPr>
        <w:t xml:space="preserve">Prodávající se zavazuje poskytovat kupujícímu placený pozáruční servis minimálně po dobu 1 O (deseti) let po dodání zboží. Případný pozáruční servis bude poskytnut na základě samostatné objednávky. </w:t>
      </w:r>
    </w:p>
    <w:p w:rsidR="0065669C" w:rsidRDefault="008F46E6">
      <w:pPr>
        <w:framePr w:w="9489" w:h="9076" w:wrap="auto" w:hAnchor="margin" w:x="359" w:y="2457"/>
        <w:numPr>
          <w:ilvl w:val="0"/>
          <w:numId w:val="15"/>
        </w:numPr>
        <w:spacing w:before="124" w:line="239" w:lineRule="exact"/>
        <w:ind w:left="364" w:right="9" w:hanging="345"/>
        <w:jc w:val="both"/>
        <w:rPr>
          <w:sz w:val="21"/>
          <w:szCs w:val="24"/>
        </w:rPr>
      </w:pPr>
      <w:r>
        <w:rPr>
          <w:sz w:val="21"/>
          <w:szCs w:val="24"/>
        </w:rPr>
        <w:t>Celková cena ser</w:t>
      </w:r>
      <w:r>
        <w:rPr>
          <w:sz w:val="21"/>
          <w:szCs w:val="24"/>
        </w:rPr>
        <w:t xml:space="preserve">visních služeb včetně příslušné DPH bude uhrazena kupujícím prodávajícímu na základě faktury, kterou předá prodávající kupujícímu při provedení servisní služby. Faktura je splatná do 30 (třiceti) kalendářních dnů ode dne jejího vystavení. </w:t>
      </w:r>
    </w:p>
    <w:p w:rsidR="0065669C" w:rsidRDefault="008F46E6">
      <w:pPr>
        <w:framePr w:w="9489" w:h="9076" w:wrap="auto" w:hAnchor="margin" w:x="359" w:y="2457"/>
        <w:numPr>
          <w:ilvl w:val="0"/>
          <w:numId w:val="15"/>
        </w:numPr>
        <w:spacing w:before="124" w:line="239" w:lineRule="exact"/>
        <w:ind w:left="355" w:right="9" w:hanging="345"/>
        <w:rPr>
          <w:sz w:val="21"/>
          <w:szCs w:val="24"/>
        </w:rPr>
      </w:pPr>
      <w:r>
        <w:rPr>
          <w:sz w:val="21"/>
          <w:szCs w:val="24"/>
        </w:rPr>
        <w:t>Prodávající se z</w:t>
      </w:r>
      <w:r>
        <w:rPr>
          <w:sz w:val="21"/>
          <w:szCs w:val="24"/>
        </w:rPr>
        <w:t xml:space="preserve">avazuje, že v případě výskytu neodstranitelné vady na zboží během trvání záruční doby, vymění toto zboží za bezvadné. </w:t>
      </w:r>
    </w:p>
    <w:p w:rsidR="0065669C" w:rsidRDefault="008F46E6">
      <w:pPr>
        <w:framePr w:w="9489" w:h="1358" w:wrap="auto" w:hAnchor="margin" w:x="359" w:y="12009"/>
        <w:spacing w:line="230" w:lineRule="exact"/>
        <w:ind w:left="4180"/>
        <w:rPr>
          <w:b/>
          <w:szCs w:val="24"/>
        </w:rPr>
      </w:pPr>
      <w:r>
        <w:rPr>
          <w:b/>
          <w:szCs w:val="24"/>
        </w:rPr>
        <w:t xml:space="preserve">Článek VIII. </w:t>
      </w:r>
    </w:p>
    <w:p w:rsidR="0065669C" w:rsidRDefault="008F46E6">
      <w:pPr>
        <w:framePr w:w="9489" w:h="1358" w:wrap="auto" w:hAnchor="margin" w:x="359" w:y="12009"/>
        <w:spacing w:line="249" w:lineRule="exact"/>
        <w:ind w:left="3945"/>
        <w:rPr>
          <w:b/>
          <w:szCs w:val="24"/>
        </w:rPr>
      </w:pPr>
      <w:r>
        <w:rPr>
          <w:b/>
          <w:szCs w:val="24"/>
        </w:rPr>
        <w:t xml:space="preserve">Smluvní pokuty </w:t>
      </w:r>
    </w:p>
    <w:p w:rsidR="0065669C" w:rsidRDefault="008F46E6">
      <w:pPr>
        <w:framePr w:w="9489" w:h="1358" w:wrap="auto" w:hAnchor="margin" w:x="359" w:y="12009"/>
        <w:numPr>
          <w:ilvl w:val="0"/>
          <w:numId w:val="15"/>
        </w:numPr>
        <w:spacing w:before="124" w:line="239" w:lineRule="exact"/>
        <w:ind w:left="364" w:right="9" w:hanging="345"/>
        <w:jc w:val="both"/>
        <w:rPr>
          <w:sz w:val="21"/>
          <w:szCs w:val="24"/>
        </w:rPr>
      </w:pPr>
      <w:r>
        <w:rPr>
          <w:sz w:val="21"/>
          <w:szCs w:val="24"/>
        </w:rPr>
        <w:t xml:space="preserve">V případě prodlení kupujícího s úhradou kupní ceny, je kupující povinen uhradit prodávajícímu </w:t>
      </w:r>
      <w:r>
        <w:rPr>
          <w:sz w:val="21"/>
          <w:szCs w:val="24"/>
        </w:rPr>
        <w:t xml:space="preserve">smluvní pokutu ve výši </w:t>
      </w:r>
      <w:proofErr w:type="gramStart"/>
      <w:r>
        <w:rPr>
          <w:sz w:val="21"/>
          <w:szCs w:val="24"/>
        </w:rPr>
        <w:t>0,05%</w:t>
      </w:r>
      <w:proofErr w:type="gramEnd"/>
      <w:r>
        <w:rPr>
          <w:sz w:val="21"/>
          <w:szCs w:val="24"/>
        </w:rPr>
        <w:t xml:space="preserve"> (žádná celá nula pět procent) z celkové kupní ceny včetně DPH za každý den prodlení. </w:t>
      </w:r>
    </w:p>
    <w:p w:rsidR="0065669C" w:rsidRDefault="008F46E6">
      <w:pPr>
        <w:framePr w:w="9484" w:h="201" w:wrap="auto" w:hAnchor="margin" w:x="359" w:y="14428"/>
        <w:spacing w:line="201" w:lineRule="exact"/>
        <w:ind w:left="9057"/>
        <w:rPr>
          <w:rFonts w:ascii="Times New Roman" w:hAnsi="Times New Roman"/>
          <w:w w:val="91"/>
          <w:sz w:val="19"/>
          <w:szCs w:val="24"/>
        </w:rPr>
      </w:pPr>
      <w:r>
        <w:rPr>
          <w:rFonts w:ascii="Times New Roman" w:hAnsi="Times New Roman"/>
          <w:w w:val="91"/>
          <w:sz w:val="19"/>
          <w:szCs w:val="24"/>
        </w:rPr>
        <w:t xml:space="preserve">4 </w:t>
      </w:r>
    </w:p>
    <w:p w:rsidR="0065669C" w:rsidRDefault="0065669C">
      <w:pPr>
        <w:rPr>
          <w:rFonts w:ascii="Times New Roman" w:hAnsi="Times New Roman"/>
          <w:sz w:val="19"/>
          <w:szCs w:val="24"/>
        </w:rPr>
        <w:sectPr w:rsidR="0065669C">
          <w:pgSz w:w="11900" w:h="16840"/>
          <w:pgMar w:top="1204" w:right="1095" w:bottom="360" w:left="955" w:header="708" w:footer="708" w:gutter="0"/>
          <w:cols w:space="708"/>
        </w:sectPr>
      </w:pPr>
    </w:p>
    <w:p w:rsidR="0065669C" w:rsidRDefault="0065669C">
      <w:pPr>
        <w:rPr>
          <w:rFonts w:ascii="Times New Roman" w:hAnsi="Times New Roman"/>
          <w:sz w:val="2"/>
          <w:szCs w:val="24"/>
        </w:rPr>
      </w:pPr>
    </w:p>
    <w:p w:rsidR="0065669C" w:rsidRDefault="008F46E6">
      <w:pPr>
        <w:framePr w:w="9566" w:h="12959" w:wrap="auto" w:hAnchor="margin" w:x="359" w:y="359"/>
        <w:numPr>
          <w:ilvl w:val="0"/>
          <w:numId w:val="16"/>
        </w:numPr>
        <w:spacing w:line="244" w:lineRule="exact"/>
        <w:ind w:left="369" w:right="52" w:hanging="355"/>
        <w:jc w:val="both"/>
        <w:rPr>
          <w:sz w:val="21"/>
          <w:szCs w:val="24"/>
        </w:rPr>
      </w:pPr>
      <w:r>
        <w:rPr>
          <w:sz w:val="21"/>
          <w:szCs w:val="24"/>
        </w:rPr>
        <w:t xml:space="preserve">V </w:t>
      </w:r>
      <w:proofErr w:type="spellStart"/>
      <w:r>
        <w:rPr>
          <w:sz w:val="21"/>
          <w:szCs w:val="24"/>
        </w:rPr>
        <w:t>pfípadě</w:t>
      </w:r>
      <w:proofErr w:type="spellEnd"/>
      <w:r>
        <w:rPr>
          <w:sz w:val="21"/>
          <w:szCs w:val="24"/>
        </w:rPr>
        <w:t xml:space="preserve"> prodlení kupujícího s řádným a včasným převzetím zboží dle této smlouvy, je kupující povinen uhradit </w:t>
      </w:r>
      <w:r>
        <w:rPr>
          <w:sz w:val="21"/>
          <w:szCs w:val="24"/>
        </w:rPr>
        <w:t xml:space="preserve">prodávajícímu smluvní pokutu ve výši </w:t>
      </w:r>
      <w:proofErr w:type="gramStart"/>
      <w:r>
        <w:rPr>
          <w:sz w:val="21"/>
          <w:szCs w:val="24"/>
        </w:rPr>
        <w:t>0,05%</w:t>
      </w:r>
      <w:proofErr w:type="gramEnd"/>
      <w:r>
        <w:rPr>
          <w:sz w:val="21"/>
          <w:szCs w:val="24"/>
        </w:rPr>
        <w:t xml:space="preserve"> (žádná celá nula pět procent) z celkové kupní ceny včetně DPH za každý den prodlení. </w:t>
      </w:r>
    </w:p>
    <w:p w:rsidR="0065669C" w:rsidRDefault="008F46E6">
      <w:pPr>
        <w:framePr w:w="9566" w:h="12959" w:wrap="auto" w:hAnchor="margin" w:x="359" w:y="359"/>
        <w:numPr>
          <w:ilvl w:val="0"/>
          <w:numId w:val="16"/>
        </w:numPr>
        <w:spacing w:before="124" w:line="244" w:lineRule="exact"/>
        <w:ind w:left="374" w:right="14" w:hanging="359"/>
        <w:jc w:val="both"/>
        <w:rPr>
          <w:sz w:val="21"/>
          <w:szCs w:val="24"/>
        </w:rPr>
      </w:pPr>
      <w:r>
        <w:rPr>
          <w:sz w:val="21"/>
          <w:szCs w:val="24"/>
        </w:rPr>
        <w:t xml:space="preserve">V případě, že prodávající bude v prodlení s dodáním zboží, je prodávající povinen uhradit kupujícímu smluvní pokutu ve výši </w:t>
      </w:r>
      <w:proofErr w:type="gramStart"/>
      <w:r>
        <w:rPr>
          <w:sz w:val="21"/>
          <w:szCs w:val="24"/>
        </w:rPr>
        <w:t>0,0</w:t>
      </w:r>
      <w:r>
        <w:rPr>
          <w:sz w:val="21"/>
          <w:szCs w:val="24"/>
        </w:rPr>
        <w:t>5%</w:t>
      </w:r>
      <w:proofErr w:type="gramEnd"/>
      <w:r>
        <w:rPr>
          <w:sz w:val="21"/>
          <w:szCs w:val="24"/>
        </w:rPr>
        <w:t xml:space="preserve"> (žádná celá nula pět procent) z ceny nedodaného zboží včetně DPH za každý den prodlení s dodáním zboží. V případě, že prodávající prokáže, že prodlení vzniklo z viny na straně kupujícího, zanikne kupujícímu právo smluvní pokutu uplatňovat. </w:t>
      </w:r>
    </w:p>
    <w:p w:rsidR="0065669C" w:rsidRDefault="008F46E6">
      <w:pPr>
        <w:framePr w:w="9566" w:h="12959" w:wrap="auto" w:hAnchor="margin" w:x="359" w:y="359"/>
        <w:numPr>
          <w:ilvl w:val="0"/>
          <w:numId w:val="16"/>
        </w:numPr>
        <w:spacing w:before="124" w:line="244" w:lineRule="exact"/>
        <w:ind w:left="374" w:right="14" w:hanging="359"/>
        <w:jc w:val="both"/>
        <w:rPr>
          <w:sz w:val="21"/>
          <w:szCs w:val="24"/>
        </w:rPr>
      </w:pPr>
      <w:r>
        <w:rPr>
          <w:sz w:val="21"/>
          <w:szCs w:val="24"/>
        </w:rPr>
        <w:t>Smluvní stra</w:t>
      </w:r>
      <w:r>
        <w:rPr>
          <w:sz w:val="21"/>
          <w:szCs w:val="24"/>
        </w:rPr>
        <w:t xml:space="preserve">ny považuji výše ujednaných smluvních pokut za zcela přiměřené. Odchylně od ustanoveni § 2050 občanského zákoníku smluvní strany ujednávají, že zaplacením smluvní pokuty není dotčen nárok objednatele na náhradu škody v plném rozsahu. </w:t>
      </w:r>
    </w:p>
    <w:p w:rsidR="0065669C" w:rsidRDefault="008F46E6">
      <w:pPr>
        <w:framePr w:w="9566" w:h="12959" w:wrap="auto" w:hAnchor="margin" w:x="359" w:y="359"/>
        <w:spacing w:line="609" w:lineRule="exact"/>
        <w:ind w:left="4247"/>
        <w:rPr>
          <w:b/>
          <w:szCs w:val="24"/>
        </w:rPr>
      </w:pPr>
      <w:r>
        <w:rPr>
          <w:b/>
          <w:szCs w:val="24"/>
        </w:rPr>
        <w:t xml:space="preserve">Článek IX. </w:t>
      </w:r>
    </w:p>
    <w:p w:rsidR="0065669C" w:rsidRDefault="008F46E6">
      <w:pPr>
        <w:framePr w:w="9566" w:h="12959" w:wrap="auto" w:hAnchor="margin" w:x="359" w:y="359"/>
        <w:spacing w:line="249" w:lineRule="exact"/>
        <w:ind w:left="2759"/>
        <w:rPr>
          <w:b/>
          <w:szCs w:val="24"/>
        </w:rPr>
      </w:pPr>
      <w:r>
        <w:rPr>
          <w:b/>
          <w:szCs w:val="24"/>
        </w:rPr>
        <w:t xml:space="preserve">Rozhodné </w:t>
      </w:r>
      <w:r>
        <w:rPr>
          <w:b/>
          <w:szCs w:val="24"/>
        </w:rPr>
        <w:t xml:space="preserve">právo a způsob řešení sporů </w:t>
      </w:r>
    </w:p>
    <w:p w:rsidR="0065669C" w:rsidRDefault="008F46E6">
      <w:pPr>
        <w:framePr w:w="9566" w:h="12959" w:wrap="auto" w:hAnchor="margin" w:x="359" w:y="359"/>
        <w:numPr>
          <w:ilvl w:val="0"/>
          <w:numId w:val="17"/>
        </w:numPr>
        <w:spacing w:before="124" w:line="244" w:lineRule="exact"/>
        <w:ind w:left="374" w:right="14" w:hanging="359"/>
        <w:jc w:val="both"/>
        <w:rPr>
          <w:sz w:val="21"/>
          <w:szCs w:val="24"/>
        </w:rPr>
      </w:pPr>
      <w:r>
        <w:rPr>
          <w:sz w:val="21"/>
          <w:szCs w:val="24"/>
        </w:rPr>
        <w:t xml:space="preserve">Strany této smlouvy se dohodly, že se tato smlouva řídí výhradně českým právním </w:t>
      </w:r>
      <w:proofErr w:type="gramStart"/>
      <w:r>
        <w:rPr>
          <w:sz w:val="21"/>
          <w:szCs w:val="24"/>
        </w:rPr>
        <w:t>řádem</w:t>
      </w:r>
      <w:proofErr w:type="gramEnd"/>
      <w:r>
        <w:rPr>
          <w:sz w:val="21"/>
          <w:szCs w:val="24"/>
        </w:rPr>
        <w:t xml:space="preserve"> a to příslušnými ustanoveními kupní smlouvy podle zákona </w:t>
      </w:r>
      <w:r>
        <w:rPr>
          <w:rFonts w:ascii="Times New Roman" w:hAnsi="Times New Roman"/>
          <w:w w:val="200"/>
          <w:sz w:val="7"/>
          <w:szCs w:val="24"/>
        </w:rPr>
        <w:t xml:space="preserve">č. </w:t>
      </w:r>
      <w:r>
        <w:rPr>
          <w:sz w:val="21"/>
          <w:szCs w:val="24"/>
        </w:rPr>
        <w:t>89/2012 Sb., občanského zákoníku, ve znění pozdějších předpisů, a že rozhodným pr</w:t>
      </w:r>
      <w:r>
        <w:rPr>
          <w:sz w:val="21"/>
          <w:szCs w:val="24"/>
        </w:rPr>
        <w:t xml:space="preserve">ávem pro eventuální spory vzniklé z předmětu této smlouvy je právo </w:t>
      </w:r>
      <w:proofErr w:type="spellStart"/>
      <w:r>
        <w:rPr>
          <w:sz w:val="21"/>
          <w:szCs w:val="24"/>
        </w:rPr>
        <w:t>Ceské</w:t>
      </w:r>
      <w:proofErr w:type="spellEnd"/>
      <w:r>
        <w:rPr>
          <w:sz w:val="21"/>
          <w:szCs w:val="24"/>
        </w:rPr>
        <w:t xml:space="preserve"> republiky. </w:t>
      </w:r>
    </w:p>
    <w:p w:rsidR="0065669C" w:rsidRDefault="008F46E6">
      <w:pPr>
        <w:framePr w:w="9566" w:h="12959" w:wrap="auto" w:hAnchor="margin" w:x="359" w:y="359"/>
        <w:numPr>
          <w:ilvl w:val="0"/>
          <w:numId w:val="17"/>
        </w:numPr>
        <w:spacing w:before="124" w:line="244" w:lineRule="exact"/>
        <w:ind w:left="374" w:right="14" w:hanging="359"/>
        <w:jc w:val="both"/>
        <w:rPr>
          <w:sz w:val="21"/>
          <w:szCs w:val="24"/>
        </w:rPr>
      </w:pPr>
      <w:r>
        <w:rPr>
          <w:sz w:val="21"/>
          <w:szCs w:val="24"/>
        </w:rPr>
        <w:t>Všechny spory, které by mohly vzniknout z této smlouvy a v souvislosti s ní budou řešeny smírnou cestou. Nedojde-li mezi smluvními stranami ke smíru, budou tyto spory rozh</w:t>
      </w:r>
      <w:r>
        <w:rPr>
          <w:sz w:val="21"/>
          <w:szCs w:val="24"/>
        </w:rPr>
        <w:t xml:space="preserve">odovány obecným soudem, kdy místní příslušnost věcně příslušného soudu I. stupně se bude řídit obecným soudem prodávajícího. </w:t>
      </w:r>
    </w:p>
    <w:p w:rsidR="0065669C" w:rsidRDefault="008F46E6">
      <w:pPr>
        <w:framePr w:w="9566" w:h="12959" w:wrap="auto" w:hAnchor="margin" w:x="359" w:y="359"/>
        <w:spacing w:line="503" w:lineRule="exact"/>
        <w:ind w:left="4286"/>
        <w:rPr>
          <w:b/>
          <w:szCs w:val="24"/>
        </w:rPr>
      </w:pPr>
      <w:r>
        <w:rPr>
          <w:b/>
          <w:szCs w:val="24"/>
        </w:rPr>
        <w:t xml:space="preserve">Článek X. </w:t>
      </w:r>
    </w:p>
    <w:p w:rsidR="0065669C" w:rsidRDefault="008F46E6">
      <w:pPr>
        <w:framePr w:w="9566" w:h="12959" w:wrap="auto" w:hAnchor="margin" w:x="359" w:y="359"/>
        <w:spacing w:line="244" w:lineRule="exact"/>
        <w:ind w:left="2956"/>
        <w:rPr>
          <w:b/>
          <w:szCs w:val="24"/>
        </w:rPr>
      </w:pPr>
      <w:r>
        <w:rPr>
          <w:b/>
          <w:szCs w:val="24"/>
        </w:rPr>
        <w:t xml:space="preserve">Všeobecná a závěrečná ustanovení </w:t>
      </w:r>
    </w:p>
    <w:p w:rsidR="0065669C" w:rsidRDefault="008F46E6">
      <w:pPr>
        <w:framePr w:w="9566" w:h="12959" w:wrap="auto" w:hAnchor="margin" w:x="359" w:y="359"/>
        <w:numPr>
          <w:ilvl w:val="0"/>
          <w:numId w:val="17"/>
        </w:numPr>
        <w:spacing w:line="359" w:lineRule="exact"/>
        <w:ind w:left="369" w:right="3767" w:hanging="345"/>
        <w:rPr>
          <w:sz w:val="21"/>
          <w:szCs w:val="24"/>
        </w:rPr>
      </w:pPr>
      <w:r>
        <w:rPr>
          <w:sz w:val="21"/>
          <w:szCs w:val="24"/>
        </w:rPr>
        <w:t xml:space="preserve">Ve věcech plnění této smlouvy jsou kontaktními osobami: na straně </w:t>
      </w:r>
      <w:r>
        <w:rPr>
          <w:sz w:val="21"/>
          <w:szCs w:val="24"/>
        </w:rPr>
        <w:t xml:space="preserve">prodávajícího: </w:t>
      </w:r>
    </w:p>
    <w:p w:rsidR="0065669C" w:rsidRDefault="0065669C">
      <w:pPr>
        <w:framePr w:w="9566" w:h="12959" w:wrap="auto" w:hAnchor="margin" w:x="359" w:y="359"/>
        <w:spacing w:line="249" w:lineRule="exact"/>
        <w:ind w:left="369" w:right="1814"/>
        <w:rPr>
          <w:sz w:val="21"/>
          <w:szCs w:val="24"/>
        </w:rPr>
      </w:pPr>
    </w:p>
    <w:p w:rsidR="0065669C" w:rsidRDefault="008F46E6">
      <w:pPr>
        <w:framePr w:w="9566" w:h="12959" w:wrap="auto" w:hAnchor="margin" w:x="359" w:y="359"/>
        <w:spacing w:line="235" w:lineRule="exact"/>
        <w:ind w:left="364"/>
        <w:rPr>
          <w:sz w:val="21"/>
          <w:szCs w:val="24"/>
        </w:rPr>
      </w:pPr>
      <w:r>
        <w:rPr>
          <w:sz w:val="21"/>
          <w:szCs w:val="24"/>
        </w:rPr>
        <w:t xml:space="preserve">písemně pověřená osoba </w:t>
      </w:r>
    </w:p>
    <w:p w:rsidR="0065669C" w:rsidRDefault="008F46E6">
      <w:pPr>
        <w:framePr w:w="9566" w:h="12959" w:wrap="auto" w:hAnchor="margin" w:x="359" w:y="359"/>
        <w:spacing w:line="427" w:lineRule="exact"/>
        <w:ind w:left="369"/>
        <w:rPr>
          <w:sz w:val="21"/>
          <w:szCs w:val="24"/>
        </w:rPr>
      </w:pPr>
      <w:r>
        <w:rPr>
          <w:sz w:val="21"/>
          <w:szCs w:val="24"/>
        </w:rPr>
        <w:t xml:space="preserve">na straně kupujícího: </w:t>
      </w:r>
    </w:p>
    <w:p w:rsidR="0065669C" w:rsidRDefault="0065669C">
      <w:pPr>
        <w:framePr w:w="9566" w:h="12959" w:wrap="auto" w:hAnchor="margin" w:x="359" w:y="359"/>
        <w:spacing w:line="235" w:lineRule="exact"/>
        <w:ind w:left="364"/>
        <w:rPr>
          <w:sz w:val="21"/>
          <w:szCs w:val="24"/>
        </w:rPr>
      </w:pPr>
    </w:p>
    <w:p w:rsidR="0065669C" w:rsidRDefault="008F46E6">
      <w:pPr>
        <w:framePr w:w="9566" w:h="12959" w:wrap="auto" w:hAnchor="margin" w:x="359" w:y="359"/>
        <w:numPr>
          <w:ilvl w:val="0"/>
          <w:numId w:val="18"/>
        </w:numPr>
        <w:spacing w:before="124" w:line="244" w:lineRule="exact"/>
        <w:ind w:left="374" w:right="14" w:hanging="359"/>
        <w:jc w:val="both"/>
        <w:rPr>
          <w:sz w:val="21"/>
          <w:szCs w:val="24"/>
        </w:rPr>
      </w:pPr>
      <w:r>
        <w:rPr>
          <w:sz w:val="21"/>
          <w:szCs w:val="24"/>
        </w:rPr>
        <w:t xml:space="preserve">Tato smlouva nabývá platnosti dnem uzavření smlouvy, tj. dnem podpisu obou smluvních stran nebo osobami jimi zmocněnými. Tato smlouva nabývá účinnosti dnem jejího uveřejnění v registru smluv dle zákona č. 340/2015 Sb. </w:t>
      </w:r>
    </w:p>
    <w:p w:rsidR="0065669C" w:rsidRDefault="008F46E6">
      <w:pPr>
        <w:framePr w:w="9566" w:h="12959" w:wrap="auto" w:hAnchor="margin" w:x="359" w:y="359"/>
        <w:numPr>
          <w:ilvl w:val="0"/>
          <w:numId w:val="18"/>
        </w:numPr>
        <w:spacing w:before="124" w:line="244" w:lineRule="exact"/>
        <w:ind w:left="374" w:right="14" w:hanging="359"/>
        <w:jc w:val="both"/>
        <w:rPr>
          <w:sz w:val="21"/>
          <w:szCs w:val="24"/>
        </w:rPr>
      </w:pPr>
      <w:r>
        <w:rPr>
          <w:sz w:val="21"/>
          <w:szCs w:val="24"/>
        </w:rPr>
        <w:t>Smluvní strany se dohodly, že zveřejn</w:t>
      </w:r>
      <w:r>
        <w:rPr>
          <w:sz w:val="21"/>
          <w:szCs w:val="24"/>
        </w:rPr>
        <w:t xml:space="preserve">ění této smlouvy prostřednictvím registru smluv dle zákona č. 340/2015 Sb., o zvláštních podmínkách účinnosti některých smluv, uveřejňováni těchto smluv a o registru smluv (registr smluv) ve znění pozdějších předpisů provede kupující. </w:t>
      </w:r>
    </w:p>
    <w:p w:rsidR="0065669C" w:rsidRDefault="008F46E6">
      <w:pPr>
        <w:framePr w:w="9566" w:h="12959" w:wrap="auto" w:hAnchor="margin" w:x="359" w:y="359"/>
        <w:numPr>
          <w:ilvl w:val="0"/>
          <w:numId w:val="18"/>
        </w:numPr>
        <w:spacing w:before="124" w:line="244" w:lineRule="exact"/>
        <w:ind w:left="374" w:right="14" w:hanging="359"/>
        <w:jc w:val="both"/>
        <w:rPr>
          <w:sz w:val="21"/>
          <w:szCs w:val="24"/>
        </w:rPr>
      </w:pPr>
      <w:r>
        <w:rPr>
          <w:sz w:val="21"/>
          <w:szCs w:val="24"/>
        </w:rPr>
        <w:t>Smluvní strany souhl</w:t>
      </w:r>
      <w:r>
        <w:rPr>
          <w:sz w:val="21"/>
          <w:szCs w:val="24"/>
        </w:rPr>
        <w:t xml:space="preserve">así se zveřejněním této smlouvy v registru smluv v plném znění, zejména pak prohlašují, že žádná část smlouvy nenaplňuje znaky obchodního tajemství ve smyslu§ 504 zákona </w:t>
      </w:r>
      <w:r>
        <w:rPr>
          <w:rFonts w:ascii="Times New Roman" w:hAnsi="Times New Roman"/>
          <w:w w:val="200"/>
          <w:sz w:val="6"/>
          <w:szCs w:val="24"/>
        </w:rPr>
        <w:t xml:space="preserve">č. </w:t>
      </w:r>
      <w:r>
        <w:rPr>
          <w:sz w:val="21"/>
          <w:szCs w:val="24"/>
        </w:rPr>
        <w:t xml:space="preserve">89/2012 Sb., občanský zákoník. </w:t>
      </w:r>
    </w:p>
    <w:p w:rsidR="0065669C" w:rsidRDefault="008F46E6">
      <w:pPr>
        <w:framePr w:w="9566" w:h="12959" w:wrap="auto" w:hAnchor="margin" w:x="359" w:y="359"/>
        <w:numPr>
          <w:ilvl w:val="0"/>
          <w:numId w:val="18"/>
        </w:numPr>
        <w:spacing w:before="124" w:line="244" w:lineRule="exact"/>
        <w:ind w:left="374" w:right="14" w:hanging="359"/>
        <w:jc w:val="both"/>
        <w:rPr>
          <w:sz w:val="21"/>
          <w:szCs w:val="24"/>
        </w:rPr>
      </w:pPr>
      <w:r>
        <w:rPr>
          <w:sz w:val="21"/>
          <w:szCs w:val="24"/>
        </w:rPr>
        <w:t xml:space="preserve">Touto smlouvou se zároveň v celém rozsahu ruší a </w:t>
      </w:r>
      <w:r>
        <w:rPr>
          <w:sz w:val="21"/>
          <w:szCs w:val="24"/>
        </w:rPr>
        <w:t xml:space="preserve">nahrazují veškerá předchozí ústní, písemná či jiná ujednáni týkající se předmětu této smlouvy, která byla mezi smluvními stranami uzavřena v době před podpisem této smlouvy. </w:t>
      </w:r>
    </w:p>
    <w:p w:rsidR="0065669C" w:rsidRDefault="008F46E6">
      <w:pPr>
        <w:framePr w:w="9566" w:h="12959" w:wrap="auto" w:hAnchor="margin" w:x="359" w:y="359"/>
        <w:numPr>
          <w:ilvl w:val="0"/>
          <w:numId w:val="18"/>
        </w:numPr>
        <w:spacing w:before="124" w:line="244" w:lineRule="exact"/>
        <w:ind w:left="374" w:right="14" w:hanging="359"/>
        <w:jc w:val="both"/>
        <w:rPr>
          <w:sz w:val="21"/>
          <w:szCs w:val="24"/>
        </w:rPr>
      </w:pPr>
      <w:r>
        <w:rPr>
          <w:sz w:val="21"/>
          <w:szCs w:val="24"/>
        </w:rPr>
        <w:t>Tato smlouva může být měněna pouze písemnými souvisle vzestupně číslovanými dodat</w:t>
      </w:r>
      <w:r>
        <w:rPr>
          <w:sz w:val="21"/>
          <w:szCs w:val="24"/>
        </w:rPr>
        <w:t xml:space="preserve">ky podepsanými oběma smluvními stranami. Forma ústních dodatků je tímto mezi smluvními stranami vyloučena. </w:t>
      </w:r>
    </w:p>
    <w:p w:rsidR="0065669C" w:rsidRDefault="008F46E6">
      <w:pPr>
        <w:framePr w:w="9551" w:h="201" w:wrap="auto" w:hAnchor="margin" w:x="359" w:y="14442"/>
        <w:spacing w:line="201" w:lineRule="exact"/>
        <w:ind w:left="9134"/>
        <w:rPr>
          <w:rFonts w:ascii="Times New Roman" w:hAnsi="Times New Roman"/>
          <w:w w:val="92"/>
          <w:sz w:val="19"/>
          <w:szCs w:val="24"/>
        </w:rPr>
      </w:pPr>
      <w:r>
        <w:rPr>
          <w:rFonts w:ascii="Times New Roman" w:hAnsi="Times New Roman"/>
          <w:w w:val="92"/>
          <w:sz w:val="19"/>
          <w:szCs w:val="24"/>
        </w:rPr>
        <w:t xml:space="preserve">5 </w:t>
      </w:r>
    </w:p>
    <w:p w:rsidR="0065669C" w:rsidRDefault="0065669C">
      <w:pPr>
        <w:rPr>
          <w:rFonts w:ascii="Times New Roman" w:hAnsi="Times New Roman"/>
          <w:sz w:val="19"/>
          <w:szCs w:val="24"/>
        </w:rPr>
        <w:sectPr w:rsidR="0065669C">
          <w:pgSz w:w="11900" w:h="16840"/>
          <w:pgMar w:top="1189" w:right="1042" w:bottom="360" w:left="931" w:header="708" w:footer="708" w:gutter="0"/>
          <w:cols w:space="708"/>
        </w:sectPr>
      </w:pPr>
    </w:p>
    <w:p w:rsidR="0065669C" w:rsidRDefault="0065669C">
      <w:pPr>
        <w:rPr>
          <w:rFonts w:ascii="Times New Roman" w:hAnsi="Times New Roman"/>
          <w:sz w:val="2"/>
          <w:szCs w:val="24"/>
        </w:rPr>
      </w:pPr>
    </w:p>
    <w:p w:rsidR="0065669C" w:rsidRDefault="008F46E6">
      <w:pPr>
        <w:framePr w:w="9494" w:h="3235" w:wrap="auto" w:hAnchor="margin" w:x="368" w:y="359"/>
        <w:numPr>
          <w:ilvl w:val="0"/>
          <w:numId w:val="19"/>
        </w:numPr>
        <w:spacing w:before="4" w:line="235" w:lineRule="exact"/>
        <w:ind w:left="364" w:right="4" w:hanging="345"/>
        <w:jc w:val="both"/>
        <w:rPr>
          <w:szCs w:val="24"/>
        </w:rPr>
      </w:pPr>
      <w:r>
        <w:rPr>
          <w:szCs w:val="24"/>
        </w:rPr>
        <w:t>Smluvní strany prohlašují, že jejich způsobilost k právním jednáním a jejich volnost uzavřít tuto smlouvu jakož i jejich způ</w:t>
      </w:r>
      <w:r>
        <w:rPr>
          <w:szCs w:val="24"/>
        </w:rPr>
        <w:t xml:space="preserve">sobilost k souvisejícím právním jednáním není nijak omezena nebo vyloučena. </w:t>
      </w:r>
    </w:p>
    <w:p w:rsidR="0065669C" w:rsidRDefault="008F46E6">
      <w:pPr>
        <w:framePr w:w="9494" w:h="3235" w:wrap="auto" w:hAnchor="margin" w:x="368" w:y="359"/>
        <w:numPr>
          <w:ilvl w:val="0"/>
          <w:numId w:val="19"/>
        </w:numPr>
        <w:spacing w:before="143" w:line="239" w:lineRule="exact"/>
        <w:ind w:left="355" w:right="4" w:hanging="345"/>
        <w:jc w:val="both"/>
        <w:rPr>
          <w:szCs w:val="24"/>
        </w:rPr>
      </w:pPr>
      <w:r>
        <w:rPr>
          <w:szCs w:val="24"/>
        </w:rPr>
        <w:t>Smluvní strany prohlašují, že si tuto smlouvu včetně příloh před jejím podpisem přečetly, a že textu smlouvy včetně příloh v úplnosti rozumí, že vyjadřuje plně projev jejich svobo</w:t>
      </w:r>
      <w:r>
        <w:rPr>
          <w:szCs w:val="24"/>
        </w:rPr>
        <w:t xml:space="preserve">dné a vážné vůle, na důkaz čehož připojují své podpisy. </w:t>
      </w:r>
    </w:p>
    <w:p w:rsidR="0065669C" w:rsidRDefault="008F46E6">
      <w:pPr>
        <w:framePr w:w="9494" w:h="3235" w:wrap="auto" w:hAnchor="margin" w:x="368" w:y="359"/>
        <w:numPr>
          <w:ilvl w:val="0"/>
          <w:numId w:val="19"/>
        </w:numPr>
        <w:spacing w:line="374" w:lineRule="exact"/>
        <w:ind w:left="359" w:hanging="345"/>
        <w:rPr>
          <w:szCs w:val="24"/>
        </w:rPr>
      </w:pPr>
      <w:r>
        <w:rPr>
          <w:szCs w:val="24"/>
        </w:rPr>
        <w:t xml:space="preserve">Smluvní strany prohlašují, že tuto smlouvu neuzavřely za nápadně nevýhodných podmínek. </w:t>
      </w:r>
    </w:p>
    <w:p w:rsidR="0065669C" w:rsidRDefault="008F46E6">
      <w:pPr>
        <w:framePr w:w="9494" w:h="3235" w:wrap="auto" w:hAnchor="margin" w:x="368" w:y="359"/>
        <w:spacing w:before="374" w:line="235" w:lineRule="exact"/>
        <w:ind w:left="355" w:right="4" w:hanging="355"/>
        <w:rPr>
          <w:szCs w:val="24"/>
        </w:rPr>
      </w:pPr>
      <w:r>
        <w:rPr>
          <w:szCs w:val="24"/>
        </w:rPr>
        <w:t>1 O) Tato smlouva včetně příloh je vyhotovena ve dvou vyhotoveních, z nichž prodávající obdrží dvě vyhotovení a</w:t>
      </w:r>
      <w:r>
        <w:rPr>
          <w:szCs w:val="24"/>
        </w:rPr>
        <w:t xml:space="preserve"> kupující také dvě vyhotovení. </w:t>
      </w:r>
    </w:p>
    <w:p w:rsidR="0065669C" w:rsidRDefault="008F46E6">
      <w:pPr>
        <w:framePr w:w="9494" w:h="3235" w:wrap="auto" w:hAnchor="margin" w:x="368" w:y="359"/>
        <w:numPr>
          <w:ilvl w:val="0"/>
          <w:numId w:val="20"/>
        </w:numPr>
        <w:spacing w:line="374" w:lineRule="exact"/>
        <w:ind w:left="359" w:hanging="345"/>
        <w:rPr>
          <w:szCs w:val="24"/>
        </w:rPr>
      </w:pPr>
      <w:proofErr w:type="gramStart"/>
      <w:r>
        <w:rPr>
          <w:szCs w:val="24"/>
        </w:rPr>
        <w:t>Přílohy :</w:t>
      </w:r>
      <w:proofErr w:type="gramEnd"/>
      <w:r>
        <w:rPr>
          <w:szCs w:val="24"/>
        </w:rPr>
        <w:t xml:space="preserve"> Příloha č. 1 - Specifikace zboží a cena zboží uvedená položkovým rozpočtem </w:t>
      </w:r>
    </w:p>
    <w:p w:rsidR="0065669C" w:rsidRDefault="008F46E6">
      <w:pPr>
        <w:framePr w:w="3067" w:h="278" w:wrap="auto" w:hAnchor="margin" w:x="364" w:y="4012"/>
        <w:spacing w:line="230" w:lineRule="exact"/>
        <w:rPr>
          <w:szCs w:val="24"/>
          <w:u w:val="single"/>
        </w:rPr>
      </w:pPr>
      <w:r>
        <w:rPr>
          <w:szCs w:val="24"/>
          <w:u w:val="single"/>
        </w:rPr>
        <w:t xml:space="preserve">Za prodávajícího: </w:t>
      </w:r>
    </w:p>
    <w:p w:rsidR="0065669C" w:rsidRDefault="008F46E6">
      <w:pPr>
        <w:framePr w:w="4564" w:h="1012" w:wrap="auto" w:hAnchor="margin" w:x="5192" w:y="4036"/>
        <w:spacing w:line="230" w:lineRule="exact"/>
        <w:rPr>
          <w:szCs w:val="24"/>
          <w:u w:val="single"/>
        </w:rPr>
      </w:pPr>
      <w:r>
        <w:rPr>
          <w:szCs w:val="24"/>
          <w:u w:val="single"/>
        </w:rPr>
        <w:t xml:space="preserve">Za kupujícího: </w:t>
      </w:r>
    </w:p>
    <w:p w:rsidR="0065669C" w:rsidRDefault="008F46E6">
      <w:pPr>
        <w:framePr w:w="4564" w:h="1012" w:wrap="auto" w:hAnchor="margin" w:x="5192" w:y="4036"/>
        <w:tabs>
          <w:tab w:val="left" w:leader="dot" w:pos="4070"/>
        </w:tabs>
        <w:spacing w:line="729" w:lineRule="exact"/>
        <w:rPr>
          <w:rFonts w:ascii="Times New Roman" w:hAnsi="Times New Roman"/>
          <w:sz w:val="23"/>
          <w:szCs w:val="24"/>
        </w:rPr>
      </w:pPr>
      <w:r>
        <w:rPr>
          <w:szCs w:val="24"/>
        </w:rPr>
        <w:t xml:space="preserve">V Novém Městě nad </w:t>
      </w:r>
      <w:proofErr w:type="gramStart"/>
      <w:r>
        <w:rPr>
          <w:szCs w:val="24"/>
        </w:rPr>
        <w:t>Metují„</w:t>
      </w:r>
      <w:proofErr w:type="gramEnd"/>
      <w:r>
        <w:rPr>
          <w:szCs w:val="24"/>
        </w:rPr>
        <w:t>.</w:t>
      </w:r>
      <w:proofErr w:type="spellStart"/>
      <w:r>
        <w:rPr>
          <w:szCs w:val="24"/>
        </w:rPr>
        <w:t>J.f</w:t>
      </w:r>
      <w:proofErr w:type="spellEnd"/>
      <w:r>
        <w:rPr>
          <w:szCs w:val="24"/>
        </w:rPr>
        <w:t xml:space="preserve"> .. </w:t>
      </w:r>
      <w:proofErr w:type="gramStart"/>
      <w:r>
        <w:rPr>
          <w:rFonts w:ascii="Times New Roman" w:hAnsi="Times New Roman"/>
          <w:w w:val="75"/>
          <w:sz w:val="47"/>
          <w:szCs w:val="24"/>
        </w:rPr>
        <w:t>!•</w:t>
      </w:r>
      <w:proofErr w:type="gramEnd"/>
      <w:r>
        <w:rPr>
          <w:rFonts w:ascii="Times New Roman" w:hAnsi="Times New Roman"/>
          <w:w w:val="75"/>
          <w:sz w:val="47"/>
          <w:szCs w:val="24"/>
        </w:rPr>
        <w:t xml:space="preserve">t: </w:t>
      </w:r>
      <w:r>
        <w:rPr>
          <w:rFonts w:ascii="Times New Roman" w:hAnsi="Times New Roman"/>
          <w:w w:val="75"/>
          <w:sz w:val="47"/>
          <w:szCs w:val="24"/>
        </w:rPr>
        <w:tab/>
      </w:r>
      <w:r>
        <w:rPr>
          <w:rFonts w:ascii="Times New Roman" w:hAnsi="Times New Roman"/>
          <w:sz w:val="23"/>
          <w:szCs w:val="24"/>
        </w:rPr>
        <w:t xml:space="preserve">2019 </w:t>
      </w:r>
    </w:p>
    <w:p w:rsidR="0065669C" w:rsidRDefault="008F46E6">
      <w:pPr>
        <w:framePr w:w="3950" w:h="527" w:wrap="auto" w:hAnchor="margin" w:x="364" w:y="4458"/>
        <w:tabs>
          <w:tab w:val="left" w:leader="dot" w:pos="3450"/>
        </w:tabs>
        <w:spacing w:line="513" w:lineRule="exact"/>
        <w:rPr>
          <w:rFonts w:ascii="Times New Roman" w:hAnsi="Times New Roman"/>
          <w:sz w:val="23"/>
          <w:szCs w:val="24"/>
        </w:rPr>
      </w:pPr>
      <w:r>
        <w:rPr>
          <w:szCs w:val="24"/>
        </w:rPr>
        <w:t xml:space="preserve">V </w:t>
      </w:r>
      <w:proofErr w:type="gramStart"/>
      <w:r>
        <w:rPr>
          <w:szCs w:val="24"/>
        </w:rPr>
        <w:t>2:elevčícich</w:t>
      </w:r>
      <w:proofErr w:type="gramEnd"/>
      <w:r>
        <w:rPr>
          <w:szCs w:val="24"/>
        </w:rPr>
        <w:t xml:space="preserve"> </w:t>
      </w:r>
      <w:proofErr w:type="spellStart"/>
      <w:r>
        <w:rPr>
          <w:szCs w:val="24"/>
        </w:rPr>
        <w:t>dne„J</w:t>
      </w:r>
      <w:proofErr w:type="spellEnd"/>
      <w:r>
        <w:rPr>
          <w:szCs w:val="24"/>
        </w:rPr>
        <w:t xml:space="preserve">.~ .. </w:t>
      </w:r>
      <w:proofErr w:type="gramStart"/>
      <w:r>
        <w:rPr>
          <w:w w:val="62"/>
          <w:sz w:val="45"/>
          <w:szCs w:val="24"/>
        </w:rPr>
        <w:t>f!..</w:t>
      </w:r>
      <w:proofErr w:type="gramEnd"/>
      <w:r>
        <w:rPr>
          <w:w w:val="62"/>
          <w:sz w:val="45"/>
          <w:szCs w:val="24"/>
        </w:rPr>
        <w:t xml:space="preserve">: </w:t>
      </w:r>
      <w:r>
        <w:rPr>
          <w:w w:val="62"/>
          <w:sz w:val="45"/>
          <w:szCs w:val="24"/>
        </w:rPr>
        <w:tab/>
      </w:r>
      <w:r>
        <w:rPr>
          <w:rFonts w:ascii="Times New Roman" w:hAnsi="Times New Roman"/>
          <w:sz w:val="23"/>
          <w:szCs w:val="24"/>
        </w:rPr>
        <w:t xml:space="preserve">2019 </w:t>
      </w:r>
    </w:p>
    <w:p w:rsidR="0065669C" w:rsidRDefault="008F46E6">
      <w:pPr>
        <w:framePr w:w="3071" w:h="259" w:wrap="auto" w:hAnchor="margin" w:x="359" w:y="6076"/>
        <w:spacing w:line="230" w:lineRule="exact"/>
        <w:ind w:left="4"/>
        <w:rPr>
          <w:i/>
          <w:szCs w:val="24"/>
        </w:rPr>
      </w:pPr>
      <w:r>
        <w:rPr>
          <w:i/>
          <w:szCs w:val="24"/>
        </w:rPr>
        <w:t xml:space="preserve">obchodní </w:t>
      </w:r>
      <w:proofErr w:type="spellStart"/>
      <w:r>
        <w:rPr>
          <w:i/>
          <w:szCs w:val="24"/>
        </w:rPr>
        <w:t>feditel</w:t>
      </w:r>
      <w:proofErr w:type="spellEnd"/>
      <w:r>
        <w:rPr>
          <w:i/>
          <w:szCs w:val="24"/>
        </w:rPr>
        <w:t xml:space="preserve"> </w:t>
      </w:r>
    </w:p>
    <w:p w:rsidR="0065669C" w:rsidRDefault="0065669C">
      <w:pPr>
        <w:framePr w:w="1478" w:h="633" w:wrap="auto" w:hAnchor="margin" w:x="6258" w:y="5504"/>
        <w:rPr>
          <w:szCs w:val="24"/>
        </w:rPr>
      </w:pPr>
    </w:p>
    <w:p w:rsidR="0065669C" w:rsidRDefault="0065669C">
      <w:pPr>
        <w:framePr w:w="1996" w:h="518" w:wrap="auto" w:hAnchor="margin" w:x="767" w:y="5543"/>
        <w:rPr>
          <w:szCs w:val="24"/>
        </w:rPr>
      </w:pPr>
    </w:p>
    <w:p w:rsidR="0065669C" w:rsidRDefault="008F46E6">
      <w:pPr>
        <w:framePr w:w="3359" w:h="230" w:wrap="auto" w:hAnchor="margin" w:x="5197" w:y="6138"/>
        <w:spacing w:line="230" w:lineRule="exact"/>
        <w:ind w:left="4"/>
        <w:rPr>
          <w:i/>
          <w:szCs w:val="24"/>
        </w:rPr>
      </w:pPr>
      <w:r>
        <w:rPr>
          <w:szCs w:val="24"/>
        </w:rPr>
        <w:t xml:space="preserve">- </w:t>
      </w:r>
      <w:r>
        <w:rPr>
          <w:i/>
          <w:szCs w:val="24"/>
        </w:rPr>
        <w:t xml:space="preserve">ředitelka </w:t>
      </w:r>
    </w:p>
    <w:p w:rsidR="0065669C" w:rsidRDefault="0065669C">
      <w:pPr>
        <w:framePr w:w="1555" w:h="729" w:wrap="auto" w:hAnchor="margin" w:x="1324" w:y="6829"/>
        <w:rPr>
          <w:szCs w:val="24"/>
        </w:rPr>
      </w:pPr>
    </w:p>
    <w:p w:rsidR="0065669C" w:rsidRDefault="008F46E6">
      <w:pPr>
        <w:framePr w:w="3580" w:h="187" w:wrap="auto" w:hAnchor="margin" w:x="5946" w:y="14456"/>
        <w:spacing w:line="187" w:lineRule="exact"/>
        <w:ind w:left="3494"/>
        <w:rPr>
          <w:sz w:val="16"/>
          <w:szCs w:val="24"/>
        </w:rPr>
      </w:pPr>
      <w:r>
        <w:rPr>
          <w:sz w:val="16"/>
          <w:szCs w:val="24"/>
        </w:rPr>
        <w:t>6</w:t>
      </w:r>
      <w:r>
        <w:rPr>
          <w:sz w:val="16"/>
          <w:szCs w:val="24"/>
        </w:rPr>
        <w:t xml:space="preserve"> </w:t>
      </w:r>
    </w:p>
    <w:sectPr w:rsidR="0065669C">
      <w:pgSz w:w="11900" w:h="16840"/>
      <w:pgMar w:top="1189" w:right="1133" w:bottom="360" w:left="9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egacy w:legacy="1" w:legacySpace="0" w:legacyIndent="0"/>
      <w:lvlJc w:val="left"/>
      <w:rPr>
        <w:rFonts w:ascii="Times New Roman" w:hAnsi="Times New Roman"/>
      </w:rPr>
    </w:lvl>
  </w:abstractNum>
  <w:abstractNum w:abstractNumId="1" w15:restartNumberingAfterBreak="0">
    <w:nsid w:val="00000004"/>
    <w:multiLevelType w:val="singleLevel"/>
    <w:tmpl w:val="00000004"/>
    <w:lvl w:ilvl="0">
      <w:start w:val="2"/>
      <w:numFmt w:val="decimal"/>
      <w:lvlText w:val="%1)"/>
      <w:legacy w:legacy="1" w:legacySpace="0" w:legacyIndent="0"/>
      <w:lvlJc w:val="left"/>
      <w:rPr>
        <w:rFonts w:ascii="Times New Roman" w:hAnsi="Times New Roman"/>
      </w:rPr>
    </w:lvl>
  </w:abstractNum>
  <w:abstractNum w:abstractNumId="2" w15:restartNumberingAfterBreak="0">
    <w:nsid w:val="00000005"/>
    <w:multiLevelType w:val="singleLevel"/>
    <w:tmpl w:val="00000005"/>
    <w:lvl w:ilvl="0">
      <w:start w:val="1"/>
      <w:numFmt w:val="lowerLetter"/>
      <w:lvlText w:val=")"/>
      <w:legacy w:legacy="1" w:legacySpace="0" w:legacyIndent="0"/>
      <w:lvlJc w:val="left"/>
      <w:rPr>
        <w:rFonts w:ascii="Times New Roman" w:hAnsi="Times New Roman"/>
      </w:rPr>
    </w:lvl>
  </w:abstractNum>
  <w:abstractNum w:abstractNumId="3" w15:restartNumberingAfterBreak="0">
    <w:nsid w:val="00000009"/>
    <w:multiLevelType w:val="singleLevel"/>
    <w:tmpl w:val="00000009"/>
    <w:lvl w:ilvl="0">
      <w:start w:val="3"/>
      <w:numFmt w:val="decimal"/>
      <w:lvlText w:val="%1)"/>
      <w:legacy w:legacy="1" w:legacySpace="0" w:legacyIndent="0"/>
      <w:lvlJc w:val="left"/>
      <w:rPr>
        <w:rFonts w:ascii="Times New Roman" w:hAnsi="Times New Roman"/>
      </w:rPr>
    </w:lvl>
  </w:abstractNum>
  <w:abstractNum w:abstractNumId="4" w15:restartNumberingAfterBreak="0">
    <w:nsid w:val="0000000A"/>
    <w:multiLevelType w:val="singleLevel"/>
    <w:tmpl w:val="0000000A"/>
    <w:lvl w:ilvl="0">
      <w:start w:val="2"/>
      <w:numFmt w:val="decimal"/>
      <w:lvlText w:val="%1)"/>
      <w:legacy w:legacy="1" w:legacySpace="0" w:legacyIndent="0"/>
      <w:lvlJc w:val="left"/>
      <w:rPr>
        <w:rFonts w:ascii="Times New Roman" w:hAnsi="Times New Roman"/>
      </w:rPr>
    </w:lvl>
  </w:abstractNum>
  <w:abstractNum w:abstractNumId="5" w15:restartNumberingAfterBreak="0">
    <w:nsid w:val="0000000C"/>
    <w:multiLevelType w:val="singleLevel"/>
    <w:tmpl w:val="0000000C"/>
    <w:lvl w:ilvl="0">
      <w:start w:val="4"/>
      <w:numFmt w:val="decimal"/>
      <w:lvlText w:val="%1)"/>
      <w:legacy w:legacy="1" w:legacySpace="0" w:legacyIndent="0"/>
      <w:lvlJc w:val="left"/>
      <w:rPr>
        <w:rFonts w:ascii="Times New Roman" w:hAnsi="Times New Roman"/>
      </w:rPr>
    </w:lvl>
  </w:abstractNum>
  <w:abstractNum w:abstractNumId="6" w15:restartNumberingAfterBreak="0">
    <w:nsid w:val="0000000D"/>
    <w:multiLevelType w:val="singleLevel"/>
    <w:tmpl w:val="0000000D"/>
    <w:lvl w:ilvl="0">
      <w:start w:val="5"/>
      <w:numFmt w:val="decimal"/>
      <w:lvlText w:val="%1)"/>
      <w:legacy w:legacy="1" w:legacySpace="0" w:legacyIndent="0"/>
      <w:lvlJc w:val="left"/>
      <w:rPr>
        <w:rFonts w:ascii="Times New Roman" w:hAnsi="Times New Roman"/>
      </w:rPr>
    </w:lvl>
  </w:abstractNum>
  <w:abstractNum w:abstractNumId="7" w15:restartNumberingAfterBreak="0">
    <w:nsid w:val="0000000F"/>
    <w:multiLevelType w:val="singleLevel"/>
    <w:tmpl w:val="0000000F"/>
    <w:lvl w:ilvl="0">
      <w:start w:val="1"/>
      <w:numFmt w:val="decimal"/>
      <w:lvlText w:val="%1)"/>
      <w:legacy w:legacy="1" w:legacySpace="0" w:legacyIndent="0"/>
      <w:lvlJc w:val="left"/>
      <w:rPr>
        <w:rFonts w:ascii="Times New Roman" w:hAnsi="Times New Roman"/>
      </w:rPr>
    </w:lvl>
  </w:abstractNum>
  <w:abstractNum w:abstractNumId="8" w15:restartNumberingAfterBreak="0">
    <w:nsid w:val="00000011"/>
    <w:multiLevelType w:val="singleLevel"/>
    <w:tmpl w:val="00000011"/>
    <w:lvl w:ilvl="0">
      <w:start w:val="3"/>
      <w:numFmt w:val="decimal"/>
      <w:lvlText w:val="%1)"/>
      <w:legacy w:legacy="1" w:legacySpace="0" w:legacyIndent="0"/>
      <w:lvlJc w:val="left"/>
      <w:rPr>
        <w:rFonts w:ascii="Times New Roman" w:hAnsi="Times New Roman"/>
      </w:rPr>
    </w:lvl>
  </w:abstractNum>
  <w:abstractNum w:abstractNumId="9" w15:restartNumberingAfterBreak="0">
    <w:nsid w:val="00000012"/>
    <w:multiLevelType w:val="singleLevel"/>
    <w:tmpl w:val="00000012"/>
    <w:lvl w:ilvl="0">
      <w:start w:val="1"/>
      <w:numFmt w:val="decimal"/>
      <w:lvlText w:val="%1)"/>
      <w:legacy w:legacy="1" w:legacySpace="0" w:legacyIndent="0"/>
      <w:lvlJc w:val="left"/>
      <w:rPr>
        <w:rFonts w:ascii="Times New Roman" w:hAnsi="Times New Roman"/>
      </w:rPr>
    </w:lvl>
  </w:abstractNum>
  <w:abstractNum w:abstractNumId="10" w15:restartNumberingAfterBreak="0">
    <w:nsid w:val="00000014"/>
    <w:multiLevelType w:val="singleLevel"/>
    <w:tmpl w:val="00000014"/>
    <w:lvl w:ilvl="0">
      <w:start w:val="3"/>
      <w:numFmt w:val="decimal"/>
      <w:lvlText w:val="%1)"/>
      <w:legacy w:legacy="1" w:legacySpace="0" w:legacyIndent="0"/>
      <w:lvlJc w:val="left"/>
      <w:rPr>
        <w:rFonts w:ascii="Times New Roman" w:hAnsi="Times New Roman"/>
      </w:rPr>
    </w:lvl>
  </w:abstractNum>
  <w:abstractNum w:abstractNumId="11" w15:restartNumberingAfterBreak="0">
    <w:nsid w:val="00000015"/>
    <w:multiLevelType w:val="singleLevel"/>
    <w:tmpl w:val="00000015"/>
    <w:lvl w:ilvl="0">
      <w:start w:val="4"/>
      <w:numFmt w:val="decimal"/>
      <w:lvlText w:val="%1)"/>
      <w:legacy w:legacy="1" w:legacySpace="0" w:legacyIndent="0"/>
      <w:lvlJc w:val="left"/>
      <w:rPr>
        <w:rFonts w:ascii="Times New Roman" w:hAnsi="Times New Roman"/>
      </w:rPr>
    </w:lvl>
  </w:abstractNum>
  <w:abstractNum w:abstractNumId="12" w15:restartNumberingAfterBreak="0">
    <w:nsid w:val="00000018"/>
    <w:multiLevelType w:val="singleLevel"/>
    <w:tmpl w:val="00000018"/>
    <w:lvl w:ilvl="0">
      <w:start w:val="1"/>
      <w:numFmt w:val="decimal"/>
      <w:lvlText w:val="%1)"/>
      <w:legacy w:legacy="1" w:legacySpace="0" w:legacyIndent="0"/>
      <w:lvlJc w:val="left"/>
      <w:rPr>
        <w:rFonts w:ascii="Times New Roman" w:hAnsi="Times New Roman"/>
      </w:rPr>
    </w:lvl>
  </w:abstractNum>
  <w:abstractNum w:abstractNumId="13" w15:restartNumberingAfterBreak="0">
    <w:nsid w:val="0000001B"/>
    <w:multiLevelType w:val="singleLevel"/>
    <w:tmpl w:val="0000001B"/>
    <w:lvl w:ilvl="0">
      <w:start w:val="4"/>
      <w:numFmt w:val="decimal"/>
      <w:lvlText w:val="%1)"/>
      <w:legacy w:legacy="1" w:legacySpace="0" w:legacyIndent="0"/>
      <w:lvlJc w:val="left"/>
      <w:rPr>
        <w:rFonts w:ascii="Times New Roman" w:hAnsi="Times New Roman"/>
      </w:rPr>
    </w:lvl>
  </w:abstractNum>
  <w:abstractNum w:abstractNumId="14" w15:restartNumberingAfterBreak="0">
    <w:nsid w:val="0000001C"/>
    <w:multiLevelType w:val="singleLevel"/>
    <w:tmpl w:val="0000001C"/>
    <w:lvl w:ilvl="0">
      <w:start w:val="1"/>
      <w:numFmt w:val="decimal"/>
      <w:lvlText w:val="%1)"/>
      <w:legacy w:legacy="1" w:legacySpace="0" w:legacyIndent="0"/>
      <w:lvlJc w:val="left"/>
      <w:rPr>
        <w:rFonts w:ascii="Times New Roman" w:hAnsi="Times New Roman"/>
      </w:rPr>
    </w:lvl>
  </w:abstractNum>
  <w:abstractNum w:abstractNumId="15" w15:restartNumberingAfterBreak="0">
    <w:nsid w:val="00000025"/>
    <w:multiLevelType w:val="singleLevel"/>
    <w:tmpl w:val="00000025"/>
    <w:lvl w:ilvl="0">
      <w:start w:val="2"/>
      <w:numFmt w:val="decimal"/>
      <w:lvlText w:val="%1)"/>
      <w:legacy w:legacy="1" w:legacySpace="0" w:legacyIndent="0"/>
      <w:lvlJc w:val="left"/>
      <w:rPr>
        <w:rFonts w:ascii="Times New Roman" w:hAnsi="Times New Roman"/>
      </w:rPr>
    </w:lvl>
  </w:abstractNum>
  <w:abstractNum w:abstractNumId="16" w15:restartNumberingAfterBreak="0">
    <w:nsid w:val="00000028"/>
    <w:multiLevelType w:val="singleLevel"/>
    <w:tmpl w:val="00000028"/>
    <w:lvl w:ilvl="0">
      <w:start w:val="1"/>
      <w:numFmt w:val="decimal"/>
      <w:lvlText w:val="%1)"/>
      <w:legacy w:legacy="1" w:legacySpace="0" w:legacyIndent="0"/>
      <w:lvlJc w:val="left"/>
      <w:rPr>
        <w:rFonts w:ascii="Times New Roman" w:hAnsi="Times New Roman"/>
      </w:rPr>
    </w:lvl>
  </w:abstractNum>
  <w:abstractNum w:abstractNumId="17" w15:restartNumberingAfterBreak="0">
    <w:nsid w:val="0000002B"/>
    <w:multiLevelType w:val="singleLevel"/>
    <w:tmpl w:val="0000002B"/>
    <w:lvl w:ilvl="0">
      <w:start w:val="2"/>
      <w:numFmt w:val="decimal"/>
      <w:lvlText w:val="%1)"/>
      <w:legacy w:legacy="1" w:legacySpace="0" w:legacyIndent="0"/>
      <w:lvlJc w:val="left"/>
      <w:rPr>
        <w:rFonts w:ascii="Times New Roman" w:hAnsi="Times New Roman"/>
      </w:rPr>
    </w:lvl>
  </w:abstractNum>
  <w:abstractNum w:abstractNumId="18" w15:restartNumberingAfterBreak="0">
    <w:nsid w:val="00000030"/>
    <w:multiLevelType w:val="singleLevel"/>
    <w:tmpl w:val="00000030"/>
    <w:lvl w:ilvl="0">
      <w:start w:val="7"/>
      <w:numFmt w:val="decimal"/>
      <w:lvlText w:val="%1)"/>
      <w:legacy w:legacy="1" w:legacySpace="0" w:legacyIndent="0"/>
      <w:lvlJc w:val="left"/>
      <w:rPr>
        <w:rFonts w:ascii="Times New Roman" w:hAnsi="Times New Roman"/>
      </w:rPr>
    </w:lvl>
  </w:abstractNum>
  <w:abstractNum w:abstractNumId="19" w15:restartNumberingAfterBreak="0">
    <w:nsid w:val="00000033"/>
    <w:multiLevelType w:val="singleLevel"/>
    <w:tmpl w:val="00000033"/>
    <w:lvl w:ilvl="0">
      <w:start w:val="11"/>
      <w:numFmt w:val="decimal"/>
      <w:lvlText w:val="%1)"/>
      <w:legacy w:legacy="1" w:legacySpace="0" w:legacyIndent="0"/>
      <w:lvlJc w:val="left"/>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doNotShadeFormData/>
  <w:characterSpacingControl w:val="compressPunctuation"/>
  <w:savePreviewPicture/>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9C"/>
    <w:rsid w:val="0065669C"/>
    <w:rsid w:val="008F4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C193F"/>
  <w15:docId w15:val="{619AD0CB-83E5-436F-A735-984B406C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99"/>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2036</Words>
  <Characters>12013</Characters>
  <Application>Microsoft Office Word</Application>
  <DocSecurity>0</DocSecurity>
  <Lines>100</Lines>
  <Paragraphs>28</Paragraphs>
  <ScaleCrop>false</ScaleCrop>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Readiris</dc:title>
  <dc:creator>Uživatel systému Windows</dc:creator>
  <cp:keywords>CreatedByIRIS_Readiris_15.2.2</cp:keywords>
  <cp:lastModifiedBy>Uživatel</cp:lastModifiedBy>
  <cp:revision>2</cp:revision>
  <dcterms:created xsi:type="dcterms:W3CDTF">2020-01-31T07:46:00Z</dcterms:created>
  <dcterms:modified xsi:type="dcterms:W3CDTF">2020-01-31T07:46:00Z</dcterms:modified>
</cp:coreProperties>
</file>