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tblPr>
      <w:tblGrid>
        <w:gridCol w:w="4703"/>
        <w:gridCol w:w="4703"/>
      </w:tblGrid>
      <w:tr w:rsidR="00ED64FB">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
            </w:pPr>
            <w:r>
              <w:rPr>
                <w:rStyle w:val="None"/>
                <w:rFonts w:ascii="Futura Bold" w:hAnsi="Futura Bold"/>
              </w:rPr>
              <w:t xml:space="preserve">THIS </w:t>
            </w:r>
            <w:r>
              <w:rPr>
                <w:rStyle w:val="None"/>
                <w:rFonts w:ascii="Futura Bold" w:hAnsi="Futura Bold"/>
                <w:lang w:val="en-US"/>
              </w:rPr>
              <w:t>AMENDING</w:t>
            </w:r>
            <w:r>
              <w:rPr>
                <w:rStyle w:val="None"/>
                <w:rFonts w:ascii="Futura Bold" w:hAnsi="Futura Bold"/>
              </w:rPr>
              <w:t xml:space="preserve"> AGREEMENT</w:t>
            </w:r>
            <w:r>
              <w:rPr>
                <w:rFonts w:eastAsia="Arial Unicode MS" w:cs="Arial Unicode MS"/>
                <w:lang w:val="en-US"/>
              </w:rPr>
              <w:t xml:space="preserve"> (this </w:t>
            </w:r>
            <w:r>
              <w:rPr>
                <w:rStyle w:val="None"/>
                <w:rFonts w:ascii="Futura Bold" w:hAnsi="Futura Bold"/>
                <w:lang w:val="en-US"/>
              </w:rPr>
              <w:t>“</w:t>
            </w:r>
            <w:r>
              <w:rPr>
                <w:rStyle w:val="None"/>
                <w:rFonts w:ascii="Futura Bold" w:hAnsi="Futura Bold"/>
                <w:lang w:val="en-US"/>
              </w:rPr>
              <w:t>Amendment</w:t>
            </w:r>
            <w:r>
              <w:rPr>
                <w:rStyle w:val="None"/>
                <w:rFonts w:ascii="Futura Bold" w:hAnsi="Futura Bold"/>
                <w:lang w:val="en-US"/>
              </w:rPr>
              <w:t>”</w:t>
            </w:r>
            <w:r>
              <w:rPr>
                <w:rFonts w:eastAsia="Arial Unicode MS" w:cs="Arial Unicode MS"/>
                <w:lang w:val="en-US"/>
              </w:rPr>
              <w:t xml:space="preserve">) entered into on the </w:t>
            </w:r>
            <w:r>
              <w:rPr>
                <w:rFonts w:eastAsia="Arial Unicode MS" w:cs="Arial Unicode MS"/>
              </w:rPr>
              <w:t>28</w:t>
            </w:r>
            <w:r>
              <w:rPr>
                <w:rStyle w:val="None"/>
                <w:rFonts w:eastAsia="Arial Unicode MS" w:cs="Arial Unicode MS"/>
                <w:vertAlign w:val="superscript"/>
              </w:rPr>
              <w:t>th</w:t>
            </w:r>
            <w:r>
              <w:rPr>
                <w:rFonts w:eastAsia="Arial Unicode MS" w:cs="Arial Unicode MS"/>
                <w:lang w:val="en-US"/>
              </w:rPr>
              <w:t xml:space="preserve"> day of January 20</w:t>
            </w:r>
            <w:r>
              <w:rPr>
                <w:rFonts w:eastAsia="Arial Unicode MS" w:cs="Arial Unicode MS"/>
              </w:rPr>
              <w:t>20</w:t>
            </w:r>
            <w:r>
              <w:rPr>
                <w:rFonts w:eastAsia="Arial Unicode MS" w:cs="Arial Unicode MS"/>
                <w:lang w:val="en-US"/>
              </w:rPr>
              <w:t xml:space="preserve"> (the </w:t>
            </w:r>
            <w:r>
              <w:rPr>
                <w:rStyle w:val="None"/>
                <w:rFonts w:ascii="Futura Bold" w:hAnsi="Futura Bold"/>
                <w:rtl/>
                <w:lang w:val="ar-SA"/>
              </w:rPr>
              <w:t>“</w:t>
            </w:r>
            <w:r>
              <w:rPr>
                <w:rStyle w:val="None"/>
                <w:rFonts w:ascii="Futura Bold" w:hAnsi="Futura Bold"/>
              </w:rPr>
              <w:t>Execution Date</w:t>
            </w:r>
            <w:r>
              <w:rPr>
                <w:rStyle w:val="None"/>
                <w:rFonts w:ascii="Futura Bold" w:hAnsi="Futura Bold"/>
              </w:rPr>
              <w:t>”</w:t>
            </w:r>
            <w:r>
              <w:rPr>
                <w:rFonts w:eastAsia="Arial Unicode MS" w:cs="Arial Unicode MS"/>
                <w:lang w:val="en-US"/>
              </w:rPr>
              <w:t xml:space="preserve">) to be effective as of the </w:t>
            </w:r>
            <w:r>
              <w:rPr>
                <w:rFonts w:eastAsia="Arial Unicode MS" w:cs="Arial Unicode MS"/>
              </w:rPr>
              <w:t>16</w:t>
            </w:r>
            <w:r>
              <w:rPr>
                <w:rStyle w:val="None"/>
                <w:rFonts w:eastAsia="Arial Unicode MS" w:cs="Arial Unicode MS"/>
                <w:vertAlign w:val="superscript"/>
                <w:lang w:val="en-US"/>
              </w:rPr>
              <w:t>t</w:t>
            </w:r>
            <w:r>
              <w:rPr>
                <w:rStyle w:val="None"/>
                <w:rFonts w:eastAsia="Arial Unicode MS" w:cs="Arial Unicode MS"/>
                <w:vertAlign w:val="superscript"/>
              </w:rPr>
              <w:t>h</w:t>
            </w:r>
            <w:r>
              <w:rPr>
                <w:rFonts w:eastAsia="Arial Unicode MS" w:cs="Arial Unicode MS"/>
                <w:lang w:val="en-US"/>
              </w:rPr>
              <w:t xml:space="preserve"> day of </w:t>
            </w:r>
            <w:r>
              <w:rPr>
                <w:rFonts w:eastAsia="Arial Unicode MS" w:cs="Arial Unicode MS"/>
              </w:rPr>
              <w:t>April</w:t>
            </w:r>
            <w:r>
              <w:rPr>
                <w:rFonts w:eastAsia="Arial Unicode MS" w:cs="Arial Unicode MS"/>
                <w:lang w:val="en-US"/>
              </w:rPr>
              <w:t xml:space="preserve"> 20</w:t>
            </w:r>
            <w:r>
              <w:rPr>
                <w:rFonts w:eastAsia="Arial Unicode MS" w:cs="Arial Unicode MS"/>
              </w:rPr>
              <w:t>20</w:t>
            </w:r>
            <w:r>
              <w:rPr>
                <w:rFonts w:eastAsia="Arial Unicode MS" w:cs="Arial Unicode MS"/>
                <w:lang w:val="en-US"/>
              </w:rPr>
              <w:t xml:space="preserve"> (the </w:t>
            </w:r>
            <w:r>
              <w:rPr>
                <w:rStyle w:val="None"/>
                <w:rFonts w:ascii="Futura Bold" w:hAnsi="Futura Bold"/>
              </w:rPr>
              <w:t>„</w:t>
            </w:r>
            <w:r>
              <w:rPr>
                <w:rStyle w:val="None"/>
                <w:rFonts w:ascii="Futura Bold" w:hAnsi="Futura Bold"/>
                <w:lang w:val="en-US"/>
              </w:rPr>
              <w:t>Effective Date</w:t>
            </w:r>
            <w:r>
              <w:rPr>
                <w:rStyle w:val="None"/>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Czech"/>
            </w:pPr>
            <w:r>
              <w:rPr>
                <w:rStyle w:val="None"/>
                <w:rFonts w:ascii="Futura Bold" w:hAnsi="Futura Bold"/>
              </w:rPr>
              <w:t>T</w:t>
            </w:r>
            <w:r>
              <w:rPr>
                <w:rStyle w:val="None"/>
                <w:rFonts w:ascii="Futura Bold" w:hAnsi="Futura Bold"/>
                <w:lang w:val="en-US"/>
              </w:rPr>
              <w:t>ENTO</w:t>
            </w:r>
            <w:r>
              <w:rPr>
                <w:rStyle w:val="None"/>
                <w:rFonts w:ascii="Futura Bold" w:hAnsi="Futura Bold"/>
              </w:rPr>
              <w:t xml:space="preserve"> </w:t>
            </w:r>
            <w:r>
              <w:rPr>
                <w:rStyle w:val="None"/>
                <w:rFonts w:ascii="Futura Bold" w:hAnsi="Futura Bold"/>
                <w:lang w:val="en-US"/>
              </w:rPr>
              <w:t>DODATEK KE SMLOUV</w:t>
            </w:r>
            <w:r>
              <w:rPr>
                <w:rStyle w:val="None"/>
                <w:rFonts w:ascii="Futura Bold" w:hAnsi="Futura Bold"/>
              </w:rPr>
              <w:t>Ě</w:t>
            </w:r>
            <w:r>
              <w:t xml:space="preserve"> (dále jen </w:t>
            </w:r>
            <w:r>
              <w:rPr>
                <w:rStyle w:val="None"/>
                <w:rFonts w:ascii="Futura Bold" w:hAnsi="Futura Bold"/>
              </w:rPr>
              <w:t>„</w:t>
            </w:r>
            <w:r>
              <w:rPr>
                <w:rStyle w:val="None"/>
                <w:rFonts w:ascii="Futura Bold" w:hAnsi="Futura Bold"/>
                <w:lang w:val="en-US"/>
              </w:rPr>
              <w:t>Dodatek</w:t>
            </w:r>
            <w:r>
              <w:rPr>
                <w:rStyle w:val="None"/>
                <w:rFonts w:ascii="Futura Bold" w:hAnsi="Futura Bold"/>
              </w:rPr>
              <w:t>“</w:t>
            </w:r>
            <w:r>
              <w:t>) je uzavřený dne 28</w:t>
            </w:r>
            <w:r>
              <w:rPr>
                <w:lang w:val="en-US"/>
              </w:rPr>
              <w:t xml:space="preserve">. ledna </w:t>
            </w:r>
            <w:r>
              <w:rPr>
                <w:lang w:val="en-US"/>
              </w:rPr>
              <w:t>20</w:t>
            </w:r>
            <w:r>
              <w:t xml:space="preserve">20 (dále jen </w:t>
            </w:r>
            <w:r>
              <w:rPr>
                <w:rStyle w:val="None"/>
                <w:rFonts w:ascii="Futura Bold" w:hAnsi="Futura Bold"/>
              </w:rPr>
              <w:t>„</w:t>
            </w:r>
            <w:r>
              <w:rPr>
                <w:rStyle w:val="None"/>
                <w:rFonts w:ascii="Futura Bold" w:hAnsi="Futura Bold"/>
              </w:rPr>
              <w:t>Datum podpisu</w:t>
            </w:r>
            <w:r>
              <w:rPr>
                <w:rStyle w:val="None"/>
                <w:rFonts w:ascii="Futura Bold" w:hAnsi="Futura Bold"/>
              </w:rPr>
              <w:t>“</w:t>
            </w:r>
            <w:r>
              <w:t xml:space="preserve">) s účinností od 16. dubna 2020 (dále jen </w:t>
            </w:r>
            <w:r>
              <w:rPr>
                <w:rStyle w:val="None"/>
                <w:rFonts w:ascii="Futura Bold" w:hAnsi="Futura Bold"/>
              </w:rPr>
              <w:t>„</w:t>
            </w:r>
            <w:r>
              <w:rPr>
                <w:rStyle w:val="None"/>
                <w:rFonts w:ascii="Futura Bold" w:hAnsi="Futura Bold"/>
              </w:rPr>
              <w:t xml:space="preserve">Datum </w:t>
            </w:r>
            <w:r>
              <w:rPr>
                <w:rStyle w:val="None"/>
                <w:rFonts w:ascii="Futura Bold" w:hAnsi="Futura Bold"/>
              </w:rPr>
              <w:t>úč</w:t>
            </w:r>
            <w:r>
              <w:rPr>
                <w:rStyle w:val="None"/>
                <w:rFonts w:ascii="Futura Bold" w:hAnsi="Futura Bold"/>
              </w:rPr>
              <w:t>innosti</w:t>
            </w:r>
            <w:r>
              <w:rPr>
                <w:rStyle w:val="None"/>
                <w:rFonts w:ascii="Futura Bold" w:hAnsi="Futura Bold"/>
              </w:rPr>
              <w:t>“</w:t>
            </w:r>
            <w:r>
              <w:t>)</w:t>
            </w:r>
          </w:p>
        </w:tc>
      </w:tr>
      <w:tr w:rsidR="00ED64FB">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Czech"/>
            </w:pPr>
            <w:r>
              <w:t>MEZI</w:t>
            </w:r>
          </w:p>
        </w:tc>
      </w:tr>
      <w:tr w:rsidR="00ED64FB">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
            </w:pPr>
            <w:r>
              <w:rPr>
                <w:rFonts w:eastAsia="Arial Unicode MS" w:cs="Arial Unicode MS"/>
                <w:lang w:val="en-US"/>
              </w:rPr>
              <w:t xml:space="preserve">OUI Technology Ltd., a company incorporated in England and Wales in the United Kingdom under registration number 10905437 whose registered office is </w:t>
            </w:r>
            <w:r>
              <w:rPr>
                <w:rFonts w:eastAsia="Arial Unicode MS" w:cs="Arial Unicode MS"/>
                <w:lang w:val="en-US"/>
              </w:rPr>
              <w:t>at Kemp House, 160 City Road, London, United Kingdom</w:t>
            </w:r>
            <w:r>
              <w:rPr>
                <w:rFonts w:eastAsia="Arial Unicode MS" w:cs="Arial Unicode MS"/>
              </w:rPr>
              <w:t xml:space="preserve">, </w:t>
            </w:r>
            <w:r>
              <w:rPr>
                <w:rFonts w:eastAsia="Arial Unicode MS" w:cs="Arial Unicode MS"/>
                <w:lang w:val="da-DK"/>
              </w:rPr>
              <w:t>EC1V 2NX</w:t>
            </w:r>
            <w:r>
              <w:rPr>
                <w:rFonts w:eastAsia="Arial Unicode MS" w:cs="Arial Unicode MS"/>
              </w:rPr>
              <w:t>, represented by Jan Buchal, Director</w:t>
            </w:r>
            <w:r>
              <w:br/>
            </w:r>
            <w:r>
              <w:rPr>
                <w:rFonts w:eastAsia="Arial Unicode MS" w:cs="Arial Unicode MS"/>
                <w:lang w:val="en-US"/>
              </w:rPr>
              <w:t xml:space="preserve">(the </w:t>
            </w:r>
            <w:r>
              <w:rPr>
                <w:rStyle w:val="None"/>
                <w:rFonts w:ascii="Futura Bold" w:hAnsi="Futura Bold"/>
                <w:lang w:val="en-US"/>
              </w:rPr>
              <w:t>“</w:t>
            </w:r>
            <w:r>
              <w:rPr>
                <w:rStyle w:val="None"/>
                <w:rFonts w:ascii="Futura Bold" w:hAnsi="Futura Bold"/>
                <w:lang w:val="en-US"/>
              </w:rPr>
              <w:t>Licensor</w:t>
            </w:r>
            <w:r>
              <w:rPr>
                <w:rStyle w:val="None"/>
                <w:rFonts w:ascii="Futura Bold" w:hAnsi="Futura Bold"/>
                <w:lang w:val="en-US"/>
              </w:rPr>
              <w:t>”</w:t>
            </w:r>
            <w:r>
              <w:rPr>
                <w:rFonts w:eastAsia="Arial Unicode MS" w:cs="Arial Unicode MS"/>
              </w:rPr>
              <w:t>)</w:t>
            </w:r>
            <w:r>
              <w:br/>
            </w:r>
            <w:r>
              <w:rPr>
                <w:rStyle w:val="None"/>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Czech"/>
            </w:pPr>
            <w:r>
              <w:t>OUI Technology Ltd., společností založenou v Anglii</w:t>
            </w:r>
            <w:r>
              <w:rPr>
                <w:lang w:val="en-US"/>
              </w:rPr>
              <w:t xml:space="preserve"> a Wales</w:t>
            </w:r>
            <w:r>
              <w:t>u ve Spojeném království pod registračním číslem 10905437, jej</w:t>
            </w:r>
            <w:r>
              <w:t>íž sídlo je na adrese</w:t>
            </w:r>
            <w:r>
              <w:rPr>
                <w:lang w:val="en-US"/>
              </w:rPr>
              <w:t xml:space="preserve"> Kemp House, 160 City Road, London</w:t>
            </w:r>
            <w:r>
              <w:t xml:space="preserve">, </w:t>
            </w:r>
            <w:r>
              <w:rPr>
                <w:lang w:val="en-US"/>
              </w:rPr>
              <w:t>United Kingdom</w:t>
            </w:r>
            <w:r>
              <w:t xml:space="preserve">, </w:t>
            </w:r>
            <w:r>
              <w:rPr>
                <w:lang w:val="da-DK"/>
              </w:rPr>
              <w:t>EC1V 2NX</w:t>
            </w:r>
            <w:r>
              <w:t>, za kterou jedná Jan Buchal, ředitel</w:t>
            </w:r>
            <w:r>
              <w:br/>
            </w:r>
            <w:r>
              <w:t xml:space="preserve">(dále jako </w:t>
            </w:r>
            <w:r>
              <w:rPr>
                <w:rStyle w:val="None"/>
                <w:rFonts w:ascii="Futura Bold" w:hAnsi="Futura Bold"/>
              </w:rPr>
              <w:t>„</w:t>
            </w:r>
            <w:r>
              <w:rPr>
                <w:rStyle w:val="None"/>
                <w:rFonts w:ascii="Futura Bold" w:hAnsi="Futura Bold"/>
              </w:rPr>
              <w:t>Poskytovatel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JEDN</w:t>
            </w:r>
            <w:r>
              <w:rPr>
                <w:rStyle w:val="None"/>
                <w:rFonts w:ascii="Futura Bold" w:hAnsi="Futura Bold"/>
              </w:rPr>
              <w:t>É</w:t>
            </w:r>
          </w:p>
        </w:tc>
      </w:tr>
      <w:tr w:rsidR="00ED64FB">
        <w:tblPrEx>
          <w:tblCellMar>
            <w:top w:w="0" w:type="dxa"/>
            <w:left w:w="0" w:type="dxa"/>
            <w:bottom w:w="0" w:type="dxa"/>
            <w:right w:w="0" w:type="dxa"/>
          </w:tblCellMar>
        </w:tblPrEx>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
            </w:pPr>
            <w:r>
              <w:rPr>
                <w:rStyle w:val="None"/>
                <w:rFonts w:ascii="Futura Bold" w:hAnsi="Futura Bold"/>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Czech"/>
            </w:pPr>
            <w:r>
              <w:rPr>
                <w:rStyle w:val="None"/>
                <w:rFonts w:ascii="Futura Bold" w:hAnsi="Futura Bold"/>
              </w:rPr>
              <w:t>a</w:t>
            </w:r>
          </w:p>
        </w:tc>
      </w:tr>
      <w:tr w:rsidR="00ED64FB">
        <w:tblPrEx>
          <w:tblCellMar>
            <w:top w:w="0" w:type="dxa"/>
            <w:left w:w="0" w:type="dxa"/>
            <w:bottom w:w="0" w:type="dxa"/>
            <w:right w:w="0" w:type="dxa"/>
          </w:tblCellMar>
        </w:tblPrEx>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
            </w:pPr>
            <w:r>
              <w:rPr>
                <w:rFonts w:eastAsia="Arial Unicode MS" w:cs="Arial Unicode MS"/>
              </w:rPr>
              <w:t>Knihovna a tisk</w:t>
            </w:r>
            <w:r>
              <w:rPr>
                <w:rFonts w:eastAsia="Arial Unicode MS" w:cs="Arial Unicode MS"/>
              </w:rPr>
              <w:t>á</w:t>
            </w:r>
            <w:r>
              <w:rPr>
                <w:rFonts w:eastAsia="Arial Unicode MS" w:cs="Arial Unicode MS"/>
              </w:rPr>
              <w:t>rna pro nevidom</w:t>
            </w:r>
            <w:r>
              <w:rPr>
                <w:rFonts w:eastAsia="Arial Unicode MS" w:cs="Arial Unicode MS"/>
                <w:lang w:val="fr-FR"/>
              </w:rPr>
              <w:t xml:space="preserve">é </w:t>
            </w:r>
            <w:r>
              <w:rPr>
                <w:rFonts w:eastAsia="Arial Unicode MS" w:cs="Arial Unicode MS"/>
                <w:lang w:val="en-US"/>
              </w:rPr>
              <w:t xml:space="preserve">K.E.Macana, an organisation established in 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Praha, Czech Republic, represented by Bohdan Roule, Director</w:t>
            </w:r>
            <w:r>
              <w:br/>
            </w:r>
            <w:r>
              <w:rPr>
                <w:rFonts w:eastAsia="Arial Unicode MS" w:cs="Arial Unicode MS"/>
                <w:lang w:val="en-US"/>
              </w:rPr>
              <w:t xml:space="preserve">(the </w:t>
            </w:r>
            <w:r>
              <w:rPr>
                <w:rStyle w:val="None"/>
                <w:rFonts w:ascii="Futura Bold" w:hAnsi="Futura Bold"/>
              </w:rPr>
              <w:t>“</w:t>
            </w:r>
            <w:r>
              <w:rPr>
                <w:rStyle w:val="None"/>
                <w:rFonts w:ascii="Futura Bold" w:hAnsi="Futura Bold"/>
                <w:lang w:val="en-US"/>
              </w:rPr>
              <w:t>Licensee</w:t>
            </w:r>
            <w:r>
              <w:rPr>
                <w:rStyle w:val="None"/>
                <w:rFonts w:ascii="Futura Bold" w:hAnsi="Futura Bold"/>
              </w:rPr>
              <w:t>”</w:t>
            </w:r>
            <w:r>
              <w:rPr>
                <w:rFonts w:eastAsia="Arial Unicode MS" w:cs="Arial Unicode MS"/>
              </w:rPr>
              <w:t>)</w:t>
            </w:r>
            <w:r>
              <w:br/>
            </w:r>
            <w:r>
              <w:rPr>
                <w:rStyle w:val="None"/>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Czech"/>
            </w:pPr>
            <w:r>
              <w:t>Knihovna a tiskárna pro nevidom</w:t>
            </w:r>
            <w:r>
              <w:rPr>
                <w:lang w:val="fr-FR"/>
              </w:rPr>
              <w:t xml:space="preserve">é </w:t>
            </w:r>
            <w:r>
              <w:rPr>
                <w:lang w:val="it-IT"/>
              </w:rPr>
              <w:t>K.E.Macana, organi</w:t>
            </w:r>
            <w:r>
              <w:t>zace založena v České r</w:t>
            </w:r>
            <w:r>
              <w:rPr>
                <w:lang w:val="en-US"/>
              </w:rPr>
              <w:t>epublic</w:t>
            </w:r>
            <w:r>
              <w:t>e s IČO 14893631, jejíž sídlo je na adrese</w:t>
            </w:r>
            <w:r>
              <w:rPr>
                <w:lang w:val="de-DE"/>
              </w:rPr>
              <w:t xml:space="preserve"> Ve</w:t>
            </w:r>
            <w:r>
              <w:t> Smečkách 15, 115 17 Praha, Česká republika, za kterou jedná Bohdan Roule, ředitel</w:t>
            </w:r>
            <w:r>
              <w:br/>
            </w:r>
            <w:r>
              <w:t xml:space="preserve">(dále jako </w:t>
            </w:r>
            <w:r>
              <w:rPr>
                <w:rStyle w:val="None"/>
                <w:rFonts w:ascii="Futura Bold" w:hAnsi="Futura Bold"/>
              </w:rPr>
              <w:t>„</w:t>
            </w:r>
            <w:r>
              <w:rPr>
                <w:rStyle w:val="None"/>
                <w:rFonts w:ascii="Futura Bold" w:hAnsi="Futura Bold"/>
              </w:rPr>
              <w:t>Nabyvatel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DRUH</w:t>
            </w:r>
            <w:r>
              <w:rPr>
                <w:rStyle w:val="None"/>
                <w:rFonts w:ascii="Futura Bold" w:hAnsi="Futura Bold"/>
              </w:rPr>
              <w:t>É</w:t>
            </w:r>
          </w:p>
        </w:tc>
      </w:tr>
      <w:tr w:rsidR="00ED64FB">
        <w:tblPrEx>
          <w:tblCellMar>
            <w:top w:w="0" w:type="dxa"/>
            <w:left w:w="0" w:type="dxa"/>
            <w:bottom w:w="0" w:type="dxa"/>
            <w:right w:w="0" w:type="dxa"/>
          </w:tblCellMar>
        </w:tblPrEx>
        <w:trPr>
          <w:trHeight w:val="107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
            </w:pPr>
            <w:r>
              <w:rPr>
                <w:rFonts w:eastAsia="Arial Unicode MS" w:cs="Arial Unicode MS"/>
                <w:lang w:val="en-US"/>
              </w:rPr>
              <w:t>(Licensor and Licensee hereinafter jointly referred to as</w:t>
            </w:r>
            <w:r>
              <w:rPr>
                <w:rFonts w:eastAsia="Arial Unicode MS" w:cs="Arial Unicode MS"/>
                <w:lang w:val="en-US"/>
              </w:rPr>
              <w:t xml:space="preserve"> the </w:t>
            </w:r>
            <w:r>
              <w:rPr>
                <w:rStyle w:val="None"/>
                <w:rFonts w:ascii="Futura Bold" w:hAnsi="Futura Bold"/>
              </w:rPr>
              <w:t>“</w:t>
            </w:r>
            <w:r>
              <w:rPr>
                <w:rStyle w:val="None"/>
                <w:rFonts w:ascii="Futura Bold" w:hAnsi="Futura Bold"/>
                <w:lang w:val="fr-FR"/>
              </w:rPr>
              <w:t>Parties</w:t>
            </w:r>
            <w:r>
              <w:rPr>
                <w:rStyle w:val="None"/>
                <w:rFonts w:ascii="Futura Bold" w:hAnsi="Futura Bold"/>
              </w:rPr>
              <w:t>”</w:t>
            </w:r>
            <w:r>
              <w:rPr>
                <w:rFonts w:eastAsia="Arial Unicode MS" w:cs="Arial Unicode MS"/>
                <w:lang w:val="en-US"/>
              </w:rPr>
              <w:t xml:space="preserve"> and individually as the </w:t>
            </w:r>
            <w:r>
              <w:rPr>
                <w:rStyle w:val="None"/>
                <w:rFonts w:ascii="Futura Bold" w:hAnsi="Futura Bold"/>
              </w:rPr>
              <w:t>“</w:t>
            </w:r>
            <w:r>
              <w:rPr>
                <w:rStyle w:val="None"/>
                <w:rFonts w:ascii="Futura Bold" w:hAnsi="Futura Bold"/>
              </w:rPr>
              <w:t>Party</w:t>
            </w:r>
            <w:r>
              <w:rPr>
                <w:rStyle w:val="None"/>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Czech"/>
            </w:pPr>
            <w:r>
              <w:t xml:space="preserve">(Poskytovatel a Nabyvatel dále též společně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strany</w:t>
            </w:r>
            <w:r>
              <w:rPr>
                <w:rStyle w:val="None"/>
                <w:rFonts w:ascii="Futura Bold" w:hAnsi="Futura Bold"/>
              </w:rPr>
              <w:t>”</w:t>
            </w:r>
            <w:r>
              <w:t xml:space="preserve"> a každý jednotlivě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strana</w:t>
            </w:r>
            <w:r>
              <w:rPr>
                <w:rStyle w:val="None"/>
                <w:rFonts w:ascii="Futura Bold" w:hAnsi="Futura Bold"/>
              </w:rPr>
              <w:t>”</w:t>
            </w:r>
            <w:r>
              <w:t>)</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Heading"/>
            </w:pPr>
            <w:r>
              <w:rPr>
                <w:rFonts w:eastAsia="Arial Unicode MS" w:cs="Arial Unicode MS"/>
              </w:rPr>
              <w:lastRenderedPageBreak/>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HEADINGCZECH"/>
            </w:pPr>
            <w:r>
              <w:rPr>
                <w:rFonts w:eastAsia="Arial Unicode MS" w:cs="Arial Unicode MS"/>
              </w:rPr>
              <w:t>Pozad</w:t>
            </w:r>
            <w:r>
              <w:rPr>
                <w:rFonts w:eastAsia="Arial Unicode MS" w:cs="Arial Unicode MS"/>
              </w:rPr>
              <w:t>í</w:t>
            </w:r>
          </w:p>
        </w:tc>
      </w:tr>
      <w:tr w:rsidR="00ED64FB">
        <w:tblPrEx>
          <w:tblCellMar>
            <w:top w:w="0" w:type="dxa"/>
            <w:left w:w="0" w:type="dxa"/>
            <w:bottom w:w="0" w:type="dxa"/>
            <w:right w:w="0" w:type="dxa"/>
          </w:tblCellMar>
        </w:tblPrEx>
        <w:trPr>
          <w:trHeight w:val="408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
            </w:pPr>
            <w:r>
              <w:rPr>
                <w:rFonts w:eastAsia="Arial Unicode MS" w:cs="Arial Unicode MS"/>
                <w:lang w:val="en-US"/>
              </w:rPr>
              <w:t>The Parties entered into the Licence Agreement dated 15th December 2017</w:t>
            </w:r>
            <w:r>
              <w:rPr>
                <w:rFonts w:eastAsia="Arial Unicode MS" w:cs="Arial Unicode MS"/>
              </w:rPr>
              <w:t xml:space="preserve">, amending it on the </w:t>
            </w:r>
            <w:r>
              <w:rPr>
                <w:rFonts w:eastAsia="Arial Unicode MS" w:cs="Arial Unicode MS"/>
                <w:lang w:val="en-US"/>
              </w:rPr>
              <w:t>16</w:t>
            </w:r>
            <w:r>
              <w:rPr>
                <w:rStyle w:val="None"/>
                <w:rFonts w:eastAsia="Arial Unicode MS" w:cs="Arial Unicode MS"/>
                <w:vertAlign w:val="superscript"/>
                <w:lang w:val="en-US"/>
              </w:rPr>
              <w:t>th</w:t>
            </w:r>
            <w:r>
              <w:rPr>
                <w:rFonts w:eastAsia="Arial Unicode MS" w:cs="Arial Unicode MS"/>
                <w:lang w:val="en-US"/>
              </w:rPr>
              <w:t xml:space="preserve"> April 2018 with </w:t>
            </w:r>
            <w:r>
              <w:rPr>
                <w:rFonts w:eastAsia="Arial Unicode MS" w:cs="Arial Unicode MS"/>
              </w:rPr>
              <w:t xml:space="preserve">an </w:t>
            </w:r>
            <w:r>
              <w:rPr>
                <w:rFonts w:eastAsia="Arial Unicode MS" w:cs="Arial Unicode MS"/>
                <w:lang w:val="en-US"/>
              </w:rPr>
              <w:t>amending agreement</w:t>
            </w:r>
            <w:r>
              <w:rPr>
                <w:rFonts w:eastAsia="Arial Unicode MS" w:cs="Arial Unicode MS"/>
              </w:rPr>
              <w:t xml:space="preserve"> (the </w:t>
            </w:r>
            <w:r>
              <w:rPr>
                <w:rStyle w:val="None"/>
                <w:rFonts w:ascii="Futura Bold" w:hAnsi="Futura Bold"/>
              </w:rPr>
              <w:t>“</w:t>
            </w:r>
            <w:r>
              <w:rPr>
                <w:rStyle w:val="None"/>
                <w:rFonts w:ascii="Futura Bold" w:hAnsi="Futura Bold"/>
              </w:rPr>
              <w:t>First Amendment</w:t>
            </w:r>
            <w:r>
              <w:rPr>
                <w:rStyle w:val="None"/>
                <w:rFonts w:ascii="Futura Bold" w:hAnsi="Futura Bold"/>
              </w:rPr>
              <w:t>”</w:t>
            </w:r>
            <w:r>
              <w:rPr>
                <w:rFonts w:eastAsia="Arial Unicode MS" w:cs="Arial Unicode MS"/>
              </w:rPr>
              <w:t xml:space="preserve">), </w:t>
            </w:r>
            <w:r>
              <w:rPr>
                <w:rFonts w:eastAsia="Arial Unicode MS" w:cs="Arial Unicode MS"/>
                <w:lang w:val="en-US"/>
              </w:rPr>
              <w:t>on 29</w:t>
            </w:r>
            <w:r>
              <w:rPr>
                <w:rStyle w:val="None"/>
                <w:rFonts w:eastAsia="Arial Unicode MS" w:cs="Arial Unicode MS"/>
                <w:vertAlign w:val="superscript"/>
                <w:lang w:val="en-US"/>
              </w:rPr>
              <w:t xml:space="preserve">th </w:t>
            </w:r>
            <w:r>
              <w:rPr>
                <w:rFonts w:eastAsia="Arial Unicode MS" w:cs="Arial Unicode MS"/>
                <w:lang w:val="en-US"/>
              </w:rPr>
              <w:t>June 2018 with the second amending agreement</w:t>
            </w:r>
            <w:r>
              <w:rPr>
                <w:rFonts w:eastAsia="Arial Unicode MS" w:cs="Arial Unicode MS"/>
              </w:rPr>
              <w:t xml:space="preserve"> (the </w:t>
            </w:r>
            <w:r>
              <w:rPr>
                <w:rStyle w:val="None"/>
                <w:rFonts w:ascii="Futura Bold" w:hAnsi="Futura Bold"/>
              </w:rPr>
              <w:t>“</w:t>
            </w:r>
            <w:r>
              <w:rPr>
                <w:rStyle w:val="None"/>
                <w:rFonts w:ascii="Futura Bold" w:hAnsi="Futura Bold"/>
              </w:rPr>
              <w:t>Second Amendment</w:t>
            </w:r>
            <w:r>
              <w:rPr>
                <w:rStyle w:val="None"/>
                <w:rFonts w:ascii="Futura Bold" w:hAnsi="Futura Bold"/>
              </w:rPr>
              <w:t>”</w:t>
            </w:r>
            <w:r>
              <w:rPr>
                <w:rFonts w:eastAsia="Arial Unicode MS" w:cs="Arial Unicode MS"/>
              </w:rPr>
              <w:t>), on 18</w:t>
            </w:r>
            <w:r>
              <w:rPr>
                <w:rStyle w:val="None"/>
                <w:rFonts w:eastAsia="Arial Unicode MS" w:cs="Arial Unicode MS"/>
                <w:vertAlign w:val="superscript"/>
              </w:rPr>
              <w:t>th</w:t>
            </w:r>
            <w:r>
              <w:rPr>
                <w:rFonts w:eastAsia="Arial Unicode MS" w:cs="Arial Unicode MS"/>
              </w:rPr>
              <w:t xml:space="preserve"> January 2019 with the third amending agreement (the </w:t>
            </w:r>
            <w:r>
              <w:rPr>
                <w:rStyle w:val="None"/>
                <w:rFonts w:ascii="Futura Bold" w:hAnsi="Futura Bold"/>
              </w:rPr>
              <w:t>“</w:t>
            </w:r>
            <w:r>
              <w:rPr>
                <w:rStyle w:val="None"/>
                <w:rFonts w:ascii="Futura Bold" w:hAnsi="Futura Bold"/>
              </w:rPr>
              <w:t>Third Amendment</w:t>
            </w:r>
            <w:r>
              <w:rPr>
                <w:rStyle w:val="None"/>
                <w:rFonts w:ascii="Futura Bold" w:hAnsi="Futura Bold"/>
              </w:rPr>
              <w:t>”</w:t>
            </w:r>
            <w:r>
              <w:rPr>
                <w:rFonts w:eastAsia="Arial Unicode MS" w:cs="Arial Unicode MS"/>
              </w:rPr>
              <w:t>)</w:t>
            </w:r>
            <w:r>
              <w:rPr>
                <w:rStyle w:val="None"/>
                <w:rFonts w:ascii="Futura Bold" w:hAnsi="Futura Bold"/>
              </w:rPr>
              <w:t xml:space="preserve"> </w:t>
            </w:r>
            <w:r>
              <w:rPr>
                <w:rFonts w:eastAsia="Arial Unicode MS" w:cs="Arial Unicode MS"/>
              </w:rPr>
              <w:t>and on 29</w:t>
            </w:r>
            <w:r>
              <w:rPr>
                <w:rStyle w:val="None"/>
                <w:rFonts w:eastAsia="Arial Unicode MS" w:cs="Arial Unicode MS"/>
                <w:vertAlign w:val="superscript"/>
              </w:rPr>
              <w:t>th</w:t>
            </w:r>
            <w:r>
              <w:rPr>
                <w:rFonts w:eastAsia="Arial Unicode MS" w:cs="Arial Unicode MS"/>
              </w:rPr>
              <w:t xml:space="preserve"> January 2019 with the fourth amending agreement (the </w:t>
            </w:r>
            <w:r>
              <w:rPr>
                <w:rStyle w:val="None"/>
                <w:rFonts w:ascii="Futura Bold" w:hAnsi="Futura Bold"/>
              </w:rPr>
              <w:t>“</w:t>
            </w:r>
            <w:r>
              <w:rPr>
                <w:rStyle w:val="None"/>
                <w:rFonts w:ascii="Futura Bold" w:hAnsi="Futura Bold"/>
              </w:rPr>
              <w:t>Fourth Amendment</w:t>
            </w:r>
            <w:r>
              <w:rPr>
                <w:rStyle w:val="None"/>
                <w:rFonts w:ascii="Futura Bold" w:hAnsi="Futura Bold"/>
              </w:rPr>
              <w:t>”</w:t>
            </w:r>
            <w:r>
              <w:rPr>
                <w:rFonts w:eastAsia="Arial Unicode MS" w:cs="Arial Unicode MS"/>
              </w:rPr>
              <w:t>). The Licence Agreement in the text changed by the First Amendment, the Second Amendment, the Third Amendment and the Fourth Amendment shall be hereinafter known also as the</w:t>
            </w:r>
            <w:r>
              <w:rPr>
                <w:rFonts w:eastAsia="Arial Unicode MS" w:cs="Arial Unicode MS"/>
                <w:rtl/>
                <w:lang w:val="ar-SA"/>
              </w:rPr>
              <w:t xml:space="preserve"> “</w:t>
            </w:r>
            <w:r>
              <w:rPr>
                <w:rStyle w:val="None"/>
                <w:rFonts w:ascii="Futura Bold" w:hAnsi="Futura Bold"/>
                <w:lang w:val="en-US"/>
              </w:rPr>
              <w:t>Agreem</w:t>
            </w:r>
            <w:r>
              <w:rPr>
                <w:rStyle w:val="None"/>
                <w:rFonts w:ascii="Futura Bold" w:hAnsi="Futura Bold"/>
                <w:lang w:val="en-US"/>
              </w:rPr>
              <w:t>ent</w:t>
            </w:r>
            <w:r>
              <w:rPr>
                <w:rFonts w:eastAsia="Arial Unicode MS" w:cs="Arial Unicode MS"/>
              </w:rPr>
              <w:t>”</w:t>
            </w:r>
            <w:r>
              <w:rPr>
                <w:rFonts w:eastAsia="Arial Unicode MS" w:cs="Arial Unicode MS"/>
                <w:lang w:val="en-US"/>
              </w:rPr>
              <w:t xml:space="preserve">. The Parties intend to amend the Agreement on the terms and conditions set forth in this </w:t>
            </w:r>
            <w:r>
              <w:rPr>
                <w:rStyle w:val="None"/>
                <w:rFonts w:ascii="Futura Bold" w:hAnsi="Futura Bold"/>
              </w:rPr>
              <w:t>“</w:t>
            </w:r>
            <w:r>
              <w:rPr>
                <w:rStyle w:val="None"/>
                <w:rFonts w:ascii="Futura Bold" w:hAnsi="Futura Bold"/>
                <w:lang w:val="en-US"/>
              </w:rPr>
              <w:t>Amendment</w:t>
            </w:r>
            <w:r>
              <w:rPr>
                <w:rStyle w:val="None"/>
                <w:rFonts w:ascii="Futura Bold" w:hAnsi="Futura Bold"/>
              </w:rPr>
              <w:t>”</w:t>
            </w:r>
            <w:r>
              <w:rPr>
                <w:rFonts w:eastAsia="Arial Unicode MS" w:cs="Arial Unicode MS"/>
                <w:lang w:val="en-US"/>
              </w:rPr>
              <w:t xml:space="preserve">. This Amendment is the </w:t>
            </w:r>
            <w:r>
              <w:rPr>
                <w:rStyle w:val="None"/>
                <w:rFonts w:eastAsia="Arial Unicode MS" w:cs="Arial Unicode MS"/>
                <w:u w:val="single"/>
              </w:rPr>
              <w:t>5</w:t>
            </w:r>
            <w:r>
              <w:rPr>
                <w:rStyle w:val="None"/>
                <w:rFonts w:eastAsia="Arial Unicode MS" w:cs="Arial Unicode MS"/>
                <w:u w:val="single"/>
                <w:vertAlign w:val="superscript"/>
              </w:rPr>
              <w:t>th</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Czech"/>
            </w:pPr>
            <w:r>
              <w:t>Smluvní strany uzavřely dne 15. prosince 2017 Licenční smlouvu</w:t>
            </w:r>
            <w:r>
              <w:rPr>
                <w:lang w:val="en-US"/>
              </w:rPr>
              <w:t xml:space="preserve"> a u</w:t>
            </w:r>
            <w:r>
              <w:t xml:space="preserve">činily k ní </w:t>
            </w:r>
            <w:r>
              <w:rPr>
                <w:lang w:val="en-US"/>
              </w:rPr>
              <w:t xml:space="preserve">dodatek </w:t>
            </w:r>
            <w:r>
              <w:t>podepsaný 16. dubna 2018</w:t>
            </w:r>
            <w:r>
              <w:rPr>
                <w:lang w:val="en-US"/>
              </w:rPr>
              <w:t xml:space="preserve"> </w:t>
            </w:r>
            <w:r>
              <w:t xml:space="preserve">(dále jen </w:t>
            </w:r>
            <w:r>
              <w:rPr>
                <w:rStyle w:val="None"/>
                <w:rFonts w:ascii="Futura Bold" w:hAnsi="Futura Bold"/>
              </w:rPr>
              <w:t>„</w:t>
            </w:r>
            <w:r>
              <w:rPr>
                <w:rStyle w:val="None"/>
                <w:rFonts w:ascii="Futura Bold" w:hAnsi="Futura Bold"/>
              </w:rPr>
              <w:t>Prvn</w:t>
            </w:r>
            <w:r>
              <w:rPr>
                <w:rStyle w:val="None"/>
                <w:rFonts w:ascii="Futura Bold" w:hAnsi="Futura Bold"/>
              </w:rPr>
              <w:t xml:space="preserve">í </w:t>
            </w:r>
            <w:r>
              <w:rPr>
                <w:rStyle w:val="None"/>
                <w:rFonts w:ascii="Futura Bold" w:hAnsi="Futura Bold"/>
              </w:rPr>
              <w:t>dodatek</w:t>
            </w:r>
            <w:r>
              <w:rPr>
                <w:rStyle w:val="None"/>
                <w:rFonts w:ascii="Futura Bold" w:hAnsi="Futura Bold"/>
              </w:rPr>
              <w:t>“</w:t>
            </w:r>
            <w:r>
              <w:t>), druhý dodatek podepsaný</w:t>
            </w:r>
            <w:r>
              <w:rPr>
                <w:lang w:val="en-US"/>
              </w:rPr>
              <w:t xml:space="preserve"> 29. </w:t>
            </w:r>
            <w:r>
              <w:t xml:space="preserve">června 2018 (dále jen </w:t>
            </w:r>
            <w:r>
              <w:rPr>
                <w:rStyle w:val="None"/>
                <w:rFonts w:ascii="Futura Bold" w:hAnsi="Futura Bold"/>
              </w:rPr>
              <w:t>„</w:t>
            </w:r>
            <w:r>
              <w:rPr>
                <w:rStyle w:val="None"/>
                <w:rFonts w:ascii="Futura Bold" w:hAnsi="Futura Bold"/>
              </w:rPr>
              <w:t>Druh</w:t>
            </w:r>
            <w:r>
              <w:rPr>
                <w:rStyle w:val="None"/>
                <w:rFonts w:ascii="Futura Bold" w:hAnsi="Futura Bold"/>
              </w:rPr>
              <w:t xml:space="preserve">ý </w:t>
            </w:r>
            <w:r>
              <w:rPr>
                <w:rStyle w:val="None"/>
                <w:rFonts w:ascii="Futura Bold" w:hAnsi="Futura Bold"/>
              </w:rPr>
              <w:t>dodatek</w:t>
            </w:r>
            <w:r>
              <w:rPr>
                <w:rStyle w:val="None"/>
                <w:rFonts w:ascii="Futura Bold" w:hAnsi="Futura Bold"/>
              </w:rPr>
              <w:t>“</w:t>
            </w:r>
            <w:r>
              <w:t xml:space="preserve">), třetí dodatek podepsaný 18. ledna 2019 (dále jen </w:t>
            </w:r>
            <w:r>
              <w:rPr>
                <w:rStyle w:val="None"/>
                <w:rFonts w:ascii="Futura Bold" w:hAnsi="Futura Bold"/>
              </w:rPr>
              <w:t>„</w:t>
            </w:r>
            <w:r>
              <w:rPr>
                <w:rStyle w:val="None"/>
                <w:rFonts w:ascii="Futura Bold" w:hAnsi="Futura Bold"/>
              </w:rPr>
              <w:t>T</w:t>
            </w:r>
            <w:r>
              <w:rPr>
                <w:rStyle w:val="None"/>
                <w:rFonts w:ascii="Futura Bold" w:hAnsi="Futura Bold"/>
              </w:rPr>
              <w:t>ř</w:t>
            </w:r>
            <w:r>
              <w:rPr>
                <w:rStyle w:val="None"/>
                <w:rFonts w:ascii="Futura Bold" w:hAnsi="Futura Bold"/>
              </w:rPr>
              <w:t>et</w:t>
            </w:r>
            <w:r>
              <w:rPr>
                <w:rStyle w:val="None"/>
                <w:rFonts w:ascii="Futura Bold" w:hAnsi="Futura Bold"/>
              </w:rPr>
              <w:t xml:space="preserve">í </w:t>
            </w:r>
            <w:r>
              <w:rPr>
                <w:rStyle w:val="None"/>
                <w:rFonts w:ascii="Futura Bold" w:hAnsi="Futura Bold"/>
              </w:rPr>
              <w:t>dodatek</w:t>
            </w:r>
            <w:r>
              <w:rPr>
                <w:rStyle w:val="None"/>
                <w:rFonts w:ascii="Futura Bold" w:hAnsi="Futura Bold"/>
              </w:rPr>
              <w:t>“</w:t>
            </w:r>
            <w:r>
              <w:t xml:space="preserve">) a čtvrtý dodatek podepsaný 29. ledna 2019 (dále jen </w:t>
            </w:r>
            <w:r>
              <w:rPr>
                <w:rStyle w:val="None"/>
                <w:rFonts w:ascii="Futura Bold" w:hAnsi="Futura Bold"/>
              </w:rPr>
              <w:t>„Č</w:t>
            </w:r>
            <w:r>
              <w:rPr>
                <w:rStyle w:val="None"/>
                <w:rFonts w:ascii="Futura Bold" w:hAnsi="Futura Bold"/>
              </w:rPr>
              <w:t>tvrt</w:t>
            </w:r>
            <w:r>
              <w:rPr>
                <w:rStyle w:val="None"/>
                <w:rFonts w:ascii="Futura Bold" w:hAnsi="Futura Bold"/>
              </w:rPr>
              <w:t xml:space="preserve">ý </w:t>
            </w:r>
            <w:r>
              <w:rPr>
                <w:rStyle w:val="None"/>
                <w:rFonts w:ascii="Futura Bold" w:hAnsi="Futura Bold"/>
              </w:rPr>
              <w:t>dodatek</w:t>
            </w:r>
            <w:r>
              <w:rPr>
                <w:rStyle w:val="None"/>
                <w:rFonts w:ascii="Futura Bold" w:hAnsi="Futura Bold"/>
              </w:rPr>
              <w:t>“</w:t>
            </w:r>
            <w:r>
              <w:t xml:space="preserve">). Licenční smlouva ve znění změněném Prvním dodatkem, Druhým dodatkem, Třetím dodatkem a Čtvrtým dodatkem dále jako </w:t>
            </w:r>
            <w:r>
              <w:rPr>
                <w:rStyle w:val="None"/>
                <w:rFonts w:ascii="Futura Bold" w:hAnsi="Futura Bold"/>
              </w:rPr>
              <w:t>„</w:t>
            </w:r>
            <w:r>
              <w:rPr>
                <w:rStyle w:val="None"/>
                <w:rFonts w:ascii="Futura Bold" w:hAnsi="Futura Bold"/>
              </w:rPr>
              <w:t>Smlouva</w:t>
            </w:r>
            <w:r>
              <w:rPr>
                <w:rStyle w:val="None"/>
                <w:rFonts w:ascii="Futura Bold" w:hAnsi="Futura Bold"/>
              </w:rPr>
              <w:t>“</w:t>
            </w:r>
            <w:r>
              <w:t xml:space="preserve">. Smluvní strany chtějí uvedenou Smlouvu změnit za podmínek uvedených v tomto </w:t>
            </w:r>
            <w:r>
              <w:rPr>
                <w:rStyle w:val="None"/>
                <w:rFonts w:ascii="Futura Bold" w:hAnsi="Futura Bold"/>
              </w:rPr>
              <w:t>“</w:t>
            </w:r>
            <w:r>
              <w:rPr>
                <w:rStyle w:val="None"/>
                <w:rFonts w:ascii="Futura Bold" w:hAnsi="Futura Bold"/>
              </w:rPr>
              <w:t>Dodatku</w:t>
            </w:r>
            <w:r>
              <w:rPr>
                <w:rStyle w:val="None"/>
                <w:rFonts w:ascii="Futura Bold" w:hAnsi="Futura Bold"/>
              </w:rPr>
              <w:t>”</w:t>
            </w:r>
            <w:r>
              <w:t xml:space="preserve">. Tento Dodatek je </w:t>
            </w:r>
            <w:r>
              <w:rPr>
                <w:rStyle w:val="None"/>
                <w:u w:val="single"/>
              </w:rPr>
              <w:t>pátým</w:t>
            </w:r>
            <w:r>
              <w:t xml:space="preserve"> dodatkem ke Smlouv</w:t>
            </w:r>
            <w:r>
              <w:t>ě.</w:t>
            </w:r>
          </w:p>
        </w:tc>
      </w:tr>
      <w:tr w:rsidR="00ED64FB">
        <w:tblPrEx>
          <w:tblCellMar>
            <w:top w:w="0" w:type="dxa"/>
            <w:left w:w="0" w:type="dxa"/>
            <w:bottom w:w="0" w:type="dxa"/>
            <w:right w:w="0" w:type="dxa"/>
          </w:tblCellMar>
        </w:tblPrEx>
        <w:trPr>
          <w:trHeight w:val="6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Heading"/>
            </w:pPr>
            <w:r>
              <w:rPr>
                <w:rFonts w:eastAsia="Arial Unicode MS" w:cs="Arial Unicode MS"/>
              </w:rPr>
              <w:t>The 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HEADINGCZECH"/>
            </w:pPr>
            <w:r>
              <w:rPr>
                <w:rFonts w:eastAsia="Arial Unicode MS" w:cs="Arial Unicode MS"/>
              </w:rPr>
              <w:t>Ke smlouv</w:t>
            </w:r>
            <w:r>
              <w:rPr>
                <w:rFonts w:eastAsia="Arial Unicode MS" w:cs="Arial Unicode MS"/>
              </w:rPr>
              <w:t xml:space="preserve">ě </w:t>
            </w:r>
            <w:r>
              <w:rPr>
                <w:rFonts w:eastAsia="Arial Unicode MS" w:cs="Arial Unicode MS"/>
              </w:rPr>
              <w:t>je u</w:t>
            </w:r>
            <w:r>
              <w:rPr>
                <w:rFonts w:eastAsia="Arial Unicode MS" w:cs="Arial Unicode MS"/>
              </w:rPr>
              <w:t>č</w:t>
            </w:r>
            <w:r>
              <w:rPr>
                <w:rFonts w:eastAsia="Arial Unicode MS" w:cs="Arial Unicode MS"/>
              </w:rPr>
              <w:t>in</w:t>
            </w:r>
            <w:r>
              <w:rPr>
                <w:rFonts w:eastAsia="Arial Unicode MS" w:cs="Arial Unicode MS"/>
              </w:rPr>
              <w:t>ě</w:t>
            </w:r>
            <w:r>
              <w:rPr>
                <w:rFonts w:eastAsia="Arial Unicode MS" w:cs="Arial Unicode MS"/>
              </w:rPr>
              <w:t>n n</w:t>
            </w:r>
            <w:r>
              <w:rPr>
                <w:rFonts w:eastAsia="Arial Unicode MS" w:cs="Arial Unicode MS"/>
              </w:rPr>
              <w:t>á</w:t>
            </w:r>
            <w:r>
              <w:rPr>
                <w:rFonts w:eastAsia="Arial Unicode MS" w:cs="Arial Unicode MS"/>
              </w:rPr>
              <w:t>sleduj</w:t>
            </w:r>
            <w:r>
              <w:rPr>
                <w:rFonts w:eastAsia="Arial Unicode MS" w:cs="Arial Unicode MS"/>
              </w:rPr>
              <w:t>í</w:t>
            </w:r>
            <w:r>
              <w:rPr>
                <w:rFonts w:eastAsia="Arial Unicode MS" w:cs="Arial Unicode MS"/>
              </w:rPr>
              <w:t>c</w:t>
            </w:r>
            <w:r>
              <w:rPr>
                <w:rFonts w:eastAsia="Arial Unicode MS" w:cs="Arial Unicode MS"/>
              </w:rPr>
              <w:t xml:space="preserve">í </w:t>
            </w:r>
            <w:r>
              <w:rPr>
                <w:rFonts w:eastAsia="Arial Unicode MS" w:cs="Arial Unicode MS"/>
              </w:rPr>
              <w:t>dodatek:</w:t>
            </w:r>
          </w:p>
        </w:tc>
      </w:tr>
      <w:tr w:rsidR="00ED64FB">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
            </w:pPr>
            <w:r>
              <w:rPr>
                <w:rFonts w:eastAsia="Arial Unicode MS" w:cs="Arial Unicode MS"/>
              </w:rPr>
              <w:t xml:space="preserve">IN CONSIDERATION OF the mutual benefits and obligations set forth in this Agreement, the sufficiency of which consideration is hereby acknowledged, the Parties to </w:t>
            </w:r>
            <w:r>
              <w:rPr>
                <w:rFonts w:eastAsia="Arial Unicode MS" w:cs="Arial Unicode MS"/>
              </w:rPr>
              <w:t>this Agreement agree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ED64FB" w:rsidRDefault="00835D0E">
            <w:pPr>
              <w:pStyle w:val="BodyCzech"/>
            </w:pPr>
            <w:r>
              <w:t>PO ZV</w:t>
            </w:r>
            <w:r>
              <w:t>ÁŽ</w:t>
            </w:r>
            <w:r>
              <w:t>EN</w:t>
            </w:r>
            <w:r>
              <w:t xml:space="preserve">Í </w:t>
            </w:r>
            <w:r>
              <w:t>vz</w:t>
            </w:r>
            <w:r>
              <w:t>á</w:t>
            </w:r>
            <w:r>
              <w:t>jemn</w:t>
            </w:r>
            <w:r>
              <w:t>ý</w:t>
            </w:r>
            <w:r>
              <w:t>ch p</w:t>
            </w:r>
            <w:r>
              <w:t>ří</w:t>
            </w:r>
            <w:r>
              <w:t>nos</w:t>
            </w:r>
            <w:r>
              <w:t xml:space="preserve">ů </w:t>
            </w:r>
            <w:r>
              <w:t>a povinnost</w:t>
            </w:r>
            <w:r>
              <w:t xml:space="preserve">í </w:t>
            </w:r>
            <w:r>
              <w:t>uveden</w:t>
            </w:r>
            <w:r>
              <w:t>ý</w:t>
            </w:r>
            <w:r>
              <w:t>ch v tomto Dodatku, jejich</w:t>
            </w:r>
            <w:r>
              <w:t xml:space="preserve">ž </w:t>
            </w:r>
            <w:r>
              <w:t>dostate</w:t>
            </w:r>
            <w:r>
              <w:t>č</w:t>
            </w:r>
            <w:r>
              <w:t>nost t</w:t>
            </w:r>
            <w:r>
              <w:t>í</w:t>
            </w:r>
            <w:r>
              <w:t>mto potvrzuj</w:t>
            </w:r>
            <w:r>
              <w:t>í</w:t>
            </w:r>
            <w:r>
              <w:t>, se Smluvn</w:t>
            </w:r>
            <w:r>
              <w:t xml:space="preserve">í </w:t>
            </w:r>
            <w:r>
              <w:t>strany tohoto Dodatku dohodly n</w:t>
            </w:r>
            <w:r>
              <w:t>á</w:t>
            </w:r>
            <w:r>
              <w:t>sledovn</w:t>
            </w:r>
            <w:r>
              <w:t>ě</w:t>
            </w:r>
            <w:r>
              <w:t>:</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HEADINGCZECH"/>
              <w:numPr>
                <w:ilvl w:val="0"/>
                <w:numId w:val="2"/>
              </w:numPr>
            </w:pPr>
            <w:r>
              <w:rPr>
                <w:rFonts w:eastAsia="Arial Unicode MS" w:cs="Arial Unicode MS"/>
              </w:rPr>
              <w:t>Dodatky</w:t>
            </w:r>
          </w:p>
        </w:tc>
      </w:tr>
      <w:tr w:rsidR="00ED64FB">
        <w:tblPrEx>
          <w:tblCellMar>
            <w:top w:w="0" w:type="dxa"/>
            <w:left w:w="0" w:type="dxa"/>
            <w:bottom w:w="0" w:type="dxa"/>
            <w:right w:w="0" w:type="dxa"/>
          </w:tblCellMar>
        </w:tblPrEx>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
              <w:numPr>
                <w:ilvl w:val="1"/>
                <w:numId w:val="3"/>
              </w:numPr>
            </w:pPr>
            <w:r>
              <w:rPr>
                <w:rFonts w:eastAsia="Arial Unicode MS" w:cs="Arial Unicode MS"/>
              </w:rPr>
              <w:t xml:space="preserve">In accordance with article IV.(4) of the Agreement, the Parties agree to prolong the Term by the period 16 April 2020 </w:t>
            </w:r>
            <w:r>
              <w:rPr>
                <w:rFonts w:eastAsia="Arial Unicode MS" w:cs="Arial Unicode MS"/>
              </w:rPr>
              <w:t xml:space="preserve">– </w:t>
            </w:r>
            <w:r>
              <w:rPr>
                <w:rFonts w:eastAsia="Arial Unicode MS" w:cs="Arial Unicode MS"/>
              </w:rPr>
              <w:t xml:space="preserve">31 December 2020 (the </w:t>
            </w:r>
            <w:r>
              <w:rPr>
                <w:rFonts w:eastAsia="Arial Unicode MS" w:cs="Arial Unicode MS"/>
              </w:rPr>
              <w:t>“</w:t>
            </w:r>
            <w:r>
              <w:rPr>
                <w:rFonts w:eastAsia="Arial Unicode MS" w:cs="Arial Unicode MS"/>
              </w:rPr>
              <w:t>Third Term</w:t>
            </w:r>
            <w:r>
              <w:rPr>
                <w:rFonts w:eastAsia="Arial Unicode MS" w:cs="Arial Unicode MS"/>
              </w:rPr>
              <w:t>”</w:t>
            </w:r>
            <w:r>
              <w:rPr>
                <w:rFonts w:eastAsia="Arial Unicode MS" w:cs="Arial Unicode MS"/>
              </w:rPr>
              <w:t>). Analogically the date in article IV.(2) of the Agreement is changed from 15 April 2020 to 31 Decemb</w:t>
            </w:r>
            <w:r>
              <w:rPr>
                <w:rFonts w:eastAsia="Arial Unicode MS" w:cs="Arial Unicode MS"/>
              </w:rPr>
              <w:t>er 2020.</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Czech"/>
              <w:numPr>
                <w:ilvl w:val="1"/>
                <w:numId w:val="4"/>
              </w:numPr>
            </w:pPr>
            <w:r>
              <w:t>V souladu s odstavcem IV.(4) Smlouvy se Smluvní období prodlužuje o období 16. dubna 2020 – 31. prosince 2020 (dále jen „Třetí smluvní období“). Obdobně se mění datum v odstavci IV.(2) Smlouvy z 15. dubna 2020 na 31. prosince 2020.</w:t>
            </w:r>
          </w:p>
        </w:tc>
      </w:tr>
      <w:tr w:rsidR="00ED64FB">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5"/>
              </w:numPr>
            </w:pPr>
            <w:r>
              <w:rPr>
                <w:rFonts w:eastAsia="Arial Unicode MS" w:cs="Arial Unicode MS"/>
              </w:rPr>
              <w:lastRenderedPageBreak/>
              <w:t xml:space="preserve">For the </w:t>
            </w:r>
            <w:r>
              <w:rPr>
                <w:rFonts w:eastAsia="Arial Unicode MS" w:cs="Arial Unicode MS"/>
              </w:rPr>
              <w:t>License the Licensee will pay by one instalment to the Licensor CZK 708,333.32 plus CZK 19,833.33 (2,8% inflation according to the Czech Statistical Office), the total rounded amount being CZK 728,167 for the Third Term.</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6"/>
              </w:numPr>
            </w:pPr>
            <w:r>
              <w:t>Za Licenci zaplatí Nabyvatel Poskyt</w:t>
            </w:r>
            <w:r>
              <w:t>ovateli 708.333,32 Kč navýšených o 19.833,33 Kč (inflace 2,8 % podle ČSÚ), celkem po zaokrouhlení 728.167 Kč za Třetí smluvní období v jedné splátce.</w:t>
            </w:r>
          </w:p>
        </w:tc>
      </w:tr>
      <w:tr w:rsidR="00ED64FB">
        <w:tblPrEx>
          <w:tblCellMar>
            <w:top w:w="0" w:type="dxa"/>
            <w:left w:w="0" w:type="dxa"/>
            <w:bottom w:w="0" w:type="dxa"/>
            <w:right w:w="0" w:type="dxa"/>
          </w:tblCellMar>
        </w:tblPrEx>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7"/>
              </w:numPr>
            </w:pPr>
            <w:r>
              <w:rPr>
                <w:rFonts w:eastAsia="Arial Unicode MS" w:cs="Arial Unicode MS"/>
                <w:lang w:val="en-US"/>
              </w:rPr>
              <w:t>Except as otherwise provided in this Amendment, all of the terms and conditions of the Agreement remain u</w:t>
            </w:r>
            <w:r>
              <w:rPr>
                <w:rFonts w:eastAsia="Arial Unicode MS" w:cs="Arial Unicode MS"/>
                <w:lang w:val="en-US"/>
              </w:rPr>
              <w:t>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8"/>
              </w:numPr>
            </w:pPr>
            <w:r>
              <w:rPr>
                <w:lang w:val="en-US"/>
              </w:rPr>
              <w:t>Ostatn</w:t>
            </w:r>
            <w:r>
              <w:t>í části a ustanovení Smlouvy tímto Dodatkem nedotčené zůstávají platné a účinné v původním znění.</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9"/>
              </w:numPr>
            </w:pPr>
            <w:r>
              <w:rPr>
                <w:rFonts w:eastAsia="Arial Unicode MS" w:cs="Arial Unicode MS"/>
                <w:lang w:val="en-US"/>
              </w:rPr>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10"/>
              </w:numPr>
            </w:pPr>
            <w:r>
              <w:rPr>
                <w:rFonts w:eastAsia="Arial Unicode MS" w:cs="Arial Unicode MS"/>
                <w:lang w:val="en-US"/>
              </w:rPr>
              <w:t>Doba trv</w:t>
            </w:r>
            <w:r>
              <w:rPr>
                <w:rFonts w:eastAsia="Arial Unicode MS" w:cs="Arial Unicode MS"/>
              </w:rPr>
              <w:t>á</w:t>
            </w:r>
            <w:r>
              <w:rPr>
                <w:rFonts w:eastAsia="Arial Unicode MS" w:cs="Arial Unicode MS"/>
              </w:rPr>
              <w:t>n</w:t>
            </w:r>
            <w:r>
              <w:rPr>
                <w:rFonts w:eastAsia="Arial Unicode MS" w:cs="Arial Unicode MS"/>
              </w:rPr>
              <w:t>í</w:t>
            </w:r>
          </w:p>
        </w:tc>
      </w:tr>
      <w:tr w:rsidR="00ED64FB">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11"/>
              </w:numPr>
            </w:pPr>
            <w:r>
              <w:rPr>
                <w:rFonts w:eastAsia="Arial Unicode MS" w:cs="Arial Unicode MS"/>
                <w:lang w:val="en-US"/>
              </w:rPr>
              <w:t xml:space="preserve">This Amendment shall take effect from </w:t>
            </w:r>
            <w:r>
              <w:rPr>
                <w:rFonts w:eastAsia="Arial Unicode MS" w:cs="Arial Unicode MS"/>
              </w:rPr>
              <w:t>the Effective Date</w:t>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12"/>
              </w:numPr>
            </w:pPr>
            <w:r>
              <w:t>Tento</w:t>
            </w:r>
            <w:r>
              <w:rPr>
                <w:lang w:val="en-US"/>
              </w:rPr>
              <w:t xml:space="preserve"> </w:t>
            </w:r>
            <w:r>
              <w:t>Dodatek</w:t>
            </w:r>
            <w:r>
              <w:rPr>
                <w:lang w:val="en-US"/>
              </w:rPr>
              <w:t xml:space="preserve"> </w:t>
            </w:r>
            <w:r>
              <w:t xml:space="preserve">vstoupí </w:t>
            </w:r>
            <w:r>
              <w:t>v účinnost počínaje dnem</w:t>
            </w:r>
            <w:r>
              <w:rPr>
                <w:lang w:val="en-US"/>
              </w:rPr>
              <w:t xml:space="preserve"> </w:t>
            </w:r>
            <w:r>
              <w:t>Data účinnosti</w:t>
            </w:r>
            <w:r>
              <w:rPr>
                <w:lang w:val="en-US"/>
              </w:rPr>
              <w:t>.</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13"/>
              </w:numPr>
            </w:pPr>
            <w:r>
              <w:rPr>
                <w:rFonts w:eastAsia="Arial Unicode MS" w:cs="Arial Unicode MS"/>
                <w:lang w:val="en-US"/>
              </w:rPr>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14"/>
              </w:numPr>
            </w:pPr>
            <w:r>
              <w:rPr>
                <w:rFonts w:eastAsia="Arial Unicode MS" w:cs="Arial Unicode MS"/>
              </w:rPr>
              <w:t>Rozhodn</w:t>
            </w:r>
            <w:r>
              <w:rPr>
                <w:rFonts w:eastAsia="Arial Unicode MS" w:cs="Arial Unicode MS"/>
              </w:rPr>
              <w:t xml:space="preserve">é </w:t>
            </w:r>
            <w:r>
              <w:rPr>
                <w:rFonts w:eastAsia="Arial Unicode MS" w:cs="Arial Unicode MS"/>
              </w:rPr>
              <w:t>pr</w:t>
            </w:r>
            <w:r>
              <w:rPr>
                <w:rFonts w:eastAsia="Arial Unicode MS" w:cs="Arial Unicode MS"/>
              </w:rPr>
              <w:t>á</w:t>
            </w:r>
            <w:r>
              <w:rPr>
                <w:rFonts w:eastAsia="Arial Unicode MS" w:cs="Arial Unicode MS"/>
              </w:rPr>
              <w:t>vo</w:t>
            </w:r>
          </w:p>
        </w:tc>
      </w:tr>
      <w:tr w:rsidR="00ED64FB">
        <w:tblPrEx>
          <w:tblCellMar>
            <w:top w:w="0" w:type="dxa"/>
            <w:left w:w="0" w:type="dxa"/>
            <w:bottom w:w="0" w:type="dxa"/>
            <w:right w:w="0" w:type="dxa"/>
          </w:tblCellMar>
        </w:tblPrEx>
        <w:trPr>
          <w:trHeight w:val="144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15"/>
              </w:numPr>
            </w:pPr>
            <w:r>
              <w:rPr>
                <w:rFonts w:eastAsia="Arial Unicode MS" w:cs="Arial Unicode MS"/>
                <w:lang w:val="en-US"/>
              </w:rPr>
              <w:t xml:space="preserve">This Amendment shall be governed by and construed in accordance with English law and the </w:t>
            </w:r>
            <w:r>
              <w:rPr>
                <w:rFonts w:eastAsia="Arial Unicode MS" w:cs="Arial Unicode MS"/>
              </w:rPr>
              <w:t>P</w:t>
            </w:r>
            <w:r>
              <w:rPr>
                <w:rFonts w:eastAsia="Arial Unicode MS" w:cs="Arial Unicode MS"/>
                <w:lang w:val="en-US"/>
              </w:rPr>
              <w:t>arties submit to the exclusive jurisdiction of the English Courts with regard to any dispute or claim arising under this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16"/>
              </w:numPr>
            </w:pPr>
            <w:r>
              <w:t>T</w:t>
            </w:r>
            <w:r>
              <w:rPr>
                <w:lang w:val="en-US"/>
              </w:rPr>
              <w:t>ento</w:t>
            </w:r>
            <w:r>
              <w:t xml:space="preserve"> </w:t>
            </w:r>
            <w:r>
              <w:rPr>
                <w:lang w:val="en-US"/>
              </w:rPr>
              <w:t>Dodatek</w:t>
            </w:r>
            <w:r>
              <w:t xml:space="preserve"> se řídí a je interpretován v souladu s Anglickým právním řádem a Smluvní strany se oddávají výhradní jurisdikc</w:t>
            </w:r>
            <w:r>
              <w:t xml:space="preserve">i Anglických soudů, co se týče jakéhokoliv sporu nebo nároku vzešlého podle </w:t>
            </w:r>
            <w:r>
              <w:rPr>
                <w:lang w:val="en-US"/>
              </w:rPr>
              <w:t>tohoto Dodatku</w:t>
            </w:r>
            <w:r>
              <w:t>.</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17"/>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18"/>
              </w:numPr>
            </w:pPr>
            <w:r>
              <w:rPr>
                <w:rFonts w:eastAsia="Arial Unicode MS" w:cs="Arial Unicode MS"/>
              </w:rPr>
              <w:t>Interpretace</w:t>
            </w:r>
          </w:p>
        </w:tc>
      </w:tr>
      <w:tr w:rsidR="00ED64FB">
        <w:tblPrEx>
          <w:tblCellMar>
            <w:top w:w="0" w:type="dxa"/>
            <w:left w:w="0" w:type="dxa"/>
            <w:bottom w:w="0" w:type="dxa"/>
            <w:right w:w="0" w:type="dxa"/>
          </w:tblCellMar>
        </w:tblPrEx>
        <w:trPr>
          <w:trHeight w:val="2639"/>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19"/>
              </w:numPr>
            </w:pPr>
            <w:r>
              <w:rPr>
                <w:rFonts w:eastAsia="Arial Unicode MS" w:cs="Arial Unicode MS"/>
                <w:lang w:val="en-US"/>
              </w:rPr>
              <w:t>In the event any claim is made by any Party relating to any conflict, omission or ambiguity in this Amendment</w:t>
            </w:r>
            <w:r>
              <w:rPr>
                <w:rFonts w:eastAsia="Arial Unicode MS" w:cs="Arial Unicode MS"/>
                <w:lang w:val="en-US"/>
              </w:rPr>
              <w:t>, no presumption or burden of proof or persuasion shall be implied by virtue of the fact that this Amendment was prepared by or at the request of a particular Party or the Party</w:t>
            </w:r>
            <w:r>
              <w:rPr>
                <w:rFonts w:eastAsia="Arial Unicode MS" w:cs="Arial Unicode MS"/>
                <w:rtl/>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20"/>
              </w:numPr>
            </w:pPr>
            <w:r>
              <w:t>V případě, že jakákoliv Smluvní strana učiní nárok týkající se jaké</w:t>
            </w:r>
            <w:r>
              <w:t xml:space="preserve">hokoliv rozporu, vynechání nebo dvojznačnosti či nejasnosti v </w:t>
            </w:r>
            <w:r>
              <w:rPr>
                <w:lang w:val="en-US"/>
              </w:rPr>
              <w:t>tomto Dodatku</w:t>
            </w:r>
            <w:r>
              <w:t>, nebude implikován žádný předpoklad nebo důkazní břemeno nebo břemeno přesvědčování kvůli faktu, že t</w:t>
            </w:r>
            <w:r>
              <w:rPr>
                <w:lang w:val="en-US"/>
              </w:rPr>
              <w:t>ento Dodatek</w:t>
            </w:r>
            <w:r>
              <w:t xml:space="preserve"> byl připraven konkrétní Smluvní stranou nebo právním zástupcem Sml</w:t>
            </w:r>
            <w:r>
              <w:t>uvní strany, nebo že byl připraven na požadavek konkrétní Smluvní strany nebo právního zástupce Smluvní strany.</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21"/>
              </w:numPr>
            </w:pPr>
            <w:r>
              <w:rPr>
                <w:rFonts w:eastAsia="Arial Unicode MS" w:cs="Arial Unicode MS"/>
                <w:lang w:val="en-US"/>
              </w:rPr>
              <w:lastRenderedPageBreak/>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22"/>
              </w:numPr>
            </w:pPr>
            <w:r>
              <w:rPr>
                <w:rFonts w:eastAsia="Arial Unicode MS" w:cs="Arial Unicode MS"/>
              </w:rPr>
              <w:t>P</w:t>
            </w:r>
            <w:r>
              <w:rPr>
                <w:rFonts w:eastAsia="Arial Unicode MS" w:cs="Arial Unicode MS"/>
              </w:rPr>
              <w:t>ří</w:t>
            </w:r>
            <w:r>
              <w:rPr>
                <w:rFonts w:eastAsia="Arial Unicode MS" w:cs="Arial Unicode MS"/>
              </w:rPr>
              <w:t>lohy</w:t>
            </w:r>
          </w:p>
        </w:tc>
      </w:tr>
      <w:tr w:rsidR="00ED64FB">
        <w:tblPrEx>
          <w:tblCellMar>
            <w:top w:w="0" w:type="dxa"/>
            <w:left w:w="0" w:type="dxa"/>
            <w:bottom w:w="0" w:type="dxa"/>
            <w:right w:w="0" w:type="dxa"/>
          </w:tblCellMar>
        </w:tblPrEx>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23"/>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24"/>
              </w:numPr>
            </w:pPr>
            <w:r>
              <w:t>Všechny přílohy př</w:t>
            </w:r>
            <w:r>
              <w:t xml:space="preserve">ipojené k </w:t>
            </w:r>
            <w:r>
              <w:rPr>
                <w:lang w:val="en-US"/>
              </w:rPr>
              <w:t>tomuto</w:t>
            </w:r>
            <w:r>
              <w:t xml:space="preserve"> </w:t>
            </w:r>
            <w:r>
              <w:rPr>
                <w:lang w:val="en-US"/>
              </w:rPr>
              <w:t>Dodatku</w:t>
            </w:r>
            <w:r>
              <w:t xml:space="preserve"> jsou začleněny a bude s nimi zacházeno, jako by byly uvedeny zde.</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25"/>
              </w:numPr>
            </w:pPr>
            <w:r>
              <w:rPr>
                <w:rFonts w:eastAsia="Arial Unicode MS" w:cs="Arial Unicode MS"/>
                <w:lang w:val="en-US"/>
              </w:rPr>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26"/>
              </w:numPr>
            </w:pPr>
            <w:r>
              <w:rPr>
                <w:rFonts w:eastAsia="Arial Unicode MS" w:cs="Arial Unicode MS"/>
              </w:rPr>
              <w:t>Odd</w:t>
            </w:r>
            <w:r>
              <w:rPr>
                <w:rFonts w:eastAsia="Arial Unicode MS" w:cs="Arial Unicode MS"/>
              </w:rPr>
              <w:t>ě</w:t>
            </w:r>
            <w:r>
              <w:rPr>
                <w:rFonts w:eastAsia="Arial Unicode MS" w:cs="Arial Unicode MS"/>
              </w:rPr>
              <w:t>len</w:t>
            </w:r>
            <w:r>
              <w:rPr>
                <w:rFonts w:eastAsia="Arial Unicode MS" w:cs="Arial Unicode MS"/>
              </w:rPr>
              <w:t>í</w:t>
            </w:r>
          </w:p>
        </w:tc>
      </w:tr>
      <w:tr w:rsidR="00ED64FB">
        <w:tblPrEx>
          <w:tblCellMar>
            <w:top w:w="0" w:type="dxa"/>
            <w:left w:w="0" w:type="dxa"/>
            <w:bottom w:w="0" w:type="dxa"/>
            <w:right w:w="0" w:type="dxa"/>
          </w:tblCellMar>
        </w:tblPrEx>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27"/>
              </w:numPr>
            </w:pPr>
            <w:r>
              <w:rPr>
                <w:rFonts w:eastAsia="Arial Unicode MS" w:cs="Arial Unicode MS"/>
                <w:lang w:val="en-US"/>
              </w:rPr>
              <w:t>In the event that any term or provision of this Amendment</w:t>
            </w:r>
            <w:r>
              <w:rPr>
                <w:rFonts w:eastAsia="Arial Unicode MS" w:cs="Arial Unicode MS"/>
                <w:lang w:val="en-US"/>
              </w:rPr>
              <w:t xml:space="preserve"> shall for any reason be held to be invalid, illegal or unenforceable in any respect, such </w:t>
            </w:r>
            <w:r>
              <w:rPr>
                <w:rFonts w:eastAsia="Arial Unicode MS" w:cs="Arial Unicode MS"/>
              </w:rPr>
              <w:t>in</w:t>
            </w:r>
            <w:r>
              <w:rPr>
                <w:rFonts w:eastAsia="Arial Unicode MS" w:cs="Arial Unicode MS"/>
                <w:lang w:val="en-US"/>
              </w:rPr>
              <w:t>validity, illegality or unenforceability shall not affect any other term or provision, and this Amendment shall be interpreted and construed as if such term or pro</w:t>
            </w:r>
            <w:r>
              <w:rPr>
                <w:rFonts w:eastAsia="Arial Unicode MS" w:cs="Arial Unicode MS"/>
                <w:lang w:val="en-US"/>
              </w:rPr>
              <w:t>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28"/>
              </w:numPr>
            </w:pPr>
            <w:r>
              <w:t xml:space="preserve">V případě, že jakékoliv ustanovení </w:t>
            </w:r>
            <w:r>
              <w:rPr>
                <w:lang w:val="en-US"/>
              </w:rPr>
              <w:t>tohoto Dodatku</w:t>
            </w:r>
            <w:r>
              <w:t xml:space="preserve"> bude z jakéhokoliv důvodu uznáno jakožto neplatné, protiprávní nebo nevymahatelné v ja</w:t>
            </w:r>
            <w:r>
              <w:t>kémkoliv ohledu, pak tato neplatnost, protiprávnost nebo nevymahatelnost neovlivní žádné další ustanovení, a t</w:t>
            </w:r>
            <w:r>
              <w:rPr>
                <w:lang w:val="en-US"/>
              </w:rPr>
              <w:t>ento</w:t>
            </w:r>
            <w:r>
              <w:t xml:space="preserve"> </w:t>
            </w:r>
            <w:r>
              <w:rPr>
                <w:lang w:val="en-US"/>
              </w:rPr>
              <w:t>Dodatek</w:t>
            </w:r>
            <w:r>
              <w:t xml:space="preserve"> bude interpretován a vykládán, jako kdyby toto ustanovení do míry, do které bude uznáno za neplatné, protiprávní nebo nevymahatelné, </w:t>
            </w:r>
            <w:r>
              <w:t>nikdy nebylo zde obsaženo.</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29"/>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30"/>
              </w:numPr>
            </w:pPr>
            <w:r>
              <w:rPr>
                <w:rFonts w:eastAsia="Arial Unicode MS" w:cs="Arial Unicode MS"/>
              </w:rPr>
              <w:t>v</w:t>
            </w:r>
            <w:r>
              <w:rPr>
                <w:rFonts w:eastAsia="Arial Unicode MS" w:cs="Arial Unicode MS"/>
              </w:rPr>
              <w:t>ý</w:t>
            </w:r>
            <w:r>
              <w:rPr>
                <w:rFonts w:eastAsia="Arial Unicode MS" w:cs="Arial Unicode MS"/>
              </w:rPr>
              <w:t>tisky</w:t>
            </w:r>
          </w:p>
        </w:tc>
      </w:tr>
      <w:tr w:rsidR="00ED64FB">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31"/>
              </w:numPr>
            </w:pPr>
            <w:r>
              <w:rPr>
                <w:rFonts w:eastAsia="Arial Unicode MS" w:cs="Arial Unicode MS"/>
                <w:lang w:val="en-US"/>
              </w:rPr>
              <w:t>This Amendment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32"/>
              </w:numPr>
            </w:pPr>
            <w:r>
              <w:rPr>
                <w:lang w:val="en-US"/>
              </w:rPr>
              <w:t>Tento Dodatek</w:t>
            </w:r>
            <w:r>
              <w:t xml:space="preserve"> může bý</w:t>
            </w:r>
            <w:r>
              <w:t>t podepsán v jednom nebo více výtiscích, z nichž každý bude pokládán za originál, ale všechny dohromady budou tvořit jed</w:t>
            </w:r>
            <w:r>
              <w:rPr>
                <w:lang w:val="en-US"/>
              </w:rPr>
              <w:t>en</w:t>
            </w:r>
            <w:r>
              <w:t xml:space="preserve"> a t</w:t>
            </w:r>
            <w:r>
              <w:rPr>
                <w:lang w:val="en-US"/>
              </w:rPr>
              <w:t>en</w:t>
            </w:r>
            <w:r>
              <w:t xml:space="preserve"> samý Dodatek.</w:t>
            </w:r>
          </w:p>
        </w:tc>
      </w:tr>
      <w:tr w:rsidR="00ED64FB">
        <w:tblPrEx>
          <w:tblCellMar>
            <w:top w:w="0" w:type="dxa"/>
            <w:left w:w="0" w:type="dxa"/>
            <w:bottom w:w="0" w:type="dxa"/>
            <w:right w:w="0" w:type="dxa"/>
          </w:tblCellMar>
        </w:tblPrEx>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33"/>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is written in both </w:t>
            </w:r>
            <w:r>
              <w:rPr>
                <w:rFonts w:eastAsia="Arial Unicode MS" w:cs="Arial Unicode MS"/>
              </w:rPr>
              <w:t xml:space="preserve">the </w:t>
            </w:r>
            <w:r>
              <w:rPr>
                <w:rFonts w:eastAsia="Arial Unicode MS" w:cs="Arial Unicode MS"/>
                <w:lang w:val="en-US"/>
              </w:rPr>
              <w:t xml:space="preserve">English and </w:t>
            </w:r>
            <w:r>
              <w:rPr>
                <w:rFonts w:eastAsia="Arial Unicode MS" w:cs="Arial Unicode MS"/>
              </w:rPr>
              <w:t xml:space="preserve">the </w:t>
            </w:r>
            <w:r>
              <w:rPr>
                <w:rFonts w:eastAsia="Arial Unicode MS" w:cs="Arial Unicode MS"/>
                <w:lang w:val="en-US"/>
              </w:rPr>
              <w:t xml:space="preserve">Czech language. In case of any discrepancies between the </w:t>
            </w:r>
            <w:r>
              <w:rPr>
                <w:rFonts w:eastAsia="Arial Unicode MS" w:cs="Arial Unicode MS"/>
                <w:lang w:val="en-US"/>
              </w:rPr>
              <w:t>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34"/>
              </w:numPr>
            </w:pPr>
            <w:r>
              <w:t>Tento Dodatek je sepsán jak v anglickém, tak českém jazyce. V případě jakýchkoliv rozporů mezi oběma jazykovými verzemi je rozhodné znění české verze.</w:t>
            </w:r>
          </w:p>
        </w:tc>
      </w:tr>
      <w:tr w:rsidR="00ED64FB">
        <w:tblPrEx>
          <w:tblCellMar>
            <w:top w:w="0" w:type="dxa"/>
            <w:left w:w="0" w:type="dxa"/>
            <w:bottom w:w="0" w:type="dxa"/>
            <w:right w:w="0" w:type="dxa"/>
          </w:tblCellMar>
        </w:tblPrEx>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
              <w:numPr>
                <w:ilvl w:val="0"/>
                <w:numId w:val="35"/>
              </w:numPr>
            </w:pPr>
            <w:r>
              <w:rPr>
                <w:rFonts w:eastAsia="Arial Unicode MS" w:cs="Arial Unicode MS"/>
                <w:lang w:val="en-US"/>
              </w:rPr>
              <w:lastRenderedPageBreak/>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HEADINGCZECH"/>
              <w:numPr>
                <w:ilvl w:val="0"/>
                <w:numId w:val="36"/>
              </w:numPr>
            </w:pPr>
            <w:r>
              <w:rPr>
                <w:rFonts w:eastAsia="Arial Unicode MS" w:cs="Arial Unicode MS"/>
              </w:rPr>
              <w:t>Cel</w:t>
            </w:r>
            <w:r>
              <w:rPr>
                <w:rFonts w:eastAsia="Arial Unicode MS" w:cs="Arial Unicode MS"/>
              </w:rPr>
              <w:t xml:space="preserve">á </w:t>
            </w:r>
            <w:r>
              <w:rPr>
                <w:rFonts w:eastAsia="Arial Unicode MS" w:cs="Arial Unicode MS"/>
              </w:rPr>
              <w:t>smlouva</w:t>
            </w:r>
          </w:p>
        </w:tc>
      </w:tr>
      <w:tr w:rsidR="00ED64FB">
        <w:tblPrEx>
          <w:tblCellMar>
            <w:top w:w="0" w:type="dxa"/>
            <w:left w:w="0" w:type="dxa"/>
            <w:bottom w:w="0" w:type="dxa"/>
            <w:right w:w="0" w:type="dxa"/>
          </w:tblCellMar>
        </w:tblPrEx>
        <w:trPr>
          <w:trHeight w:val="1305"/>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
              <w:numPr>
                <w:ilvl w:val="1"/>
                <w:numId w:val="37"/>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rsidP="00835D0E">
            <w:pPr>
              <w:pStyle w:val="BodyCzech"/>
              <w:numPr>
                <w:ilvl w:val="1"/>
                <w:numId w:val="38"/>
              </w:numPr>
            </w:pPr>
            <w:r>
              <w:t>Tento Dodatek představuje úplné ujednání mezi Smluvními stranami ve vztahu k předmětu tohoto Dodatku.</w:t>
            </w:r>
          </w:p>
        </w:tc>
      </w:tr>
      <w:tr w:rsidR="00ED64FB">
        <w:tblPrEx>
          <w:tblCellMar>
            <w:top w:w="0" w:type="dxa"/>
            <w:left w:w="0" w:type="dxa"/>
            <w:bottom w:w="0" w:type="dxa"/>
            <w:right w:w="0" w:type="dxa"/>
          </w:tblCellMar>
        </w:tblPrEx>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
            </w:pPr>
            <w:r>
              <w:rPr>
                <w:rFonts w:eastAsia="Arial Unicode MS" w:cs="Arial Unicode MS"/>
              </w:rPr>
              <w:t xml:space="preserve">IN WITNESS WHEREOF, the Parties have duly </w:t>
            </w:r>
            <w:r>
              <w:rPr>
                <w:rFonts w:eastAsia="Arial Unicode MS" w:cs="Arial Unicode MS"/>
              </w:rPr>
              <w:t>affixed their signatures on the Execution Date:</w:t>
            </w:r>
          </w:p>
        </w:tc>
        <w:tc>
          <w:tcPr>
            <w:tcW w:w="4703" w:type="dxa"/>
            <w:tcBorders>
              <w:top w:val="nil"/>
              <w:left w:val="nil"/>
              <w:bottom w:val="nil"/>
              <w:right w:val="nil"/>
            </w:tcBorders>
            <w:shd w:val="clear" w:color="auto" w:fill="auto"/>
            <w:tcMar>
              <w:top w:w="80" w:type="dxa"/>
              <w:left w:w="80" w:type="dxa"/>
              <w:bottom w:w="80" w:type="dxa"/>
              <w:right w:w="80" w:type="dxa"/>
            </w:tcMar>
          </w:tcPr>
          <w:p w:rsidR="00ED64FB" w:rsidRDefault="00835D0E">
            <w:pPr>
              <w:pStyle w:val="BodyCzech"/>
            </w:pPr>
            <w:r>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t>podpisy v den Data podpisu:</w:t>
            </w:r>
          </w:p>
        </w:tc>
      </w:tr>
      <w:tr w:rsidR="00ED64FB">
        <w:tblPrEx>
          <w:tblCellMar>
            <w:top w:w="0" w:type="dxa"/>
            <w:left w:w="0" w:type="dxa"/>
            <w:bottom w:w="0" w:type="dxa"/>
            <w:right w:w="0" w:type="dxa"/>
          </w:tblCellMar>
        </w:tblPrEx>
        <w:trPr>
          <w:trHeight w:val="1901"/>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ED64FB" w:rsidRDefault="00835D0E">
            <w:pPr>
              <w:pStyle w:val="Body"/>
              <w:jc w:val="center"/>
            </w:pPr>
            <w:r>
              <w:rPr>
                <w:lang w:val="en-US"/>
              </w:rPr>
              <w:t>_______________________________________</w:t>
            </w:r>
            <w:r>
              <w:br/>
            </w:r>
            <w:r>
              <w:rPr>
                <w:lang w:val="en-US"/>
              </w:rPr>
              <w:t>OUI Technology Ltd.</w:t>
            </w:r>
            <w:r>
              <w:br/>
            </w:r>
            <w:r>
              <w:rPr>
                <w:lang w:val="de-DE"/>
              </w:rPr>
              <w:t>Jan Buchal, Director</w:t>
            </w:r>
            <w:r>
              <w:rPr>
                <w:rStyle w:val="None"/>
                <w:color w:val="5E5E5E"/>
                <w:sz w:val="18"/>
                <w:szCs w:val="18"/>
                <w:lang w:val="en-US"/>
              </w:rPr>
              <w:t>/</w:t>
            </w:r>
            <w:r>
              <w:rPr>
                <w:rStyle w:val="None"/>
                <w:i/>
                <w:iCs/>
                <w:color w:val="5E5E5E"/>
                <w:sz w:val="18"/>
                <w:szCs w:val="18"/>
              </w:rPr>
              <w:t>ředitel</w:t>
            </w:r>
            <w:r>
              <w:rPr>
                <w:rStyle w:val="None"/>
                <w:i/>
                <w:iCs/>
                <w:color w:val="5E5E5E"/>
                <w:sz w:val="18"/>
                <w:szCs w:val="18"/>
              </w:rPr>
              <w:br/>
            </w:r>
            <w:r>
              <w:rPr>
                <w:lang w:val="en-US"/>
              </w:rPr>
              <w:t>(for the Licensor</w:t>
            </w:r>
            <w:r>
              <w:rPr>
                <w:rStyle w:val="None"/>
                <w:color w:val="5E5E5E"/>
                <w:sz w:val="18"/>
                <w:szCs w:val="18"/>
                <w:lang w:val="en-US"/>
              </w:rPr>
              <w:t>/za Poskytovatele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ED64FB" w:rsidRDefault="00835D0E">
            <w:pPr>
              <w:pStyle w:val="Body"/>
              <w:tabs>
                <w:tab w:val="center" w:pos="2353"/>
                <w:tab w:val="center" w:pos="7058"/>
              </w:tabs>
              <w:spacing w:before="600"/>
              <w:jc w:val="center"/>
            </w:pPr>
            <w:r>
              <w:rPr>
                <w:lang w:val="en-US"/>
              </w:rPr>
              <w:t>_______________________________________</w:t>
            </w:r>
            <w:r>
              <w:br/>
            </w:r>
            <w:r>
              <w:t>Knihovna a tiskárna pro nevidom</w:t>
            </w:r>
            <w:r>
              <w:rPr>
                <w:lang w:val="fr-FR"/>
              </w:rPr>
              <w:t xml:space="preserve">é </w:t>
            </w:r>
            <w:r>
              <w:rPr>
                <w:lang w:val="es-ES_tradnl"/>
              </w:rPr>
              <w:t>K.E.Macana</w:t>
            </w:r>
            <w:r>
              <w:br/>
            </w:r>
            <w:r>
              <w:t>Bohdan Roule</w:t>
            </w:r>
            <w:r>
              <w:rPr>
                <w:lang w:val="en-US"/>
              </w:rPr>
              <w:t xml:space="preserve">, </w:t>
            </w:r>
            <w:r>
              <w:t>Director</w:t>
            </w:r>
            <w:r>
              <w:rPr>
                <w:rStyle w:val="None"/>
                <w:color w:val="5E5E5E"/>
                <w:sz w:val="18"/>
                <w:szCs w:val="18"/>
                <w:lang w:val="en-US"/>
              </w:rPr>
              <w:t>/</w:t>
            </w:r>
            <w:r>
              <w:rPr>
                <w:rStyle w:val="None"/>
                <w:i/>
                <w:iCs/>
                <w:color w:val="5E5E5E"/>
                <w:sz w:val="18"/>
                <w:szCs w:val="18"/>
              </w:rPr>
              <w:t>ředitel</w:t>
            </w:r>
            <w:r>
              <w:br/>
            </w:r>
            <w:r>
              <w:rPr>
                <w:lang w:val="en-US"/>
              </w:rPr>
              <w:t>(for the Licensee</w:t>
            </w:r>
            <w:r>
              <w:rPr>
                <w:rStyle w:val="None"/>
                <w:color w:val="5E5E5E"/>
                <w:sz w:val="18"/>
                <w:szCs w:val="18"/>
                <w:lang w:val="en-US"/>
              </w:rPr>
              <w:t>/za Nabyvatele</w:t>
            </w:r>
            <w:r>
              <w:t>)</w:t>
            </w:r>
          </w:p>
        </w:tc>
      </w:tr>
    </w:tbl>
    <w:p w:rsidR="00ED64FB" w:rsidRDefault="00ED64FB">
      <w:pPr>
        <w:pStyle w:val="Body"/>
      </w:pPr>
      <w:r>
        <w:pict>
          <v:rect id="_x0000_s1026" style="position:absolute;margin-left:0;margin-top:0;width:595.3pt;height:226.8pt;z-index:251659264;visibility:visible;mso-wrap-distance-left:0;mso-wrap-distance-right:0;mso-position-horizontal-relative:page;mso-position-vertical-relative:page" filled="f" stroked="f" strokeweight="1pt">
            <v:stroke miterlimit="4"/>
            <w10:wrap type="topAndBottom" anchorx="page" anchory="page"/>
          </v:rect>
        </w:pict>
      </w:r>
      <w:r w:rsidR="00835D0E">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UIL.png"/>
                    <pic:cNvPicPr>
                      <a:picLocks noChangeAspect="1"/>
                    </pic:cNvPicPr>
                  </pic:nvPicPr>
                  <pic:blipFill>
                    <a:blip r:embed="rId7" cstate="print">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ED64FB" w:rsidSect="00ED64FB">
      <w:headerReference w:type="default" r:id="rId8"/>
      <w:footerReference w:type="default" r:id="rId9"/>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D0E" w:rsidRDefault="00835D0E" w:rsidP="00ED64FB">
      <w:r>
        <w:separator/>
      </w:r>
    </w:p>
  </w:endnote>
  <w:endnote w:type="continuationSeparator" w:id="0">
    <w:p w:rsidR="00835D0E" w:rsidRDefault="00835D0E" w:rsidP="00ED6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Futura">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FB" w:rsidRDefault="00ED64FB">
    <w:pPr>
      <w:pStyle w:val="Default"/>
      <w:tabs>
        <w:tab w:val="center" w:pos="4706"/>
        <w:tab w:val="right" w:pos="9411"/>
      </w:tabs>
    </w:pPr>
  </w:p>
  <w:p w:rsidR="00ED64FB" w:rsidRDefault="00835D0E">
    <w:pPr>
      <w:pStyle w:val="Default"/>
      <w:tabs>
        <w:tab w:val="center" w:pos="4706"/>
        <w:tab w:val="right" w:pos="9411"/>
      </w:tabs>
      <w:spacing w:line="180" w:lineRule="exact"/>
      <w:rPr>
        <w:rFonts w:ascii="Futura" w:eastAsia="Futura" w:hAnsi="Futura" w:cs="Futura"/>
        <w:sz w:val="14"/>
        <w:szCs w:val="14"/>
      </w:rPr>
    </w:pPr>
    <w:r>
      <w:rPr>
        <w:rFonts w:ascii="Futura" w:hAnsi="Futura"/>
        <w:sz w:val="14"/>
        <w:szCs w:val="14"/>
      </w:rPr>
      <w:tab/>
    </w:r>
    <w:r>
      <w:rPr>
        <w:rFonts w:ascii="Futura" w:hAnsi="Futura"/>
        <w:sz w:val="14"/>
        <w:szCs w:val="14"/>
        <w:lang w:val="en-US"/>
      </w:rPr>
      <w:t>COMPANY</w:t>
    </w:r>
    <w:r>
      <w:rPr>
        <w:rFonts w:ascii="Arial Unicode MS" w:hAnsi="Arial Unicode MS"/>
        <w:sz w:val="14"/>
        <w:szCs w:val="14"/>
      </w:rPr>
      <w:t> </w:t>
    </w:r>
    <w:r>
      <w:rPr>
        <w:rFonts w:ascii="Futura" w:hAnsi="Futura"/>
        <w:sz w:val="14"/>
        <w:szCs w:val="14"/>
      </w:rPr>
      <w:t>NAME:</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en-US"/>
      </w:rPr>
      <w:t xml:space="preserve">OUI </w:t>
    </w:r>
    <w:r>
      <w:rPr>
        <w:rFonts w:ascii="Arial Unicode MS" w:hAnsi="Arial Unicode MS"/>
        <w:sz w:val="14"/>
        <w:szCs w:val="14"/>
      </w:rPr>
      <w:t> </w:t>
    </w:r>
    <w:r>
      <w:rPr>
        <w:rFonts w:ascii="Futura" w:hAnsi="Futura"/>
        <w:sz w:val="14"/>
        <w:szCs w:val="14"/>
      </w:rPr>
      <w:t>Technology</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rPr>
      <w:t>Ltd.</w:t>
    </w:r>
    <w:r>
      <w:rPr>
        <w:rFonts w:ascii="Arial Unicode MS" w:hAnsi="Arial Unicode MS"/>
        <w:sz w:val="14"/>
        <w:szCs w:val="14"/>
      </w:rPr>
      <w:t> </w:t>
    </w:r>
    <w:r>
      <w:rPr>
        <w:rFonts w:ascii="Futura" w:hAnsi="Futura"/>
        <w:sz w:val="14"/>
        <w:szCs w:val="14"/>
        <w:lang w:val="en-US"/>
      </w:rPr>
      <w:t xml:space="preserve"> </w:t>
    </w:r>
    <w:r>
      <w:rPr>
        <w:rFonts w:ascii="Futura" w:hAnsi="Futura"/>
        <w:sz w:val="14"/>
        <w:szCs w:val="14"/>
      </w:rPr>
      <w:t>|</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de-DE"/>
      </w:rPr>
      <w:t>REGISTERED</w:t>
    </w:r>
    <w:r>
      <w:rPr>
        <w:rFonts w:ascii="Arial Unicode MS" w:hAnsi="Arial Unicode MS"/>
        <w:sz w:val="14"/>
        <w:szCs w:val="14"/>
      </w:rPr>
      <w:t> </w:t>
    </w:r>
    <w:r>
      <w:rPr>
        <w:rFonts w:ascii="Futura" w:hAnsi="Futura"/>
        <w:sz w:val="14"/>
        <w:szCs w:val="14"/>
        <w:lang w:val="en-US"/>
      </w:rPr>
      <w:t xml:space="preserve">OFFICE: </w:t>
    </w:r>
    <w:r>
      <w:rPr>
        <w:rFonts w:ascii="Arial Unicode MS" w:hAnsi="Arial Unicode MS"/>
        <w:sz w:val="14"/>
        <w:szCs w:val="14"/>
      </w:rPr>
      <w:t> </w:t>
    </w:r>
    <w:r>
      <w:rPr>
        <w:rFonts w:ascii="Futura" w:hAnsi="Futura"/>
        <w:sz w:val="14"/>
        <w:szCs w:val="14"/>
      </w:rPr>
      <w:t>Kemp</w:t>
    </w:r>
    <w:r>
      <w:rPr>
        <w:rFonts w:ascii="Arial Unicode MS" w:hAnsi="Arial Unicode MS"/>
        <w:sz w:val="14"/>
        <w:szCs w:val="14"/>
      </w:rPr>
      <w:t> </w:t>
    </w:r>
    <w:r>
      <w:rPr>
        <w:rFonts w:ascii="Futura" w:hAnsi="Futura"/>
        <w:sz w:val="14"/>
        <w:szCs w:val="14"/>
        <w:lang w:val="en-US"/>
      </w:rPr>
      <w:t xml:space="preserve">House, </w:t>
    </w:r>
    <w:r>
      <w:rPr>
        <w:rFonts w:ascii="Arial Unicode MS" w:hAnsi="Arial Unicode MS"/>
        <w:sz w:val="14"/>
        <w:szCs w:val="14"/>
      </w:rPr>
      <w:t> </w:t>
    </w:r>
    <w:r>
      <w:rPr>
        <w:rFonts w:ascii="Futura" w:hAnsi="Futura"/>
        <w:sz w:val="14"/>
        <w:szCs w:val="14"/>
      </w:rPr>
      <w:t>160</w:t>
    </w:r>
    <w:r>
      <w:rPr>
        <w:rFonts w:ascii="Arial Unicode MS" w:hAnsi="Arial Unicode MS"/>
        <w:sz w:val="14"/>
        <w:szCs w:val="14"/>
      </w:rPr>
      <w:t> </w:t>
    </w:r>
    <w:r>
      <w:rPr>
        <w:rFonts w:ascii="Futura" w:hAnsi="Futura"/>
        <w:sz w:val="14"/>
        <w:szCs w:val="14"/>
        <w:lang w:val="en-US"/>
      </w:rPr>
      <w:t>City</w:t>
    </w:r>
    <w:r>
      <w:rPr>
        <w:rFonts w:ascii="Arial Unicode MS" w:hAnsi="Arial Unicode MS"/>
        <w:sz w:val="14"/>
        <w:szCs w:val="14"/>
      </w:rPr>
      <w:t> </w:t>
    </w:r>
    <w:r>
      <w:rPr>
        <w:rFonts w:ascii="Futura" w:hAnsi="Futura"/>
        <w:sz w:val="14"/>
        <w:szCs w:val="14"/>
        <w:lang w:val="en-US"/>
      </w:rPr>
      <w:t xml:space="preserve">Road, </w:t>
    </w:r>
    <w:r>
      <w:rPr>
        <w:rFonts w:ascii="Arial Unicode MS" w:hAnsi="Arial Unicode MS"/>
        <w:sz w:val="14"/>
        <w:szCs w:val="14"/>
      </w:rPr>
      <w:t> </w:t>
    </w:r>
    <w:r>
      <w:rPr>
        <w:rFonts w:ascii="Futura" w:hAnsi="Futura"/>
        <w:sz w:val="14"/>
        <w:szCs w:val="14"/>
        <w:lang w:val="it-IT"/>
      </w:rPr>
      <w:t>London,</w:t>
    </w:r>
    <w:r>
      <w:rPr>
        <w:rFonts w:ascii="Arial Unicode MS" w:hAnsi="Arial Unicode MS"/>
        <w:sz w:val="14"/>
        <w:szCs w:val="14"/>
      </w:rPr>
      <w:t> </w:t>
    </w:r>
    <w:r>
      <w:rPr>
        <w:rFonts w:ascii="Futura" w:hAnsi="Futura"/>
        <w:sz w:val="14"/>
        <w:szCs w:val="14"/>
        <w:lang w:val="en-US"/>
      </w:rPr>
      <w:t>United</w:t>
    </w:r>
    <w:r>
      <w:rPr>
        <w:rFonts w:ascii="Arial Unicode MS" w:hAnsi="Arial Unicode MS"/>
        <w:sz w:val="14"/>
        <w:szCs w:val="14"/>
      </w:rPr>
      <w:t> </w:t>
    </w:r>
    <w:r>
      <w:rPr>
        <w:rFonts w:ascii="Futura" w:hAnsi="Futura"/>
        <w:sz w:val="14"/>
        <w:szCs w:val="14"/>
        <w:lang w:val="sv-SE"/>
      </w:rPr>
      <w:t>Kingdom</w:t>
    </w:r>
    <w:r>
      <w:rPr>
        <w:rFonts w:ascii="Futura" w:hAnsi="Futura"/>
        <w:sz w:val="14"/>
        <w:szCs w:val="14"/>
      </w:rPr>
      <w:t>, EC1V</w:t>
    </w:r>
    <w:r>
      <w:rPr>
        <w:rFonts w:ascii="Arial Unicode MS" w:hAnsi="Arial Unicode MS"/>
        <w:sz w:val="14"/>
        <w:szCs w:val="14"/>
      </w:rPr>
      <w:t> </w:t>
    </w:r>
    <w:r>
      <w:rPr>
        <w:rFonts w:ascii="Futura" w:hAnsi="Futura"/>
        <w:sz w:val="14"/>
        <w:szCs w:val="14"/>
        <w:lang w:val="en-US"/>
      </w:rPr>
      <w:t>2NX</w:t>
    </w:r>
  </w:p>
  <w:p w:rsidR="00ED64FB" w:rsidRDefault="00835D0E">
    <w:pPr>
      <w:pStyle w:val="Default"/>
      <w:tabs>
        <w:tab w:val="center" w:pos="4706"/>
        <w:tab w:val="right" w:pos="9411"/>
      </w:tabs>
      <w:spacing w:line="180" w:lineRule="exact"/>
      <w:rPr>
        <w:rFonts w:ascii="Futura" w:eastAsia="Futura" w:hAnsi="Futura" w:cs="Futura"/>
        <w:spacing w:val="-8"/>
        <w:sz w:val="14"/>
        <w:szCs w:val="14"/>
      </w:rPr>
    </w:pPr>
    <w:r>
      <w:rPr>
        <w:rFonts w:ascii="Futura" w:eastAsia="Futura" w:hAnsi="Futura" w:cs="Futura"/>
        <w:spacing w:val="-8"/>
        <w:sz w:val="14"/>
        <w:szCs w:val="14"/>
      </w:rPr>
      <w:tab/>
    </w:r>
    <w:r>
      <w:rPr>
        <w:rFonts w:ascii="Futura" w:hAnsi="Futura"/>
        <w:spacing w:val="-8"/>
        <w:sz w:val="14"/>
        <w:szCs w:val="14"/>
        <w:lang w:val="en-US"/>
      </w:rPr>
      <w:t>PLACE OF REGISTRATION:</w:t>
    </w:r>
    <w:r>
      <w:rPr>
        <w:rFonts w:ascii="Arial Unicode MS" w:hAnsi="Arial Unicode MS"/>
        <w:spacing w:val="-8"/>
        <w:sz w:val="14"/>
        <w:szCs w:val="14"/>
      </w:rPr>
      <w:t> </w:t>
    </w:r>
    <w:r>
      <w:rPr>
        <w:rFonts w:ascii="Futura" w:hAnsi="Futura"/>
        <w:spacing w:val="-8"/>
        <w:sz w:val="14"/>
        <w:szCs w:val="14"/>
        <w:lang w:val="en-US"/>
      </w:rPr>
      <w:t xml:space="preserve">England and Wales | COMPANY No.: </w:t>
    </w:r>
    <w:r>
      <w:rPr>
        <w:rFonts w:ascii="Futura" w:hAnsi="Futura"/>
        <w:spacing w:val="-8"/>
        <w:sz w:val="14"/>
        <w:szCs w:val="14"/>
        <w:lang w:val="de-DE"/>
      </w:rPr>
      <w:t xml:space="preserve">10905437 | E-MAIL: </w:t>
    </w:r>
    <w:hyperlink r:id="rId1" w:history="1">
      <w:r>
        <w:rPr>
          <w:rStyle w:val="Hyperlink0"/>
          <w:rFonts w:eastAsia="Arial Unicode MS" w:cs="Arial Unicode MS"/>
        </w:rPr>
        <w:t>info@oui.technology</w:t>
      </w:r>
    </w:hyperlink>
    <w:r>
      <w:rPr>
        <w:rFonts w:ascii="Futura" w:hAnsi="Futura"/>
        <w:spacing w:val="-8"/>
        <w:sz w:val="14"/>
        <w:szCs w:val="14"/>
        <w:lang w:val="de-DE"/>
      </w:rPr>
      <w:t xml:space="preserve"> | WEB: </w:t>
    </w:r>
    <w:hyperlink r:id="rId2" w:history="1">
      <w:r>
        <w:rPr>
          <w:rStyle w:val="Hyperlink1"/>
          <w:rFonts w:eastAsia="Arial Unicode MS" w:cs="Arial Unicode MS"/>
        </w:rPr>
        <w:t>oui.technology</w:t>
      </w:r>
    </w:hyperlink>
    <w:r>
      <w:rPr>
        <w:rFonts w:ascii="Futura" w:hAnsi="Futura"/>
        <w:spacing w:val="-8"/>
        <w:sz w:val="14"/>
        <w:szCs w:val="14"/>
      </w:rPr>
      <w:t xml:space="preserve"> | PHONE: +44 20 3286</w:t>
    </w:r>
    <w:r>
      <w:rPr>
        <w:rFonts w:ascii="Futura" w:hAnsi="Futura"/>
        <w:spacing w:val="-8"/>
        <w:sz w:val="14"/>
        <w:szCs w:val="14"/>
        <w:lang w:val="en-US"/>
      </w:rPr>
      <w:t xml:space="preserve"> </w:t>
    </w:r>
    <w:r>
      <w:rPr>
        <w:rFonts w:ascii="Futura" w:hAnsi="Futura"/>
        <w:spacing w:val="-8"/>
        <w:sz w:val="14"/>
        <w:szCs w:val="14"/>
      </w:rPr>
      <w:t>0368</w:t>
    </w:r>
  </w:p>
  <w:p w:rsidR="00ED64FB" w:rsidRDefault="00835D0E">
    <w:pPr>
      <w:pStyle w:val="Default"/>
      <w:tabs>
        <w:tab w:val="center" w:pos="4706"/>
        <w:tab w:val="right" w:pos="9411"/>
      </w:tabs>
      <w:spacing w:after="300" w:line="180" w:lineRule="exact"/>
      <w:rPr>
        <w:rFonts w:ascii="Futura" w:eastAsia="Futura" w:hAnsi="Futura" w:cs="Futura"/>
        <w:spacing w:val="-5"/>
        <w:sz w:val="11"/>
        <w:szCs w:val="11"/>
      </w:rPr>
    </w:pPr>
    <w:r>
      <w:rPr>
        <w:rFonts w:ascii="Futura" w:eastAsia="Futura" w:hAnsi="Futura" w:cs="Futura"/>
        <w:spacing w:val="-5"/>
        <w:sz w:val="11"/>
        <w:szCs w:val="11"/>
      </w:rPr>
      <w:tab/>
    </w:r>
    <w:r>
      <w:rPr>
        <w:rFonts w:ascii="Futura" w:hAnsi="Futura"/>
        <w:spacing w:val="-5"/>
        <w:sz w:val="11"/>
        <w:szCs w:val="11"/>
        <w:lang w:val="en-US"/>
      </w:rPr>
      <w:t xml:space="preserve">Warning: This document contains confidential information intended only for the indented recipient. It is forbidden to share or distribute any part of this document without prior written </w:t>
    </w:r>
    <w:r>
      <w:rPr>
        <w:rFonts w:ascii="Futura" w:hAnsi="Futura"/>
        <w:spacing w:val="-5"/>
        <w:sz w:val="11"/>
        <w:szCs w:val="11"/>
        <w:lang w:val="en-US"/>
      </w:rPr>
      <w:t>permission from OUI Technology Ltd.</w:t>
    </w:r>
  </w:p>
  <w:p w:rsidR="00ED64FB" w:rsidRDefault="00835D0E">
    <w:pPr>
      <w:pStyle w:val="Default"/>
      <w:tabs>
        <w:tab w:val="center" w:pos="4706"/>
        <w:tab w:val="right" w:pos="9411"/>
      </w:tabs>
    </w:pPr>
    <w:r>
      <w:rPr>
        <w:rFonts w:ascii="Futura" w:eastAsia="Futura" w:hAnsi="Futura" w:cs="Futura"/>
        <w:sz w:val="18"/>
        <w:szCs w:val="18"/>
      </w:rPr>
      <w:tab/>
    </w:r>
    <w:r w:rsidR="00ED64FB">
      <w:rPr>
        <w:rFonts w:ascii="Futura" w:eastAsia="Futura" w:hAnsi="Futura" w:cs="Futura"/>
        <w:sz w:val="18"/>
        <w:szCs w:val="18"/>
      </w:rPr>
      <w:fldChar w:fldCharType="begin"/>
    </w:r>
    <w:r>
      <w:rPr>
        <w:rFonts w:ascii="Futura" w:eastAsia="Futura" w:hAnsi="Futura" w:cs="Futura"/>
        <w:sz w:val="18"/>
        <w:szCs w:val="18"/>
      </w:rPr>
      <w:instrText xml:space="preserve"> PAGE </w:instrText>
    </w:r>
    <w:r w:rsidR="001755E6">
      <w:rPr>
        <w:rFonts w:ascii="Futura" w:eastAsia="Futura" w:hAnsi="Futura" w:cs="Futura"/>
        <w:sz w:val="18"/>
        <w:szCs w:val="18"/>
      </w:rPr>
      <w:fldChar w:fldCharType="separate"/>
    </w:r>
    <w:r w:rsidR="001755E6">
      <w:rPr>
        <w:rFonts w:ascii="Futura" w:eastAsia="Futura" w:hAnsi="Futura" w:cs="Futura"/>
        <w:noProof/>
        <w:sz w:val="18"/>
        <w:szCs w:val="18"/>
      </w:rPr>
      <w:t>5</w:t>
    </w:r>
    <w:r w:rsidR="00ED64FB">
      <w:rPr>
        <w:rFonts w:ascii="Futura" w:eastAsia="Futura" w:hAnsi="Futura" w:cs="Futur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D0E" w:rsidRDefault="00835D0E" w:rsidP="00ED64FB">
      <w:r>
        <w:separator/>
      </w:r>
    </w:p>
  </w:footnote>
  <w:footnote w:type="continuationSeparator" w:id="0">
    <w:p w:rsidR="00835D0E" w:rsidRDefault="00835D0E" w:rsidP="00ED6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FB" w:rsidRDefault="00ED64FB">
    <w:r w:rsidRPr="00ED64FB">
      <w:pict>
        <v:shape id="_x0000_s2049" style="position:absolute;margin-left:571.5pt;margin-top:200.3pt;width:25.7pt;height:19.7pt;rotation:305;z-index:-251658752;visibility:visible;mso-wrap-distance-left:12pt;mso-wrap-distance-top:12pt;mso-wrap-distance-right:12pt;mso-wrap-distance-bottom:12pt;mso-position-horizontal:absolute;mso-position-horizontal-relative:page;mso-position-vertical:absolute;mso-position-vertical-relative:page" coordsize="21600,21600" path="m,21600r21600,-358l21215,,4756,,,21600xe" filled="f" stroked="f" strokeweight="1pt">
          <v:stroke miterlimit="4" joinstyle="miter"/>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8C8"/>
    <w:multiLevelType w:val="hybridMultilevel"/>
    <w:tmpl w:val="FCEA301A"/>
    <w:lvl w:ilvl="0" w:tplc="9A3EC02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026D2C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988D09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042B38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09AA15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D3C8BF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2AA634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9EC8E0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33C8DD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
    <w:nsid w:val="08EB45F5"/>
    <w:multiLevelType w:val="hybridMultilevel"/>
    <w:tmpl w:val="09BE18BC"/>
    <w:lvl w:ilvl="0" w:tplc="51DA694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9FE97C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7920A4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FA42FE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8AEE18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7185BC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D78E13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DA87A8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D683AE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
    <w:nsid w:val="0F4450DE"/>
    <w:multiLevelType w:val="hybridMultilevel"/>
    <w:tmpl w:val="335C9C4A"/>
    <w:lvl w:ilvl="0" w:tplc="6A40AAC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10DE8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E8416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AC4E77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74AA5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03CB98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46939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F1EF1E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001F3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153131C1"/>
    <w:multiLevelType w:val="hybridMultilevel"/>
    <w:tmpl w:val="F95834EA"/>
    <w:lvl w:ilvl="0" w:tplc="7962037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7D4C26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EAE1AF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0C43B6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7097D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7CCBB0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290601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9BEDDB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CBEF81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15A16AC5"/>
    <w:multiLevelType w:val="hybridMultilevel"/>
    <w:tmpl w:val="8B94113E"/>
    <w:lvl w:ilvl="0" w:tplc="BD9692C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E763D0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FE9A9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808495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4DC31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FE48AC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89E848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260E39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E4496F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1AED2AD9"/>
    <w:multiLevelType w:val="hybridMultilevel"/>
    <w:tmpl w:val="F48E7D22"/>
    <w:lvl w:ilvl="0" w:tplc="1E40C87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BFED02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DDADCF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90E84A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710730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040A62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F42011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C14930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9DABE2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
    <w:nsid w:val="1CBD2C92"/>
    <w:multiLevelType w:val="hybridMultilevel"/>
    <w:tmpl w:val="5164FB26"/>
    <w:lvl w:ilvl="0" w:tplc="62D6490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F08238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BDC8ED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E44189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0465CF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0FC64B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59E720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9C82E4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A0E74A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nsid w:val="218477BC"/>
    <w:multiLevelType w:val="hybridMultilevel"/>
    <w:tmpl w:val="7352ACBE"/>
    <w:lvl w:ilvl="0" w:tplc="762AC8C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B582AE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E6E94D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764DCB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FA6457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5F6EED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1FC7C6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BAA566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99042E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
    <w:nsid w:val="24712A7C"/>
    <w:multiLevelType w:val="hybridMultilevel"/>
    <w:tmpl w:val="20F26DB6"/>
    <w:lvl w:ilvl="0" w:tplc="764CB83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43A0DD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C368F1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902462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CA4884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6E8717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FFEA2B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576A42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B7A61C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
    <w:nsid w:val="2E12203B"/>
    <w:multiLevelType w:val="hybridMultilevel"/>
    <w:tmpl w:val="45C60FF8"/>
    <w:lvl w:ilvl="0" w:tplc="03B8147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126371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5C0ACF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2EA817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48D61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1BAC2E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AC0FD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B2FAE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26292A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309A4F22"/>
    <w:multiLevelType w:val="hybridMultilevel"/>
    <w:tmpl w:val="3CD4F92C"/>
    <w:lvl w:ilvl="0" w:tplc="94C8451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548DFA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0CE586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43EA94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91A8A5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966F54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4E08C3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612EC9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AE8CCE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
    <w:nsid w:val="32FC2F2D"/>
    <w:multiLevelType w:val="hybridMultilevel"/>
    <w:tmpl w:val="3F1EE532"/>
    <w:lvl w:ilvl="0" w:tplc="465A803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256DA3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35C0CA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D745E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C281E3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60EDA6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11ECD1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F48E27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FC8375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
    <w:nsid w:val="35860B2C"/>
    <w:multiLevelType w:val="hybridMultilevel"/>
    <w:tmpl w:val="6DC4553A"/>
    <w:lvl w:ilvl="0" w:tplc="2A240D2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E76FD6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84851E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CA044A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9CCD1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1600A2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984B72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C2AAA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240C32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nsid w:val="35A06B7A"/>
    <w:multiLevelType w:val="hybridMultilevel"/>
    <w:tmpl w:val="F782D9EC"/>
    <w:lvl w:ilvl="0" w:tplc="C1266D8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AE748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87474C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92E7B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42F7E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0D02A6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A60DCF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0DB9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60254D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nsid w:val="375D3AED"/>
    <w:multiLevelType w:val="hybridMultilevel"/>
    <w:tmpl w:val="C1DA4804"/>
    <w:lvl w:ilvl="0" w:tplc="189A323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05E756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3DCA85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CBEE52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1EC2F6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BC2CDE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B0C4A5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DE48E6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D60899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
    <w:nsid w:val="38816C12"/>
    <w:multiLevelType w:val="hybridMultilevel"/>
    <w:tmpl w:val="557CF3C4"/>
    <w:lvl w:ilvl="0" w:tplc="3AA651F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4E07B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72DBA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82EEF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B4C2C0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276A81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5722BA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48622B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48D19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nsid w:val="3CEF594F"/>
    <w:multiLevelType w:val="hybridMultilevel"/>
    <w:tmpl w:val="D5629950"/>
    <w:lvl w:ilvl="0" w:tplc="0B086C8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0C44F1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49EF6F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146420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11421C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50E745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D807BD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9328F9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674D71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
    <w:nsid w:val="3DBD30F3"/>
    <w:multiLevelType w:val="hybridMultilevel"/>
    <w:tmpl w:val="08E8F926"/>
    <w:lvl w:ilvl="0" w:tplc="AD366A4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486FA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EAA5FB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FB61BD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FDE87F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16EF2D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9863E9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D4AB86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DAB9B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42E3318A"/>
    <w:multiLevelType w:val="hybridMultilevel"/>
    <w:tmpl w:val="52F4D3C2"/>
    <w:lvl w:ilvl="0" w:tplc="3F50617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4D2341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138D24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A1E3DA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7709E1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28EF25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80749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CDECAE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19C8326">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nsid w:val="450045BE"/>
    <w:multiLevelType w:val="hybridMultilevel"/>
    <w:tmpl w:val="7E2839AA"/>
    <w:lvl w:ilvl="0" w:tplc="BAB4292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666821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D369B6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1EB8D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7F83F2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06CEE5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36C787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528CD0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2A1D9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nsid w:val="47DC101F"/>
    <w:multiLevelType w:val="hybridMultilevel"/>
    <w:tmpl w:val="6D582060"/>
    <w:lvl w:ilvl="0" w:tplc="663472E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D92B35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1F0014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1A4F6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AEFF8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B5ADD9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B98B3A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DECE11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194C33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nsid w:val="508B3BDA"/>
    <w:multiLevelType w:val="hybridMultilevel"/>
    <w:tmpl w:val="94E0BAF0"/>
    <w:lvl w:ilvl="0" w:tplc="0D966DC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4F8BFB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466D2F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20C00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92000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7C812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0F6648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3A0E3B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A243D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nsid w:val="51515004"/>
    <w:multiLevelType w:val="hybridMultilevel"/>
    <w:tmpl w:val="D406A3DA"/>
    <w:lvl w:ilvl="0" w:tplc="66A0807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B3C5DA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D46473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CB0E52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364277A">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54A8E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11ABDE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F6C21C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248DD2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3">
    <w:nsid w:val="52CA5C99"/>
    <w:multiLevelType w:val="hybridMultilevel"/>
    <w:tmpl w:val="33209990"/>
    <w:lvl w:ilvl="0" w:tplc="9CBC585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96173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583FD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346D7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0C4207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7B8F98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3AC23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EDC061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3A033F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52D1703C"/>
    <w:multiLevelType w:val="hybridMultilevel"/>
    <w:tmpl w:val="E27067F8"/>
    <w:lvl w:ilvl="0" w:tplc="FE9C75B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E8CB25C">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EBAEEB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64AB3F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71AC77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8ECF03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22694F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58CC6F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C12E03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nsid w:val="53B80057"/>
    <w:multiLevelType w:val="hybridMultilevel"/>
    <w:tmpl w:val="857A41B0"/>
    <w:lvl w:ilvl="0" w:tplc="5B80B4E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51AF5F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D20AFA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6B43D4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C4409C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EC25FC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EB0513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C3AF4C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0AA716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
    <w:nsid w:val="53CE492D"/>
    <w:multiLevelType w:val="hybridMultilevel"/>
    <w:tmpl w:val="E9447ACA"/>
    <w:lvl w:ilvl="0" w:tplc="23DACC8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B8C22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19082C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4A4CE7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0728F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C087A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A7C2A2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42F09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6C8B94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nsid w:val="55CE0AD3"/>
    <w:multiLevelType w:val="hybridMultilevel"/>
    <w:tmpl w:val="C65C393C"/>
    <w:lvl w:ilvl="0" w:tplc="17489A7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3A857A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9D27E6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03612B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A905D9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94CFA2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FBA6D3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9AA4CF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2C28C3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
    <w:nsid w:val="575D50EB"/>
    <w:multiLevelType w:val="hybridMultilevel"/>
    <w:tmpl w:val="2752EF90"/>
    <w:lvl w:ilvl="0" w:tplc="EBD03B7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9A28C6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A74835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6C4595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0A6DCE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4AA915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AFAAF7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44AE30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5C0DE8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nsid w:val="5F551886"/>
    <w:multiLevelType w:val="hybridMultilevel"/>
    <w:tmpl w:val="EAE05978"/>
    <w:lvl w:ilvl="0" w:tplc="A202C0E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6945E2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BAE0C2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7A2F9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2E843C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C2E8AA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D84EE9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30811A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874446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61013B79"/>
    <w:multiLevelType w:val="hybridMultilevel"/>
    <w:tmpl w:val="AC76A856"/>
    <w:lvl w:ilvl="0" w:tplc="9C0272D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D56E76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DEA307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3060EF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79820E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24CB1C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47E137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14415E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6B40F6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1">
    <w:nsid w:val="64182B6D"/>
    <w:multiLevelType w:val="hybridMultilevel"/>
    <w:tmpl w:val="8214B174"/>
    <w:lvl w:ilvl="0" w:tplc="6482398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A7608A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409D6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F4A8AE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1462F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E1C98B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D402094">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9B6F3A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00BD14">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nsid w:val="66B74E73"/>
    <w:multiLevelType w:val="hybridMultilevel"/>
    <w:tmpl w:val="C8BEAE48"/>
    <w:lvl w:ilvl="0" w:tplc="7772E20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46CC7C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47AD62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08679F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6FCECB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AB4BF8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3AA84B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17E301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3E88F1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3">
    <w:nsid w:val="6C65330C"/>
    <w:multiLevelType w:val="hybridMultilevel"/>
    <w:tmpl w:val="1CC4DA1A"/>
    <w:lvl w:ilvl="0" w:tplc="D65AB21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4C8C55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05EEBC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1CC83D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40ABE0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098D8D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BC42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F6700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70E975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6F0A308A"/>
    <w:multiLevelType w:val="hybridMultilevel"/>
    <w:tmpl w:val="9FCE328C"/>
    <w:lvl w:ilvl="0" w:tplc="8F902D7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4AACA9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F74CB0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0483D3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4C0083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622296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832575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904D79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0404C1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5">
    <w:nsid w:val="75285107"/>
    <w:multiLevelType w:val="hybridMultilevel"/>
    <w:tmpl w:val="66CE5706"/>
    <w:lvl w:ilvl="0" w:tplc="053AF38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6ACC7B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64C884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6657B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7785F8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BCE966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6B2F56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C4C078E">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65248C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75DC37F8"/>
    <w:multiLevelType w:val="hybridMultilevel"/>
    <w:tmpl w:val="DFC08870"/>
    <w:lvl w:ilvl="0" w:tplc="B9B61A4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B4E8C1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0B8EF1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6042BE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41413A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E780E5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81E29F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574506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42C57F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7">
    <w:nsid w:val="7EF014FE"/>
    <w:multiLevelType w:val="hybridMultilevel"/>
    <w:tmpl w:val="FF24C2AA"/>
    <w:lvl w:ilvl="0" w:tplc="741E1D2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008F9D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3343F2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4B411E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E7C257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EC8F6B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0E09AA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96E7F9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C082B3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num w:numId="1">
    <w:abstractNumId w:val="31"/>
  </w:num>
  <w:num w:numId="2">
    <w:abstractNumId w:val="5"/>
  </w:num>
  <w:num w:numId="3">
    <w:abstractNumId w:val="13"/>
  </w:num>
  <w:num w:numId="4">
    <w:abstractNumId w:val="34"/>
  </w:num>
  <w:num w:numId="5">
    <w:abstractNumId w:val="28"/>
    <w:lvlOverride w:ilvl="0"/>
    <w:lvlOverride w:ilvl="1">
      <w:startOverride w:val="2"/>
    </w:lvlOverride>
  </w:num>
  <w:num w:numId="6">
    <w:abstractNumId w:val="10"/>
    <w:lvlOverride w:ilvl="0"/>
    <w:lvlOverride w:ilvl="1">
      <w:startOverride w:val="2"/>
    </w:lvlOverride>
  </w:num>
  <w:num w:numId="7">
    <w:abstractNumId w:val="23"/>
    <w:lvlOverride w:ilvl="0"/>
    <w:lvlOverride w:ilvl="1">
      <w:startOverride w:val="3"/>
    </w:lvlOverride>
  </w:num>
  <w:num w:numId="8">
    <w:abstractNumId w:val="16"/>
    <w:lvlOverride w:ilvl="0"/>
    <w:lvlOverride w:ilvl="1">
      <w:startOverride w:val="3"/>
    </w:lvlOverride>
  </w:num>
  <w:num w:numId="9">
    <w:abstractNumId w:val="18"/>
    <w:lvlOverride w:ilvl="0">
      <w:startOverride w:val="2"/>
    </w:lvlOverride>
  </w:num>
  <w:num w:numId="10">
    <w:abstractNumId w:val="32"/>
    <w:lvlOverride w:ilvl="0">
      <w:startOverride w:val="2"/>
    </w:lvlOverride>
  </w:num>
  <w:num w:numId="11">
    <w:abstractNumId w:val="20"/>
  </w:num>
  <w:num w:numId="12">
    <w:abstractNumId w:val="14"/>
  </w:num>
  <w:num w:numId="13">
    <w:abstractNumId w:val="29"/>
    <w:lvlOverride w:ilvl="0">
      <w:startOverride w:val="3"/>
    </w:lvlOverride>
  </w:num>
  <w:num w:numId="14">
    <w:abstractNumId w:val="36"/>
    <w:lvlOverride w:ilvl="0">
      <w:startOverride w:val="3"/>
    </w:lvlOverride>
  </w:num>
  <w:num w:numId="15">
    <w:abstractNumId w:val="3"/>
  </w:num>
  <w:num w:numId="16">
    <w:abstractNumId w:val="0"/>
  </w:num>
  <w:num w:numId="17">
    <w:abstractNumId w:val="21"/>
    <w:lvlOverride w:ilvl="0">
      <w:startOverride w:val="4"/>
    </w:lvlOverride>
  </w:num>
  <w:num w:numId="18">
    <w:abstractNumId w:val="7"/>
    <w:lvlOverride w:ilvl="0">
      <w:startOverride w:val="4"/>
    </w:lvlOverride>
  </w:num>
  <w:num w:numId="19">
    <w:abstractNumId w:val="4"/>
  </w:num>
  <w:num w:numId="20">
    <w:abstractNumId w:val="25"/>
  </w:num>
  <w:num w:numId="21">
    <w:abstractNumId w:val="35"/>
    <w:lvlOverride w:ilvl="0">
      <w:startOverride w:val="5"/>
    </w:lvlOverride>
  </w:num>
  <w:num w:numId="22">
    <w:abstractNumId w:val="24"/>
    <w:lvlOverride w:ilvl="0">
      <w:startOverride w:val="5"/>
    </w:lvlOverride>
  </w:num>
  <w:num w:numId="23">
    <w:abstractNumId w:val="33"/>
  </w:num>
  <w:num w:numId="24">
    <w:abstractNumId w:val="6"/>
  </w:num>
  <w:num w:numId="25">
    <w:abstractNumId w:val="12"/>
    <w:lvlOverride w:ilvl="0">
      <w:startOverride w:val="6"/>
    </w:lvlOverride>
  </w:num>
  <w:num w:numId="26">
    <w:abstractNumId w:val="8"/>
    <w:lvlOverride w:ilvl="0">
      <w:startOverride w:val="6"/>
    </w:lvlOverride>
  </w:num>
  <w:num w:numId="27">
    <w:abstractNumId w:val="17"/>
  </w:num>
  <w:num w:numId="28">
    <w:abstractNumId w:val="11"/>
  </w:num>
  <w:num w:numId="29">
    <w:abstractNumId w:val="19"/>
    <w:lvlOverride w:ilvl="0">
      <w:startOverride w:val="7"/>
    </w:lvlOverride>
  </w:num>
  <w:num w:numId="30">
    <w:abstractNumId w:val="27"/>
    <w:lvlOverride w:ilvl="0">
      <w:startOverride w:val="7"/>
    </w:lvlOverride>
  </w:num>
  <w:num w:numId="31">
    <w:abstractNumId w:val="15"/>
  </w:num>
  <w:num w:numId="32">
    <w:abstractNumId w:val="37"/>
  </w:num>
  <w:num w:numId="33">
    <w:abstractNumId w:val="26"/>
    <w:lvlOverride w:ilvl="0"/>
    <w:lvlOverride w:ilvl="1">
      <w:startOverride w:val="2"/>
    </w:lvlOverride>
  </w:num>
  <w:num w:numId="34">
    <w:abstractNumId w:val="1"/>
    <w:lvlOverride w:ilvl="0"/>
    <w:lvlOverride w:ilvl="1">
      <w:startOverride w:val="2"/>
    </w:lvlOverride>
  </w:num>
  <w:num w:numId="35">
    <w:abstractNumId w:val="9"/>
    <w:lvlOverride w:ilvl="0">
      <w:startOverride w:val="8"/>
    </w:lvlOverride>
  </w:num>
  <w:num w:numId="36">
    <w:abstractNumId w:val="22"/>
    <w:lvlOverride w:ilvl="0">
      <w:startOverride w:val="8"/>
    </w:lvlOverride>
  </w:num>
  <w:num w:numId="37">
    <w:abstractNumId w:val="2"/>
  </w:num>
  <w:num w:numId="38">
    <w:abstractNumId w:val="3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ED64FB"/>
    <w:rsid w:val="001755E6"/>
    <w:rsid w:val="00835D0E"/>
    <w:rsid w:val="00ED64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64FB"/>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D64FB"/>
    <w:rPr>
      <w:u w:val="single"/>
    </w:rPr>
  </w:style>
  <w:style w:type="table" w:customStyle="1" w:styleId="TableNormal">
    <w:name w:val="Table Normal"/>
    <w:rsid w:val="00ED64FB"/>
    <w:tblPr>
      <w:tblInd w:w="0" w:type="dxa"/>
      <w:tblCellMar>
        <w:top w:w="0" w:type="dxa"/>
        <w:left w:w="0" w:type="dxa"/>
        <w:bottom w:w="0" w:type="dxa"/>
        <w:right w:w="0" w:type="dxa"/>
      </w:tblCellMar>
    </w:tblPr>
  </w:style>
  <w:style w:type="paragraph" w:customStyle="1" w:styleId="Default">
    <w:name w:val="Default"/>
    <w:rsid w:val="00ED64FB"/>
    <w:rPr>
      <w:rFonts w:ascii="Helvetica Neue" w:hAnsi="Helvetica Neue" w:cs="Arial Unicode MS"/>
      <w:color w:val="000000"/>
      <w:sz w:val="22"/>
      <w:szCs w:val="22"/>
    </w:rPr>
  </w:style>
  <w:style w:type="character" w:customStyle="1" w:styleId="Hyperlink0">
    <w:name w:val="Hyperlink.0"/>
    <w:basedOn w:val="Hypertextovodkaz"/>
    <w:rsid w:val="00ED64FB"/>
    <w:rPr>
      <w:rFonts w:ascii="Futura" w:eastAsia="Futura" w:hAnsi="Futura" w:cs="Futura"/>
      <w:b w:val="0"/>
      <w:bCs w:val="0"/>
      <w:i w:val="0"/>
      <w:iCs w:val="0"/>
      <w:spacing w:val="-8"/>
      <w:sz w:val="14"/>
      <w:szCs w:val="14"/>
    </w:rPr>
  </w:style>
  <w:style w:type="character" w:customStyle="1" w:styleId="Hyperlink1">
    <w:name w:val="Hyperlink.1"/>
    <w:basedOn w:val="Hypertextovodkaz"/>
    <w:rsid w:val="00ED64FB"/>
    <w:rPr>
      <w:rFonts w:ascii="Futura" w:eastAsia="Futura" w:hAnsi="Futura" w:cs="Futura"/>
      <w:b w:val="0"/>
      <w:bCs w:val="0"/>
      <w:i w:val="0"/>
      <w:iCs w:val="0"/>
      <w:spacing w:val="-8"/>
      <w:sz w:val="14"/>
      <w:szCs w:val="14"/>
    </w:rPr>
  </w:style>
  <w:style w:type="paragraph" w:customStyle="1" w:styleId="Body">
    <w:name w:val="Body"/>
    <w:rsid w:val="00ED64FB"/>
    <w:pPr>
      <w:spacing w:before="240" w:after="240" w:line="240" w:lineRule="exact"/>
    </w:pPr>
    <w:rPr>
      <w:rFonts w:ascii="Futura" w:eastAsia="Futura" w:hAnsi="Futura" w:cs="Futura"/>
      <w:color w:val="000000"/>
    </w:rPr>
  </w:style>
  <w:style w:type="character" w:customStyle="1" w:styleId="None">
    <w:name w:val="None"/>
    <w:rsid w:val="00ED64FB"/>
    <w:rPr>
      <w:lang w:val="de-DE"/>
    </w:rPr>
  </w:style>
  <w:style w:type="paragraph" w:customStyle="1" w:styleId="BodyCzech">
    <w:name w:val="Body Czech"/>
    <w:rsid w:val="00ED64FB"/>
    <w:pPr>
      <w:spacing w:before="240" w:after="240" w:line="240" w:lineRule="exact"/>
    </w:pPr>
    <w:rPr>
      <w:rFonts w:ascii="Futura" w:hAnsi="Futura" w:cs="Arial Unicode MS"/>
      <w:color w:val="919191"/>
      <w:sz w:val="18"/>
      <w:szCs w:val="18"/>
    </w:rPr>
  </w:style>
  <w:style w:type="paragraph" w:customStyle="1" w:styleId="Heading">
    <w:name w:val="Heading"/>
    <w:next w:val="Body"/>
    <w:rsid w:val="00ED64FB"/>
    <w:pPr>
      <w:keepNext/>
      <w:spacing w:before="600" w:after="300" w:line="300" w:lineRule="exact"/>
      <w:outlineLvl w:val="1"/>
    </w:pPr>
    <w:rPr>
      <w:rFonts w:ascii="Futura" w:eastAsia="Futura" w:hAnsi="Futura" w:cs="Futura"/>
      <w:caps/>
      <w:color w:val="000000"/>
      <w:sz w:val="30"/>
      <w:szCs w:val="30"/>
    </w:rPr>
  </w:style>
  <w:style w:type="paragraph" w:customStyle="1" w:styleId="HEADINGCZECH">
    <w:name w:val="HEADING CZECH"/>
    <w:next w:val="Body"/>
    <w:rsid w:val="00ED64FB"/>
    <w:pPr>
      <w:keepNext/>
      <w:spacing w:before="600" w:after="300" w:line="300" w:lineRule="exact"/>
    </w:pPr>
    <w:rPr>
      <w:rFonts w:ascii="Futura" w:eastAsia="Futura" w:hAnsi="Futura" w:cs="Futura"/>
      <w:caps/>
      <w:color w:val="919191"/>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7328</Characters>
  <Application>Microsoft Office Word</Application>
  <DocSecurity>0</DocSecurity>
  <Lines>61</Lines>
  <Paragraphs>17</Paragraphs>
  <ScaleCrop>false</ScaleCrop>
  <Company>Hewlett-Packard Company</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2</cp:revision>
  <dcterms:created xsi:type="dcterms:W3CDTF">2020-01-29T09:00:00Z</dcterms:created>
  <dcterms:modified xsi:type="dcterms:W3CDTF">2020-01-29T09:00:00Z</dcterms:modified>
</cp:coreProperties>
</file>