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5F3253">
        <w:rPr>
          <w:rFonts w:ascii="Times New Roman" w:hAnsi="Times New Roman" w:cs="Times New Roman"/>
          <w:b/>
          <w:sz w:val="28"/>
          <w:szCs w:val="28"/>
        </w:rPr>
        <w:t xml:space="preserve"> 105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E85B27"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5F3253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Klempár</w:t>
      </w:r>
      <w:proofErr w:type="spellEnd"/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3253">
        <w:rPr>
          <w:rFonts w:ascii="Times New Roman" w:hAnsi="Times New Roman" w:cs="Times New Roman"/>
          <w:sz w:val="24"/>
          <w:szCs w:val="24"/>
        </w:rPr>
        <w:t>Jižní 465, 513 01 SEMILY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3253">
        <w:rPr>
          <w:rFonts w:ascii="Times New Roman" w:hAnsi="Times New Roman" w:cs="Times New Roman"/>
          <w:sz w:val="24"/>
          <w:szCs w:val="24"/>
        </w:rPr>
        <w:t xml:space="preserve">Alanem </w:t>
      </w:r>
      <w:proofErr w:type="spellStart"/>
      <w:r w:rsidR="005F3253">
        <w:rPr>
          <w:rFonts w:ascii="Times New Roman" w:hAnsi="Times New Roman" w:cs="Times New Roman"/>
          <w:sz w:val="24"/>
          <w:szCs w:val="24"/>
        </w:rPr>
        <w:t>Klempárem</w:t>
      </w:r>
      <w:proofErr w:type="spellEnd"/>
      <w:r w:rsidR="005F3253">
        <w:rPr>
          <w:rFonts w:ascii="Times New Roman" w:hAnsi="Times New Roman" w:cs="Times New Roman"/>
          <w:sz w:val="24"/>
          <w:szCs w:val="24"/>
        </w:rPr>
        <w:t>, fyzickou osobou společnosti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3253">
        <w:rPr>
          <w:rFonts w:ascii="Times New Roman" w:hAnsi="Times New Roman" w:cs="Times New Roman"/>
          <w:sz w:val="24"/>
          <w:szCs w:val="24"/>
        </w:rPr>
        <w:t>74767887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5F3253">
        <w:rPr>
          <w:rFonts w:ascii="Times New Roman" w:hAnsi="Times New Roman" w:cs="Times New Roman"/>
          <w:sz w:val="24"/>
          <w:szCs w:val="24"/>
        </w:rPr>
        <w:t>KB Liberec</w:t>
      </w:r>
    </w:p>
    <w:p w:rsidR="00382DF8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3253">
        <w:rPr>
          <w:rFonts w:ascii="Times New Roman" w:hAnsi="Times New Roman" w:cs="Times New Roman"/>
          <w:sz w:val="24"/>
          <w:szCs w:val="24"/>
        </w:rPr>
        <w:t>747846581/0100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382DF8" w:rsidRDefault="00382DF8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E85B27"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5249" w:rsidRDefault="007F4DBC" w:rsidP="00C425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49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035249">
        <w:rPr>
          <w:rFonts w:ascii="Times New Roman" w:hAnsi="Times New Roman" w:cs="Times New Roman"/>
          <w:sz w:val="24"/>
          <w:szCs w:val="24"/>
        </w:rPr>
        <w:t>smlouvy o dílo</w:t>
      </w:r>
      <w:r w:rsidRPr="00035249">
        <w:rPr>
          <w:rFonts w:ascii="Times New Roman" w:hAnsi="Times New Roman" w:cs="Times New Roman"/>
          <w:sz w:val="24"/>
          <w:szCs w:val="24"/>
        </w:rPr>
        <w:t xml:space="preserve"> TSML</w:t>
      </w:r>
      <w:r w:rsidR="00382DF8" w:rsidRPr="00035249">
        <w:rPr>
          <w:rFonts w:ascii="Times New Roman" w:hAnsi="Times New Roman" w:cs="Times New Roman"/>
          <w:sz w:val="24"/>
          <w:szCs w:val="24"/>
        </w:rPr>
        <w:t>/</w:t>
      </w:r>
      <w:r w:rsidR="005F3253">
        <w:rPr>
          <w:rFonts w:ascii="Times New Roman" w:hAnsi="Times New Roman" w:cs="Times New Roman"/>
          <w:sz w:val="24"/>
          <w:szCs w:val="24"/>
        </w:rPr>
        <w:t>059</w:t>
      </w:r>
      <w:r w:rsidR="00382DF8" w:rsidRPr="00035249">
        <w:rPr>
          <w:rFonts w:ascii="Times New Roman" w:hAnsi="Times New Roman" w:cs="Times New Roman"/>
          <w:sz w:val="24"/>
          <w:szCs w:val="24"/>
        </w:rPr>
        <w:t>/18</w:t>
      </w:r>
      <w:r w:rsidRPr="00035249">
        <w:rPr>
          <w:rFonts w:ascii="Times New Roman" w:hAnsi="Times New Roman" w:cs="Times New Roman"/>
          <w:sz w:val="24"/>
          <w:szCs w:val="24"/>
        </w:rPr>
        <w:t xml:space="preserve"> dne </w:t>
      </w:r>
      <w:r w:rsidR="005F3253">
        <w:rPr>
          <w:rFonts w:ascii="Times New Roman" w:hAnsi="Times New Roman" w:cs="Times New Roman"/>
          <w:sz w:val="24"/>
          <w:szCs w:val="24"/>
        </w:rPr>
        <w:br/>
        <w:t>30</w:t>
      </w:r>
      <w:r w:rsidR="00382DF8" w:rsidRPr="00035249">
        <w:rPr>
          <w:rFonts w:ascii="Times New Roman" w:hAnsi="Times New Roman" w:cs="Times New Roman"/>
          <w:sz w:val="24"/>
          <w:szCs w:val="24"/>
        </w:rPr>
        <w:t>.</w:t>
      </w:r>
      <w:r w:rsidR="005F3253">
        <w:rPr>
          <w:rFonts w:ascii="Times New Roman" w:hAnsi="Times New Roman" w:cs="Times New Roman"/>
          <w:sz w:val="24"/>
          <w:szCs w:val="24"/>
        </w:rPr>
        <w:t xml:space="preserve"> 5</w:t>
      </w:r>
      <w:r w:rsidR="00035249" w:rsidRPr="00035249">
        <w:rPr>
          <w:rFonts w:ascii="Times New Roman" w:hAnsi="Times New Roman" w:cs="Times New Roman"/>
          <w:sz w:val="24"/>
          <w:szCs w:val="24"/>
        </w:rPr>
        <w:t>.</w:t>
      </w:r>
      <w:r w:rsidR="00035249">
        <w:rPr>
          <w:rFonts w:ascii="Times New Roman" w:hAnsi="Times New Roman" w:cs="Times New Roman"/>
          <w:sz w:val="24"/>
          <w:szCs w:val="24"/>
        </w:rPr>
        <w:t xml:space="preserve"> 2018. Předmětem plnění smlouvy je provedení </w:t>
      </w:r>
      <w:r w:rsidR="005F3253">
        <w:rPr>
          <w:rFonts w:ascii="Times New Roman" w:hAnsi="Times New Roman" w:cs="Times New Roman"/>
          <w:sz w:val="24"/>
          <w:szCs w:val="24"/>
        </w:rPr>
        <w:t>pro objednatele na svůj náklad a na své nebezpečí určené práce pro středisko údržby veřejné zeleně (</w:t>
      </w:r>
      <w:proofErr w:type="spellStart"/>
      <w:r w:rsidR="005F3253">
        <w:rPr>
          <w:rFonts w:ascii="Times New Roman" w:hAnsi="Times New Roman" w:cs="Times New Roman"/>
          <w:sz w:val="24"/>
          <w:szCs w:val="24"/>
        </w:rPr>
        <w:t>stř</w:t>
      </w:r>
      <w:proofErr w:type="spellEnd"/>
      <w:r w:rsidR="005F3253">
        <w:rPr>
          <w:rFonts w:ascii="Times New Roman" w:hAnsi="Times New Roman" w:cs="Times New Roman"/>
          <w:sz w:val="24"/>
          <w:szCs w:val="24"/>
        </w:rPr>
        <w:t xml:space="preserve">. 050). Rozsah a typ prací a počet pracovníků je specifikován v příloze č. 1 smlouvy. </w:t>
      </w:r>
    </w:p>
    <w:p w:rsidR="007F4DBC" w:rsidRPr="00035249" w:rsidRDefault="007F4DBC" w:rsidP="00035249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49">
        <w:rPr>
          <w:rFonts w:ascii="Times New Roman" w:hAnsi="Times New Roman" w:cs="Times New Roman"/>
          <w:sz w:val="24"/>
          <w:szCs w:val="24"/>
        </w:rPr>
        <w:t xml:space="preserve">Smlouva </w:t>
      </w:r>
      <w:r w:rsidR="005F3253">
        <w:rPr>
          <w:rFonts w:ascii="Times New Roman" w:hAnsi="Times New Roman" w:cs="Times New Roman"/>
          <w:sz w:val="24"/>
          <w:szCs w:val="24"/>
        </w:rPr>
        <w:t>byla</w:t>
      </w:r>
      <w:r w:rsidRPr="00035249">
        <w:rPr>
          <w:rFonts w:ascii="Times New Roman" w:hAnsi="Times New Roman" w:cs="Times New Roman"/>
          <w:sz w:val="24"/>
          <w:szCs w:val="24"/>
        </w:rPr>
        <w:t xml:space="preserve"> uzavřena na dobu </w:t>
      </w:r>
      <w:r w:rsidR="00382DF8" w:rsidRPr="00035249">
        <w:rPr>
          <w:rFonts w:ascii="Times New Roman" w:hAnsi="Times New Roman" w:cs="Times New Roman"/>
          <w:sz w:val="24"/>
          <w:szCs w:val="24"/>
        </w:rPr>
        <w:t xml:space="preserve">určitou, kdy </w:t>
      </w:r>
      <w:r w:rsidR="00035249">
        <w:rPr>
          <w:rFonts w:ascii="Times New Roman" w:hAnsi="Times New Roman" w:cs="Times New Roman"/>
          <w:sz w:val="24"/>
          <w:szCs w:val="24"/>
        </w:rPr>
        <w:t>se zhotovitel</w:t>
      </w:r>
      <w:r w:rsidR="00382DF8" w:rsidRPr="00035249">
        <w:rPr>
          <w:rFonts w:ascii="Times New Roman" w:hAnsi="Times New Roman" w:cs="Times New Roman"/>
          <w:sz w:val="24"/>
          <w:szCs w:val="24"/>
        </w:rPr>
        <w:t xml:space="preserve"> </w:t>
      </w:r>
      <w:r w:rsidR="005F3253">
        <w:rPr>
          <w:rFonts w:ascii="Times New Roman" w:hAnsi="Times New Roman" w:cs="Times New Roman"/>
          <w:sz w:val="24"/>
          <w:szCs w:val="24"/>
        </w:rPr>
        <w:t>zavázal</w:t>
      </w:r>
      <w:r w:rsidR="00035249">
        <w:rPr>
          <w:rFonts w:ascii="Times New Roman" w:hAnsi="Times New Roman" w:cs="Times New Roman"/>
          <w:sz w:val="24"/>
          <w:szCs w:val="24"/>
        </w:rPr>
        <w:t xml:space="preserve"> realizovat dílo ve lhůtě </w:t>
      </w:r>
      <w:r w:rsidR="005F3253">
        <w:rPr>
          <w:rFonts w:ascii="Times New Roman" w:hAnsi="Times New Roman" w:cs="Times New Roman"/>
          <w:sz w:val="24"/>
          <w:szCs w:val="24"/>
        </w:rPr>
        <w:t>od 4. 6. 2018 do 30. 9. 2018</w:t>
      </w:r>
      <w:r w:rsidR="00035249">
        <w:rPr>
          <w:rFonts w:ascii="Times New Roman" w:hAnsi="Times New Roman" w:cs="Times New Roman"/>
          <w:sz w:val="24"/>
          <w:szCs w:val="24"/>
        </w:rPr>
        <w:t xml:space="preserve">. </w:t>
      </w:r>
      <w:r w:rsidR="00382DF8" w:rsidRPr="00035249">
        <w:rPr>
          <w:rFonts w:ascii="Times New Roman" w:hAnsi="Times New Roman" w:cs="Times New Roman"/>
          <w:sz w:val="24"/>
          <w:szCs w:val="24"/>
        </w:rPr>
        <w:t>Kupní smlouva</w:t>
      </w:r>
      <w:r w:rsidRPr="00035249">
        <w:rPr>
          <w:rFonts w:ascii="Times New Roman" w:hAnsi="Times New Roman" w:cs="Times New Roman"/>
          <w:sz w:val="24"/>
          <w:szCs w:val="24"/>
        </w:rPr>
        <w:t xml:space="preserve"> však nebyla Technickými službami města Liberce a.s. v registru smluv uveřejněna.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382DF8">
        <w:rPr>
          <w:rFonts w:ascii="Times New Roman" w:hAnsi="Times New Roman" w:cs="Times New Roman"/>
          <w:sz w:val="24"/>
          <w:szCs w:val="24"/>
        </w:rPr>
        <w:t xml:space="preserve"> 1 zákona č.</w:t>
      </w:r>
      <w:r w:rsidRPr="001B532F">
        <w:rPr>
          <w:rFonts w:ascii="Times New Roman" w:hAnsi="Times New Roman" w:cs="Times New Roman"/>
          <w:sz w:val="24"/>
          <w:szCs w:val="24"/>
        </w:rPr>
        <w:t>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registru smluv.</w:t>
      </w:r>
    </w:p>
    <w:p w:rsidR="007F4DBC" w:rsidRDefault="007F4DBC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Mezi smluvními stranami tak vznikla sporná práva, která je třeba touto dohodou o narovnání vypořádat.</w:t>
      </w: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382DF8">
      <w:pPr>
        <w:pStyle w:val="Odstavecseseznamem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035249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5F3253">
        <w:rPr>
          <w:rFonts w:ascii="Times New Roman" w:hAnsi="Times New Roman" w:cs="Times New Roman"/>
          <w:sz w:val="24"/>
          <w:szCs w:val="24"/>
        </w:rPr>
        <w:t xml:space="preserve">Alan </w:t>
      </w:r>
      <w:proofErr w:type="spellStart"/>
      <w:r w:rsidR="005F3253">
        <w:rPr>
          <w:rFonts w:ascii="Times New Roman" w:hAnsi="Times New Roman" w:cs="Times New Roman"/>
          <w:sz w:val="24"/>
          <w:szCs w:val="24"/>
        </w:rPr>
        <w:t>Klempár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provedla</w:t>
      </w:r>
      <w:r w:rsidR="007F4DBC">
        <w:rPr>
          <w:rFonts w:ascii="Times New Roman" w:hAnsi="Times New Roman" w:cs="Times New Roman"/>
          <w:sz w:val="24"/>
          <w:szCs w:val="24"/>
        </w:rPr>
        <w:t xml:space="preserve"> smluvnímu partnerovi </w:t>
      </w:r>
      <w:r>
        <w:rPr>
          <w:rFonts w:ascii="Times New Roman" w:hAnsi="Times New Roman" w:cs="Times New Roman"/>
          <w:sz w:val="24"/>
          <w:szCs w:val="24"/>
        </w:rPr>
        <w:t>Technické služby města Liberce a.s.</w:t>
      </w:r>
      <w:r w:rsidR="007F4DBC">
        <w:rPr>
          <w:rFonts w:ascii="Times New Roman" w:hAnsi="Times New Roman" w:cs="Times New Roman"/>
          <w:sz w:val="24"/>
          <w:szCs w:val="24"/>
        </w:rPr>
        <w:t xml:space="preserve"> službu bez účinné smlouvy o dílo. K úhradě těchto služeb ze strany </w:t>
      </w:r>
      <w:r>
        <w:rPr>
          <w:rFonts w:ascii="Times New Roman" w:hAnsi="Times New Roman" w:cs="Times New Roman"/>
          <w:sz w:val="24"/>
          <w:szCs w:val="24"/>
        </w:rPr>
        <w:t>Technických služeb města Liberce a.s.</w:t>
      </w:r>
      <w:r w:rsidR="007F4DBC">
        <w:rPr>
          <w:rFonts w:ascii="Times New Roman" w:hAnsi="Times New Roman" w:cs="Times New Roman"/>
          <w:sz w:val="24"/>
          <w:szCs w:val="24"/>
        </w:rPr>
        <w:t xml:space="preserve"> došlo také na základě neúčinné smlouvy o dílo. Smluvní strany si tedy vzájemně poskytly plnění stejné hodnoty, avšak formálně bez platného právního důvodu.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plnění dodaná </w:t>
      </w:r>
      <w:r w:rsidR="005F3253">
        <w:rPr>
          <w:rFonts w:ascii="Times New Roman" w:hAnsi="Times New Roman" w:cs="Times New Roman"/>
          <w:sz w:val="24"/>
          <w:szCs w:val="24"/>
        </w:rPr>
        <w:t xml:space="preserve">firmou Alan </w:t>
      </w:r>
      <w:proofErr w:type="spellStart"/>
      <w:r w:rsidR="005F3253">
        <w:rPr>
          <w:rFonts w:ascii="Times New Roman" w:hAnsi="Times New Roman" w:cs="Times New Roman"/>
          <w:sz w:val="24"/>
          <w:szCs w:val="24"/>
        </w:rPr>
        <w:t>Klempár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</w:t>
      </w:r>
      <w:r w:rsidR="00035249">
        <w:rPr>
          <w:rFonts w:ascii="Times New Roman" w:hAnsi="Times New Roman" w:cs="Times New Roman"/>
          <w:sz w:val="24"/>
          <w:szCs w:val="24"/>
        </w:rPr>
        <w:t>Technickými službami města Liberce a.s.</w:t>
      </w:r>
      <w:r>
        <w:rPr>
          <w:rFonts w:ascii="Times New Roman" w:hAnsi="Times New Roman" w:cs="Times New Roman"/>
          <w:sz w:val="24"/>
          <w:szCs w:val="24"/>
        </w:rPr>
        <w:t xml:space="preserve">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035249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7F4DBC" w:rsidRDefault="007F4DBC" w:rsidP="00382DF8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5F3253">
        <w:rPr>
          <w:rFonts w:ascii="Times New Roman" w:hAnsi="Times New Roman" w:cs="Times New Roman"/>
          <w:sz w:val="24"/>
          <w:szCs w:val="24"/>
        </w:rPr>
        <w:t>7. 1. 2020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5F3253">
        <w:rPr>
          <w:rFonts w:ascii="Times New Roman" w:hAnsi="Times New Roman" w:cs="Times New Roman"/>
          <w:sz w:val="24"/>
          <w:szCs w:val="24"/>
        </w:rPr>
        <w:t xml:space="preserve">Alan </w:t>
      </w:r>
      <w:proofErr w:type="spellStart"/>
      <w:r w:rsidR="005F3253">
        <w:rPr>
          <w:rFonts w:ascii="Times New Roman" w:hAnsi="Times New Roman" w:cs="Times New Roman"/>
          <w:sz w:val="24"/>
          <w:szCs w:val="24"/>
        </w:rPr>
        <w:t>Klempár</w:t>
      </w:r>
      <w:bookmarkStart w:id="0" w:name="_GoBack"/>
      <w:bookmarkEnd w:id="0"/>
      <w:proofErr w:type="spellEnd"/>
    </w:p>
    <w:p w:rsidR="00E6044F" w:rsidRDefault="00E6044F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35249"/>
    <w:rsid w:val="00382DF8"/>
    <w:rsid w:val="005F3253"/>
    <w:rsid w:val="00647780"/>
    <w:rsid w:val="007F4DBC"/>
    <w:rsid w:val="00E6044F"/>
    <w:rsid w:val="00E85B27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B1C1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6</cp:revision>
  <cp:lastPrinted>2020-01-07T13:59:00Z</cp:lastPrinted>
  <dcterms:created xsi:type="dcterms:W3CDTF">2019-11-07T07:26:00Z</dcterms:created>
  <dcterms:modified xsi:type="dcterms:W3CDTF">2020-01-07T13:59:00Z</dcterms:modified>
</cp:coreProperties>
</file>