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D8F" w:rsidRDefault="00956D8F">
      <w:pPr>
        <w:pStyle w:val="Zkladntext"/>
        <w:jc w:val="center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 xml:space="preserve">Dodatek č. </w:t>
      </w:r>
      <w:r w:rsidR="00CC13EA">
        <w:rPr>
          <w:b/>
          <w:i w:val="0"/>
          <w:sz w:val="28"/>
          <w:szCs w:val="28"/>
          <w:u w:val="single"/>
        </w:rPr>
        <w:t>3</w:t>
      </w:r>
    </w:p>
    <w:p w:rsidR="009227E8" w:rsidRDefault="00956D8F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ke </w:t>
      </w:r>
      <w:r w:rsidR="00571A0C">
        <w:rPr>
          <w:b/>
          <w:i w:val="0"/>
          <w:sz w:val="28"/>
          <w:szCs w:val="28"/>
          <w:u w:val="single"/>
        </w:rPr>
        <w:t>Smlouv</w:t>
      </w:r>
      <w:r>
        <w:rPr>
          <w:b/>
          <w:i w:val="0"/>
          <w:sz w:val="28"/>
          <w:szCs w:val="28"/>
          <w:u w:val="single"/>
        </w:rPr>
        <w:t>ě</w:t>
      </w:r>
      <w:r w:rsidR="00571A0C">
        <w:rPr>
          <w:b/>
          <w:i w:val="0"/>
          <w:sz w:val="28"/>
          <w:szCs w:val="28"/>
          <w:u w:val="single"/>
        </w:rPr>
        <w:t xml:space="preserve"> o nájmu sportovní haly na rok </w:t>
      </w:r>
      <w:r w:rsidR="0022291B">
        <w:rPr>
          <w:b/>
          <w:i w:val="0"/>
          <w:sz w:val="28"/>
          <w:szCs w:val="28"/>
          <w:u w:val="single"/>
        </w:rPr>
        <w:t>201</w:t>
      </w:r>
      <w:r w:rsidR="00CB2998">
        <w:rPr>
          <w:b/>
          <w:i w:val="0"/>
          <w:sz w:val="28"/>
          <w:szCs w:val="28"/>
          <w:u w:val="single"/>
        </w:rPr>
        <w:t>9</w:t>
      </w:r>
      <w:r w:rsidR="0022291B">
        <w:rPr>
          <w:b/>
          <w:i w:val="0"/>
          <w:sz w:val="28"/>
          <w:szCs w:val="28"/>
          <w:u w:val="single"/>
        </w:rPr>
        <w:t>-20</w:t>
      </w:r>
      <w:r w:rsidR="00CB2998">
        <w:rPr>
          <w:b/>
          <w:i w:val="0"/>
          <w:sz w:val="28"/>
          <w:szCs w:val="28"/>
          <w:u w:val="single"/>
        </w:rPr>
        <w:t>20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6F2BE8">
        <w:rPr>
          <w:rFonts w:ascii="Arial" w:hAnsi="Arial" w:cs="Arial"/>
          <w:sz w:val="22"/>
        </w:rPr>
        <w:t>703 00 Ostrava-Vítkovice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71430761/0100</w:t>
      </w: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zastoupený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:rsidR="00432CCD" w:rsidRDefault="00432CCD">
      <w:pPr>
        <w:pStyle w:val="Import2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9227E8" w:rsidRDefault="009227E8">
      <w:pPr>
        <w:pStyle w:val="Import0"/>
        <w:rPr>
          <w:rFonts w:ascii="Arial" w:hAnsi="Arial" w:cs="Arial"/>
          <w:b/>
          <w:sz w:val="22"/>
        </w:rPr>
      </w:pPr>
    </w:p>
    <w:p w:rsidR="0091034E" w:rsidRPr="00BC1444" w:rsidRDefault="0091034E" w:rsidP="0091034E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1. SC Vítkovice z.s.</w:t>
      </w:r>
    </w:p>
    <w:p w:rsidR="0091034E" w:rsidRPr="00BC1444" w:rsidRDefault="0091034E" w:rsidP="0091034E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Řecká 1473/1, 708 00 Ostrava-Poruba</w:t>
      </w:r>
    </w:p>
    <w:p w:rsidR="0091034E" w:rsidRPr="00BC1444" w:rsidRDefault="0091034E" w:rsidP="0091034E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26588005</w:t>
      </w:r>
    </w:p>
    <w:p w:rsidR="0091034E" w:rsidRPr="00BC1444" w:rsidRDefault="0091034E" w:rsidP="0091034E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</w:p>
    <w:bookmarkEnd w:id="0"/>
    <w:bookmarkEnd w:id="1"/>
    <w:p w:rsidR="0091034E" w:rsidRDefault="0091034E" w:rsidP="0091034E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</w:p>
    <w:p w:rsidR="0091034E" w:rsidRDefault="0091034E" w:rsidP="0091034E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1034E" w:rsidRPr="00BC1444" w:rsidRDefault="0091034E" w:rsidP="0091034E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944A7" w:rsidRPr="00BC1444" w:rsidRDefault="00A944A7" w:rsidP="00A944A7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32CCD" w:rsidRDefault="00432CCD" w:rsidP="00432CCD">
      <w:pPr>
        <w:pStyle w:val="Import2"/>
        <w:rPr>
          <w:rFonts w:ascii="Arial" w:hAnsi="Arial" w:cs="Arial"/>
          <w:b/>
          <w:i/>
          <w:sz w:val="22"/>
        </w:rPr>
      </w:pPr>
    </w:p>
    <w:p w:rsidR="009227E8" w:rsidRDefault="00571A0C" w:rsidP="00432CCD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:rsidR="008A455D" w:rsidRDefault="008A455D" w:rsidP="00432CCD">
      <w:pPr>
        <w:pStyle w:val="Import2"/>
        <w:rPr>
          <w:rFonts w:ascii="Arial" w:hAnsi="Arial" w:cs="Arial"/>
          <w:b/>
          <w:i/>
          <w:sz w:val="22"/>
        </w:rPr>
      </w:pPr>
    </w:p>
    <w:p w:rsidR="009227E8" w:rsidRDefault="009227E8">
      <w:pPr>
        <w:pStyle w:val="Import2"/>
        <w:rPr>
          <w:rFonts w:ascii="Arial" w:hAnsi="Arial" w:cs="Arial"/>
          <w:b/>
          <w:sz w:val="22"/>
        </w:rPr>
      </w:pPr>
    </w:p>
    <w:p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3E6076" w:rsidRDefault="003E6076">
      <w:pPr>
        <w:pStyle w:val="Import0"/>
        <w:rPr>
          <w:rFonts w:ascii="Arial" w:hAnsi="Arial" w:cs="Arial"/>
          <w:sz w:val="22"/>
        </w:rPr>
      </w:pPr>
    </w:p>
    <w:p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</w:t>
      </w:r>
      <w:r w:rsidR="00956D8F">
        <w:rPr>
          <w:rFonts w:ascii="Arial" w:hAnsi="Arial" w:cs="Arial"/>
          <w:sz w:val="22"/>
        </w:rPr>
        <w:t>ento</w:t>
      </w:r>
    </w:p>
    <w:p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9227E8" w:rsidRDefault="00956D8F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 xml:space="preserve">dodatek ke </w:t>
      </w:r>
      <w:r w:rsidR="00571A0C">
        <w:rPr>
          <w:rFonts w:ascii="Arial" w:hAnsi="Arial" w:cs="Arial"/>
          <w:b/>
          <w:color w:val="0000FF"/>
          <w:sz w:val="22"/>
        </w:rPr>
        <w:t>smlouv</w:t>
      </w:r>
      <w:r>
        <w:rPr>
          <w:rFonts w:ascii="Arial" w:hAnsi="Arial" w:cs="Arial"/>
          <w:b/>
          <w:color w:val="0000FF"/>
          <w:sz w:val="22"/>
        </w:rPr>
        <w:t>ě</w:t>
      </w:r>
      <w:r w:rsidR="00571A0C">
        <w:rPr>
          <w:rFonts w:ascii="Arial" w:hAnsi="Arial" w:cs="Arial"/>
          <w:b/>
          <w:color w:val="0000FF"/>
          <w:sz w:val="22"/>
        </w:rPr>
        <w:t xml:space="preserve"> o </w:t>
      </w:r>
      <w:r>
        <w:rPr>
          <w:rFonts w:ascii="Arial" w:hAnsi="Arial" w:cs="Arial"/>
          <w:b/>
          <w:color w:val="0000FF"/>
          <w:sz w:val="22"/>
        </w:rPr>
        <w:t xml:space="preserve">nájmu sportovní haly uzavřené dne </w:t>
      </w:r>
      <w:r w:rsidR="00CB2998">
        <w:rPr>
          <w:rFonts w:ascii="Arial" w:hAnsi="Arial" w:cs="Arial"/>
          <w:b/>
          <w:color w:val="0000FF"/>
          <w:sz w:val="22"/>
        </w:rPr>
        <w:t>15</w:t>
      </w:r>
      <w:r>
        <w:rPr>
          <w:rFonts w:ascii="Arial" w:hAnsi="Arial" w:cs="Arial"/>
          <w:b/>
          <w:color w:val="0000FF"/>
          <w:sz w:val="22"/>
        </w:rPr>
        <w:t>.8.201</w:t>
      </w:r>
      <w:r w:rsidR="00CB2998">
        <w:rPr>
          <w:rFonts w:ascii="Arial" w:hAnsi="Arial" w:cs="Arial"/>
          <w:b/>
          <w:color w:val="0000FF"/>
          <w:sz w:val="22"/>
        </w:rPr>
        <w:t>9</w:t>
      </w:r>
    </w:p>
    <w:p w:rsidR="009227E8" w:rsidRDefault="009227E8">
      <w:pPr>
        <w:pStyle w:val="Import2"/>
        <w:rPr>
          <w:rFonts w:ascii="Arial" w:hAnsi="Arial" w:cs="Arial"/>
          <w:b/>
          <w:color w:val="0000FF"/>
          <w:sz w:val="22"/>
        </w:rPr>
      </w:pPr>
    </w:p>
    <w:p w:rsidR="009227E8" w:rsidRPr="00956D8F" w:rsidRDefault="00956D8F" w:rsidP="00956D8F">
      <w:pPr>
        <w:pStyle w:val="Import2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Tímto dodatkem se  mění tyto články a body výše uvedené smlouvy takto:</w:t>
      </w:r>
    </w:p>
    <w:p w:rsidR="009227E8" w:rsidRDefault="009227E8">
      <w:pPr>
        <w:pStyle w:val="Import2"/>
        <w:rPr>
          <w:rFonts w:ascii="Arial" w:hAnsi="Arial" w:cs="Arial"/>
          <w:sz w:val="22"/>
        </w:rPr>
      </w:pPr>
    </w:p>
    <w:p w:rsidR="00CB2998" w:rsidRPr="00956D8F" w:rsidRDefault="00CB2998">
      <w:pPr>
        <w:pStyle w:val="Import2"/>
        <w:rPr>
          <w:rFonts w:ascii="Arial" w:hAnsi="Arial" w:cs="Arial"/>
          <w:sz w:val="22"/>
        </w:rPr>
      </w:pPr>
    </w:p>
    <w:p w:rsidR="00956D8F" w:rsidRDefault="00956D8F">
      <w:pPr>
        <w:pStyle w:val="Import2"/>
        <w:rPr>
          <w:rFonts w:ascii="Arial" w:hAnsi="Arial" w:cs="Arial"/>
          <w:sz w:val="22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:rsidR="009227E8" w:rsidRDefault="009227E8">
      <w:pPr>
        <w:rPr>
          <w:rFonts w:ascii="Arial" w:hAnsi="Arial" w:cs="Arial"/>
          <w:b/>
          <w:i/>
          <w:color w:val="FF0000"/>
          <w:sz w:val="22"/>
        </w:rPr>
      </w:pPr>
    </w:p>
    <w:p w:rsidR="00CB2998" w:rsidRPr="007A16C9" w:rsidRDefault="00CB2998" w:rsidP="00CB2998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A16C9">
        <w:rPr>
          <w:rFonts w:ascii="Arial" w:hAnsi="Arial" w:cs="Arial"/>
          <w:sz w:val="22"/>
          <w:szCs w:val="22"/>
        </w:rPr>
        <w:t xml:space="preserve">Rozvrh hodin nájmu </w:t>
      </w:r>
      <w:r w:rsidRPr="007A16C9">
        <w:rPr>
          <w:rFonts w:ascii="Arial" w:hAnsi="Arial" w:cs="Arial"/>
          <w:b/>
          <w:bCs/>
          <w:sz w:val="22"/>
          <w:szCs w:val="22"/>
        </w:rPr>
        <w:t>pronajatých prostor</w:t>
      </w:r>
      <w:r w:rsidRPr="007A16C9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:rsidR="00CB2998" w:rsidRPr="00925423" w:rsidRDefault="00CB2998" w:rsidP="00CB2998">
      <w:pPr>
        <w:pStyle w:val="Import12"/>
        <w:shd w:val="pct12" w:color="auto" w:fill="FFFFFF"/>
        <w:spacing w:before="120"/>
        <w:ind w:left="426" w:hanging="142"/>
        <w:rPr>
          <w:rFonts w:ascii="Arial" w:hAnsi="Arial"/>
          <w:sz w:val="22"/>
          <w:szCs w:val="22"/>
        </w:rPr>
      </w:pPr>
      <w:r w:rsidRPr="00E779DC"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</w:r>
      <w:r w:rsidRPr="00EA5328">
        <w:rPr>
          <w:rFonts w:ascii="Arial" w:hAnsi="Arial"/>
          <w:b/>
          <w:sz w:val="22"/>
          <w:szCs w:val="22"/>
        </w:rPr>
        <w:t>víkendy dle níže uvedeného rozpis</w:t>
      </w:r>
      <w:r>
        <w:rPr>
          <w:rFonts w:ascii="Arial" w:hAnsi="Arial"/>
          <w:b/>
          <w:sz w:val="22"/>
          <w:szCs w:val="22"/>
        </w:rPr>
        <w:t xml:space="preserve">u  </w:t>
      </w:r>
    </w:p>
    <w:p w:rsidR="00CB2998" w:rsidRDefault="00CB2998" w:rsidP="00CB2998">
      <w:pPr>
        <w:pStyle w:val="Import2"/>
        <w:ind w:left="284" w:right="261"/>
        <w:jc w:val="both"/>
        <w:rPr>
          <w:rFonts w:ascii="Arial" w:hAnsi="Arial"/>
          <w:b/>
          <w:i/>
          <w:sz w:val="22"/>
        </w:rPr>
      </w:pPr>
    </w:p>
    <w:p w:rsidR="00CB2998" w:rsidRPr="00E779DC" w:rsidRDefault="00CB2998" w:rsidP="00CB2998">
      <w:pPr>
        <w:pStyle w:val="Import2"/>
        <w:ind w:left="284" w:right="261"/>
        <w:jc w:val="both"/>
        <w:rPr>
          <w:rFonts w:ascii="Arial" w:hAnsi="Arial"/>
          <w:b/>
          <w:i/>
          <w:sz w:val="22"/>
        </w:rPr>
      </w:pPr>
      <w:r w:rsidRPr="00E779DC">
        <w:rPr>
          <w:rFonts w:ascii="Arial" w:hAnsi="Arial"/>
          <w:b/>
          <w:i/>
          <w:sz w:val="22"/>
        </w:rPr>
        <w:t>Měsíční rozpis nájmu</w:t>
      </w:r>
    </w:p>
    <w:p w:rsidR="00CB2998" w:rsidRPr="00BC10CC" w:rsidRDefault="00CB2998" w:rsidP="00C35AE2">
      <w:pPr>
        <w:pStyle w:val="Import12"/>
        <w:shd w:val="pct10" w:color="auto" w:fill="FFFFFF"/>
        <w:tabs>
          <w:tab w:val="clear" w:pos="1728"/>
          <w:tab w:val="left" w:pos="1418"/>
          <w:tab w:val="left" w:pos="2127"/>
          <w:tab w:val="left" w:pos="4253"/>
        </w:tabs>
        <w:ind w:left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 říjen -</w:t>
      </w:r>
      <w:r>
        <w:rPr>
          <w:rFonts w:ascii="Arial" w:hAnsi="Arial"/>
          <w:sz w:val="22"/>
        </w:rPr>
        <w:tab/>
      </w:r>
    </w:p>
    <w:p w:rsidR="00CB2998" w:rsidRPr="0082157B" w:rsidRDefault="00CB2998" w:rsidP="00C35AE2">
      <w:pPr>
        <w:pStyle w:val="Import12"/>
        <w:shd w:val="pct10" w:color="auto" w:fill="FFFFFF"/>
        <w:tabs>
          <w:tab w:val="clear" w:pos="1728"/>
          <w:tab w:val="left" w:pos="1418"/>
          <w:tab w:val="left" w:pos="2127"/>
          <w:tab w:val="left" w:pos="4253"/>
        </w:tabs>
        <w:ind w:left="284"/>
        <w:rPr>
          <w:rFonts w:ascii="Arial" w:hAnsi="Arial"/>
          <w:sz w:val="22"/>
        </w:rPr>
      </w:pPr>
      <w:r w:rsidRPr="000B280E">
        <w:rPr>
          <w:rFonts w:ascii="Arial" w:hAnsi="Arial"/>
          <w:sz w:val="22"/>
        </w:rPr>
        <w:t>- listopad -</w:t>
      </w:r>
      <w:r w:rsidRPr="000B280E">
        <w:rPr>
          <w:rFonts w:ascii="Arial" w:hAnsi="Arial"/>
          <w:sz w:val="22"/>
        </w:rPr>
        <w:tab/>
      </w:r>
    </w:p>
    <w:p w:rsidR="00CB2998" w:rsidRDefault="00CB2998" w:rsidP="00C35AE2">
      <w:pPr>
        <w:pStyle w:val="Import12"/>
        <w:shd w:val="pct10" w:color="auto" w:fill="FFFFFF"/>
        <w:tabs>
          <w:tab w:val="clear" w:pos="1728"/>
          <w:tab w:val="left" w:pos="1418"/>
          <w:tab w:val="left" w:pos="2127"/>
          <w:tab w:val="left" w:pos="4253"/>
        </w:tabs>
        <w:ind w:left="284"/>
        <w:rPr>
          <w:rFonts w:ascii="Arial" w:hAnsi="Arial"/>
          <w:sz w:val="22"/>
        </w:rPr>
      </w:pPr>
      <w:r w:rsidRPr="0091034E">
        <w:rPr>
          <w:rFonts w:ascii="Arial" w:hAnsi="Arial"/>
          <w:sz w:val="22"/>
        </w:rPr>
        <w:t>- prosinec</w:t>
      </w:r>
      <w:r w:rsidRPr="0091034E">
        <w:rPr>
          <w:rFonts w:ascii="Arial" w:hAnsi="Arial"/>
          <w:sz w:val="22"/>
        </w:rPr>
        <w:tab/>
      </w:r>
    </w:p>
    <w:p w:rsidR="00CB2998" w:rsidRPr="00925DCC" w:rsidRDefault="00CB2998" w:rsidP="00C35AE2">
      <w:pPr>
        <w:pStyle w:val="Import12"/>
        <w:shd w:val="pct10" w:color="auto" w:fill="FFFFFF"/>
        <w:tabs>
          <w:tab w:val="clear" w:pos="1728"/>
          <w:tab w:val="left" w:pos="1418"/>
          <w:tab w:val="left" w:pos="2127"/>
          <w:tab w:val="left" w:pos="4253"/>
        </w:tabs>
        <w:ind w:left="284"/>
        <w:rPr>
          <w:rFonts w:ascii="Arial" w:hAnsi="Arial"/>
          <w:sz w:val="22"/>
        </w:rPr>
      </w:pPr>
      <w:r w:rsidRPr="000B280E">
        <w:rPr>
          <w:rFonts w:ascii="Arial" w:hAnsi="Arial"/>
          <w:sz w:val="22"/>
        </w:rPr>
        <w:t xml:space="preserve">- </w:t>
      </w:r>
      <w:r>
        <w:rPr>
          <w:rFonts w:ascii="Arial" w:hAnsi="Arial"/>
          <w:sz w:val="22"/>
        </w:rPr>
        <w:t>únor</w:t>
      </w:r>
      <w:r w:rsidRPr="000B280E">
        <w:rPr>
          <w:rFonts w:ascii="Arial" w:hAnsi="Arial"/>
          <w:sz w:val="22"/>
        </w:rPr>
        <w:t xml:space="preserve"> -</w:t>
      </w:r>
      <w:r w:rsidRPr="000B280E">
        <w:rPr>
          <w:rFonts w:ascii="Arial" w:hAnsi="Arial"/>
          <w:sz w:val="22"/>
        </w:rPr>
        <w:tab/>
      </w:r>
    </w:p>
    <w:p w:rsidR="00956D8F" w:rsidRDefault="00956D8F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0"/>
        </w:rPr>
      </w:pPr>
    </w:p>
    <w:p w:rsidR="008A455D" w:rsidRPr="00623FF8" w:rsidRDefault="008A455D" w:rsidP="008A455D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0"/>
        </w:rPr>
      </w:pPr>
    </w:p>
    <w:p w:rsidR="008A455D" w:rsidRDefault="008A455D" w:rsidP="008A455D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:rsidR="008A455D" w:rsidRDefault="008A455D" w:rsidP="008A455D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:rsidR="008A455D" w:rsidRPr="007A16C9" w:rsidRDefault="008A455D" w:rsidP="008A455D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A16C9">
        <w:rPr>
          <w:rFonts w:ascii="Arial" w:hAnsi="Arial" w:cs="Arial"/>
          <w:sz w:val="22"/>
          <w:szCs w:val="22"/>
        </w:rPr>
        <w:t xml:space="preserve">Cena za hodinu nájmu velké tělocvičny byla stanovena na </w:t>
      </w:r>
      <w:r w:rsidRPr="007A16C9">
        <w:rPr>
          <w:rFonts w:ascii="Arial" w:hAnsi="Arial" w:cs="Arial"/>
          <w:b/>
          <w:sz w:val="22"/>
          <w:szCs w:val="22"/>
        </w:rPr>
        <w:t xml:space="preserve">800,-Kč </w:t>
      </w:r>
      <w:r w:rsidRPr="007A16C9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:rsidR="008A455D" w:rsidRDefault="008A455D" w:rsidP="008A455D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 61 d) Zákona č.235/2004 Sb. o DPH v platném znění osvobozena od DPH.</w:t>
      </w:r>
    </w:p>
    <w:p w:rsidR="008A455D" w:rsidRPr="00623FF8" w:rsidRDefault="008A455D" w:rsidP="008A455D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16"/>
        </w:rPr>
      </w:pPr>
    </w:p>
    <w:p w:rsidR="008A455D" w:rsidRDefault="008A455D" w:rsidP="008A455D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/>
          <w:sz w:val="22"/>
        </w:rPr>
      </w:pPr>
      <w:r w:rsidRPr="0022291B">
        <w:rPr>
          <w:rFonts w:ascii="Arial" w:hAnsi="Arial" w:cs="Arial"/>
          <w:b/>
          <w:i/>
          <w:sz w:val="22"/>
        </w:rPr>
        <w:lastRenderedPageBreak/>
        <w:t xml:space="preserve">Dle měsíčního rozpisu nájmu pronajatých prostor se zavazuje nájemce uhradit </w:t>
      </w:r>
      <w:r>
        <w:rPr>
          <w:rFonts w:ascii="Arial" w:hAnsi="Arial" w:cs="Arial"/>
          <w:b/>
          <w:i/>
          <w:sz w:val="22"/>
        </w:rPr>
        <w:t>nájemné takto:</w:t>
      </w:r>
    </w:p>
    <w:p w:rsidR="008A455D" w:rsidRDefault="008A455D" w:rsidP="008A455D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říjen</w:t>
      </w:r>
      <w:r>
        <w:rPr>
          <w:rFonts w:ascii="Arial" w:hAnsi="Arial" w:cs="Arial"/>
          <w:sz w:val="22"/>
        </w:rPr>
        <w:tab/>
        <w:t>-</w:t>
      </w:r>
      <w:r>
        <w:rPr>
          <w:rFonts w:ascii="Arial" w:hAnsi="Arial" w:cs="Arial"/>
          <w:sz w:val="22"/>
        </w:rPr>
        <w:tab/>
        <w:t xml:space="preserve">  6.400,- Kč</w:t>
      </w:r>
    </w:p>
    <w:p w:rsidR="008A455D" w:rsidRPr="000B280E" w:rsidRDefault="008A455D" w:rsidP="008A455D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0B280E">
        <w:rPr>
          <w:rFonts w:ascii="Arial" w:hAnsi="Arial" w:cs="Arial"/>
          <w:sz w:val="22"/>
        </w:rPr>
        <w:t xml:space="preserve">- listopad </w:t>
      </w:r>
      <w:r w:rsidRPr="000B280E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ab/>
        <w:t>10</w:t>
      </w:r>
      <w:r w:rsidRPr="000B280E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0</w:t>
      </w:r>
      <w:r w:rsidRPr="000B280E">
        <w:rPr>
          <w:rFonts w:ascii="Arial" w:hAnsi="Arial" w:cs="Arial"/>
          <w:sz w:val="22"/>
        </w:rPr>
        <w:t>00,- Kč</w:t>
      </w:r>
    </w:p>
    <w:p w:rsidR="008A455D" w:rsidRDefault="008A455D" w:rsidP="008A455D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rFonts w:ascii="Arial" w:hAnsi="Arial" w:cs="Arial"/>
          <w:sz w:val="22"/>
        </w:rPr>
      </w:pPr>
      <w:r w:rsidRPr="000B280E">
        <w:rPr>
          <w:rFonts w:ascii="Arial" w:hAnsi="Arial" w:cs="Arial"/>
          <w:sz w:val="22"/>
        </w:rPr>
        <w:t xml:space="preserve">- </w:t>
      </w:r>
      <w:r>
        <w:rPr>
          <w:rFonts w:ascii="Arial" w:hAnsi="Arial" w:cs="Arial"/>
          <w:sz w:val="22"/>
        </w:rPr>
        <w:t>prosinec</w:t>
      </w:r>
      <w:r w:rsidRPr="000B280E">
        <w:rPr>
          <w:rFonts w:ascii="Arial" w:hAnsi="Arial" w:cs="Arial"/>
          <w:sz w:val="22"/>
        </w:rPr>
        <w:t xml:space="preserve"> </w:t>
      </w:r>
      <w:r w:rsidRPr="000B280E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ab/>
        <w:t>12</w:t>
      </w:r>
      <w:r w:rsidRPr="000B280E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8</w:t>
      </w:r>
      <w:r w:rsidRPr="000B280E">
        <w:rPr>
          <w:rFonts w:ascii="Arial" w:hAnsi="Arial" w:cs="Arial"/>
          <w:sz w:val="22"/>
        </w:rPr>
        <w:t>00,- Kč</w:t>
      </w:r>
    </w:p>
    <w:p w:rsidR="008A455D" w:rsidRPr="000B280E" w:rsidRDefault="008A455D" w:rsidP="008A455D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>
        <w:rPr>
          <w:rFonts w:ascii="Arial" w:hAnsi="Arial" w:cs="Arial"/>
          <w:sz w:val="22"/>
        </w:rPr>
        <w:t>- únor</w:t>
      </w:r>
      <w:r>
        <w:rPr>
          <w:rFonts w:ascii="Arial" w:hAnsi="Arial" w:cs="Arial"/>
          <w:sz w:val="22"/>
        </w:rPr>
        <w:tab/>
        <w:t>-</w:t>
      </w:r>
      <w:r>
        <w:rPr>
          <w:rFonts w:ascii="Arial" w:hAnsi="Arial" w:cs="Arial"/>
          <w:sz w:val="22"/>
        </w:rPr>
        <w:tab/>
        <w:t>14.400,- Kč</w:t>
      </w:r>
    </w:p>
    <w:p w:rsidR="008A455D" w:rsidRPr="00925DCC" w:rsidRDefault="008A455D" w:rsidP="008A455D">
      <w:pPr>
        <w:pStyle w:val="Import2"/>
        <w:rPr>
          <w:rFonts w:ascii="Arial" w:hAnsi="Arial" w:cs="Arial"/>
          <w:b/>
          <w:sz w:val="20"/>
          <w:highlight w:val="yellow"/>
        </w:rPr>
      </w:pPr>
    </w:p>
    <w:p w:rsidR="008A455D" w:rsidRPr="00FE5236" w:rsidRDefault="008A455D" w:rsidP="008A455D">
      <w:pPr>
        <w:pStyle w:val="Import12"/>
        <w:shd w:val="clear" w:color="auto" w:fill="E5E5E5"/>
        <w:tabs>
          <w:tab w:val="left" w:pos="4253"/>
        </w:tabs>
        <w:ind w:left="284"/>
        <w:jc w:val="both"/>
      </w:pPr>
      <w:r w:rsidRPr="00FE5236">
        <w:rPr>
          <w:rFonts w:ascii="Arial" w:hAnsi="Arial" w:cs="Arial"/>
          <w:b/>
          <w:sz w:val="22"/>
          <w:szCs w:val="22"/>
        </w:rPr>
        <w:t>Celkem</w:t>
      </w:r>
      <w:r w:rsidRPr="00FE5236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43.600</w:t>
      </w:r>
      <w:r w:rsidRPr="00FE5236">
        <w:rPr>
          <w:rFonts w:ascii="Arial" w:hAnsi="Arial" w:cs="Arial"/>
          <w:b/>
          <w:sz w:val="22"/>
          <w:szCs w:val="22"/>
        </w:rPr>
        <w:t>,- Kč</w:t>
      </w:r>
    </w:p>
    <w:p w:rsidR="00EB5348" w:rsidRPr="00623FF8" w:rsidRDefault="00EB534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0"/>
        </w:rPr>
      </w:pPr>
    </w:p>
    <w:p w:rsidR="009227E8" w:rsidRPr="00956D8F" w:rsidRDefault="00956D8F">
      <w:pPr>
        <w:pStyle w:val="Import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Tento dodatek se uzavírá na dobu určitou od </w:t>
      </w:r>
      <w:r w:rsidR="008A455D">
        <w:rPr>
          <w:rFonts w:ascii="Arial" w:hAnsi="Arial" w:cs="Arial"/>
          <w:b/>
          <w:sz w:val="22"/>
        </w:rPr>
        <w:t>8</w:t>
      </w:r>
      <w:r w:rsidR="003E6076">
        <w:rPr>
          <w:rFonts w:ascii="Arial" w:hAnsi="Arial" w:cs="Arial"/>
          <w:b/>
          <w:sz w:val="22"/>
        </w:rPr>
        <w:t>.</w:t>
      </w:r>
      <w:r w:rsidR="006844CD">
        <w:rPr>
          <w:rFonts w:ascii="Arial" w:hAnsi="Arial" w:cs="Arial"/>
          <w:b/>
          <w:sz w:val="22"/>
        </w:rPr>
        <w:t>2</w:t>
      </w:r>
      <w:r w:rsidR="003E6076">
        <w:rPr>
          <w:rFonts w:ascii="Arial" w:hAnsi="Arial" w:cs="Arial"/>
          <w:b/>
          <w:sz w:val="22"/>
        </w:rPr>
        <w:t>.20</w:t>
      </w:r>
      <w:r w:rsidR="006844CD">
        <w:rPr>
          <w:rFonts w:ascii="Arial" w:hAnsi="Arial" w:cs="Arial"/>
          <w:b/>
          <w:sz w:val="22"/>
        </w:rPr>
        <w:t>20</w:t>
      </w:r>
      <w:r w:rsidR="003E6076">
        <w:rPr>
          <w:rFonts w:ascii="Arial" w:hAnsi="Arial" w:cs="Arial"/>
          <w:b/>
          <w:sz w:val="22"/>
        </w:rPr>
        <w:t xml:space="preserve"> do </w:t>
      </w:r>
      <w:r w:rsidR="00CB2998">
        <w:rPr>
          <w:rFonts w:ascii="Arial" w:hAnsi="Arial" w:cs="Arial"/>
          <w:b/>
          <w:sz w:val="22"/>
        </w:rPr>
        <w:t>2</w:t>
      </w:r>
      <w:r w:rsidR="008A455D">
        <w:rPr>
          <w:rFonts w:ascii="Arial" w:hAnsi="Arial" w:cs="Arial"/>
          <w:b/>
          <w:sz w:val="22"/>
        </w:rPr>
        <w:t>3</w:t>
      </w:r>
      <w:r w:rsidR="003E6076">
        <w:rPr>
          <w:rFonts w:ascii="Arial" w:hAnsi="Arial" w:cs="Arial"/>
          <w:b/>
          <w:sz w:val="22"/>
        </w:rPr>
        <w:t>.</w:t>
      </w:r>
      <w:r w:rsidR="00CB2998">
        <w:rPr>
          <w:rFonts w:ascii="Arial" w:hAnsi="Arial" w:cs="Arial"/>
          <w:b/>
          <w:sz w:val="22"/>
        </w:rPr>
        <w:t>2</w:t>
      </w:r>
      <w:r w:rsidR="003E6076">
        <w:rPr>
          <w:rFonts w:ascii="Arial" w:hAnsi="Arial" w:cs="Arial"/>
          <w:b/>
          <w:sz w:val="22"/>
        </w:rPr>
        <w:t>.20</w:t>
      </w:r>
      <w:r w:rsidR="00CB2998">
        <w:rPr>
          <w:rFonts w:ascii="Arial" w:hAnsi="Arial" w:cs="Arial"/>
          <w:b/>
          <w:sz w:val="22"/>
        </w:rPr>
        <w:t>20</w:t>
      </w:r>
      <w:r w:rsidR="00644261">
        <w:rPr>
          <w:rFonts w:ascii="Arial" w:hAnsi="Arial" w:cs="Arial"/>
          <w:b/>
          <w:sz w:val="22"/>
        </w:rPr>
        <w:t>.</w:t>
      </w:r>
    </w:p>
    <w:p w:rsidR="003E6076" w:rsidRDefault="003E6076">
      <w:pPr>
        <w:pStyle w:val="Import0"/>
        <w:rPr>
          <w:rFonts w:ascii="Arial" w:hAnsi="Arial" w:cs="Arial"/>
          <w:sz w:val="22"/>
        </w:rPr>
      </w:pPr>
    </w:p>
    <w:p w:rsidR="008B27CE" w:rsidRDefault="003E6076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Ostatní ustanovení smlouvy zůstávají v platnosti.</w:t>
      </w:r>
    </w:p>
    <w:p w:rsidR="003E6076" w:rsidRDefault="003E6076" w:rsidP="00FA1AFF">
      <w:pPr>
        <w:pStyle w:val="Import0"/>
        <w:rPr>
          <w:rFonts w:ascii="Arial" w:hAnsi="Arial" w:cs="Arial"/>
          <w:sz w:val="22"/>
        </w:rPr>
      </w:pPr>
    </w:p>
    <w:p w:rsidR="003E6076" w:rsidRDefault="003E6076" w:rsidP="00FA1AFF">
      <w:pPr>
        <w:pStyle w:val="Import0"/>
        <w:rPr>
          <w:rFonts w:ascii="Arial" w:hAnsi="Arial" w:cs="Arial"/>
          <w:sz w:val="22"/>
        </w:rPr>
      </w:pPr>
    </w:p>
    <w:p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FE5236" w:rsidRDefault="00FE5236">
      <w:pPr>
        <w:pStyle w:val="Import0"/>
        <w:rPr>
          <w:rFonts w:ascii="Arial" w:hAnsi="Arial" w:cs="Arial"/>
          <w:sz w:val="22"/>
        </w:rPr>
      </w:pPr>
    </w:p>
    <w:p w:rsidR="0091034E" w:rsidRDefault="0091034E" w:rsidP="0091034E">
      <w:pPr>
        <w:pStyle w:val="Import0"/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 w:rsidR="00B4607D">
        <w:rPr>
          <w:rFonts w:ascii="Arial" w:hAnsi="Arial" w:cs="Arial"/>
          <w:sz w:val="22"/>
        </w:rPr>
        <w:t>:</w:t>
      </w:r>
    </w:p>
    <w:p w:rsidR="0091034E" w:rsidRDefault="0091034E" w:rsidP="0091034E">
      <w:pPr>
        <w:pStyle w:val="Import18"/>
        <w:ind w:left="0"/>
        <w:rPr>
          <w:rFonts w:ascii="Arial" w:hAnsi="Arial" w:cs="Arial"/>
          <w:sz w:val="22"/>
        </w:rPr>
      </w:pPr>
    </w:p>
    <w:p w:rsidR="0091034E" w:rsidRDefault="0091034E" w:rsidP="0091034E">
      <w:pPr>
        <w:pStyle w:val="Import18"/>
        <w:ind w:left="0"/>
        <w:rPr>
          <w:rFonts w:ascii="Arial" w:hAnsi="Arial" w:cs="Arial"/>
          <w:sz w:val="22"/>
        </w:rPr>
      </w:pPr>
    </w:p>
    <w:p w:rsidR="006B03DA" w:rsidRDefault="006B03DA" w:rsidP="0091034E">
      <w:pPr>
        <w:pStyle w:val="Import18"/>
        <w:ind w:left="0"/>
        <w:rPr>
          <w:rFonts w:ascii="Arial" w:hAnsi="Arial" w:cs="Arial"/>
          <w:sz w:val="22"/>
        </w:rPr>
      </w:pPr>
    </w:p>
    <w:p w:rsidR="0091034E" w:rsidRDefault="0091034E" w:rsidP="0091034E">
      <w:pPr>
        <w:pStyle w:val="Import18"/>
        <w:ind w:left="0"/>
        <w:rPr>
          <w:rFonts w:ascii="Arial" w:hAnsi="Arial" w:cs="Arial"/>
          <w:sz w:val="22"/>
        </w:rPr>
      </w:pPr>
    </w:p>
    <w:p w:rsidR="0091034E" w:rsidRDefault="0091034E" w:rsidP="0091034E">
      <w:pPr>
        <w:pStyle w:val="Import18"/>
        <w:ind w:left="0"/>
        <w:rPr>
          <w:rFonts w:ascii="Arial" w:hAnsi="Arial" w:cs="Arial"/>
          <w:sz w:val="22"/>
        </w:rPr>
      </w:pPr>
    </w:p>
    <w:p w:rsidR="0091034E" w:rsidRDefault="0091034E" w:rsidP="0091034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  <w:t>………………………………………………….</w:t>
      </w:r>
    </w:p>
    <w:p w:rsidR="00FA3F04" w:rsidRDefault="0091034E" w:rsidP="00B4607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bookmarkStart w:id="2" w:name="_GoBack"/>
      <w:bookmarkEnd w:id="2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F70599" w:rsidRDefault="00F70599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623FF8" w:rsidRDefault="00623FF8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sectPr w:rsidR="00623FF8" w:rsidSect="00067CF9">
      <w:footerReference w:type="default" r:id="rId7"/>
      <w:pgSz w:w="11906" w:h="16838"/>
      <w:pgMar w:top="1135" w:right="1134" w:bottom="1134" w:left="1276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CAE" w:rsidRDefault="008F0CAE" w:rsidP="007B19DE">
      <w:r>
        <w:separator/>
      </w:r>
    </w:p>
  </w:endnote>
  <w:endnote w:type="continuationSeparator" w:id="0">
    <w:p w:rsidR="008F0CAE" w:rsidRDefault="008F0CA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152641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EC11FE">
          <w:rPr>
            <w:rFonts w:ascii="Arial" w:hAnsi="Arial" w:cs="Arial"/>
            <w:noProof/>
          </w:rPr>
          <w:t>1</w:t>
        </w:r>
        <w:r w:rsidRPr="007B19DE">
          <w:rPr>
            <w:rFonts w:ascii="Arial" w:hAnsi="Arial" w:cs="Arial"/>
          </w:rPr>
          <w:fldChar w:fldCharType="end"/>
        </w:r>
      </w:p>
    </w:sdtContent>
  </w:sdt>
  <w:p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CAE" w:rsidRDefault="008F0CAE" w:rsidP="007B19DE">
      <w:r>
        <w:separator/>
      </w:r>
    </w:p>
  </w:footnote>
  <w:footnote w:type="continuationSeparator" w:id="0">
    <w:p w:rsidR="008F0CAE" w:rsidRDefault="008F0CA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521B3"/>
    <w:rsid w:val="000618E4"/>
    <w:rsid w:val="00067CF9"/>
    <w:rsid w:val="000B280E"/>
    <w:rsid w:val="00105258"/>
    <w:rsid w:val="001349FA"/>
    <w:rsid w:val="00141C1D"/>
    <w:rsid w:val="00144C73"/>
    <w:rsid w:val="001603B8"/>
    <w:rsid w:val="0019773C"/>
    <w:rsid w:val="001B4994"/>
    <w:rsid w:val="001E6C0E"/>
    <w:rsid w:val="002200FF"/>
    <w:rsid w:val="0022291B"/>
    <w:rsid w:val="00310FEE"/>
    <w:rsid w:val="00355CC0"/>
    <w:rsid w:val="0038721A"/>
    <w:rsid w:val="0039241F"/>
    <w:rsid w:val="00394AF3"/>
    <w:rsid w:val="003C04C1"/>
    <w:rsid w:val="003D4565"/>
    <w:rsid w:val="003E2CC3"/>
    <w:rsid w:val="003E6076"/>
    <w:rsid w:val="003F64E9"/>
    <w:rsid w:val="00432CCD"/>
    <w:rsid w:val="00437AA7"/>
    <w:rsid w:val="00453361"/>
    <w:rsid w:val="0045590A"/>
    <w:rsid w:val="00461A57"/>
    <w:rsid w:val="00467B01"/>
    <w:rsid w:val="004D3E6D"/>
    <w:rsid w:val="00503BA2"/>
    <w:rsid w:val="00507E4D"/>
    <w:rsid w:val="00527875"/>
    <w:rsid w:val="00571A0C"/>
    <w:rsid w:val="00577C52"/>
    <w:rsid w:val="005A1231"/>
    <w:rsid w:val="005C28FC"/>
    <w:rsid w:val="005D4655"/>
    <w:rsid w:val="00615F6B"/>
    <w:rsid w:val="00623FF8"/>
    <w:rsid w:val="00642F5A"/>
    <w:rsid w:val="00644261"/>
    <w:rsid w:val="00660310"/>
    <w:rsid w:val="00667D68"/>
    <w:rsid w:val="006844CD"/>
    <w:rsid w:val="0068533D"/>
    <w:rsid w:val="006A0499"/>
    <w:rsid w:val="006B03DA"/>
    <w:rsid w:val="006C7D53"/>
    <w:rsid w:val="006D7135"/>
    <w:rsid w:val="006F2BE8"/>
    <w:rsid w:val="00714860"/>
    <w:rsid w:val="007279C3"/>
    <w:rsid w:val="007707DB"/>
    <w:rsid w:val="007A16C9"/>
    <w:rsid w:val="007B19DE"/>
    <w:rsid w:val="0082157B"/>
    <w:rsid w:val="008A455D"/>
    <w:rsid w:val="008B27CE"/>
    <w:rsid w:val="008F0CAE"/>
    <w:rsid w:val="0091034E"/>
    <w:rsid w:val="00915D34"/>
    <w:rsid w:val="0091749B"/>
    <w:rsid w:val="009227E8"/>
    <w:rsid w:val="00956D8F"/>
    <w:rsid w:val="009C5650"/>
    <w:rsid w:val="009F6FA3"/>
    <w:rsid w:val="00A44526"/>
    <w:rsid w:val="00A52BEE"/>
    <w:rsid w:val="00A944A7"/>
    <w:rsid w:val="00A97057"/>
    <w:rsid w:val="00AB11E5"/>
    <w:rsid w:val="00B02907"/>
    <w:rsid w:val="00B24577"/>
    <w:rsid w:val="00B43DEB"/>
    <w:rsid w:val="00B4607D"/>
    <w:rsid w:val="00C07FE4"/>
    <w:rsid w:val="00C35AE2"/>
    <w:rsid w:val="00C37AE3"/>
    <w:rsid w:val="00C40AB4"/>
    <w:rsid w:val="00C46E1F"/>
    <w:rsid w:val="00C91283"/>
    <w:rsid w:val="00CB2998"/>
    <w:rsid w:val="00CC13EA"/>
    <w:rsid w:val="00D5217E"/>
    <w:rsid w:val="00D87F45"/>
    <w:rsid w:val="00DA77A5"/>
    <w:rsid w:val="00DB6783"/>
    <w:rsid w:val="00DF2219"/>
    <w:rsid w:val="00E12D33"/>
    <w:rsid w:val="00E17104"/>
    <w:rsid w:val="00E42DB7"/>
    <w:rsid w:val="00E554EC"/>
    <w:rsid w:val="00EA76BA"/>
    <w:rsid w:val="00EB5348"/>
    <w:rsid w:val="00EC11FE"/>
    <w:rsid w:val="00F15263"/>
    <w:rsid w:val="00F70599"/>
    <w:rsid w:val="00F837FF"/>
    <w:rsid w:val="00FA1AFF"/>
    <w:rsid w:val="00FA3F04"/>
    <w:rsid w:val="00FB43E4"/>
    <w:rsid w:val="00FE5236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D41E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 SSTD</cp:lastModifiedBy>
  <cp:revision>2</cp:revision>
  <cp:lastPrinted>2020-01-13T08:38:00Z</cp:lastPrinted>
  <dcterms:created xsi:type="dcterms:W3CDTF">2020-01-22T06:22:00Z</dcterms:created>
  <dcterms:modified xsi:type="dcterms:W3CDTF">2020-01-22T06:22:00Z</dcterms:modified>
  <dc:language>cs-CZ</dc:language>
</cp:coreProperties>
</file>