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EDB60" w14:textId="2D5B1134" w:rsidR="002B4913" w:rsidRDefault="00B90716">
      <w:pPr>
        <w:pStyle w:val="Zkladntext"/>
        <w:rPr>
          <w:b/>
          <w:sz w:val="28"/>
          <w:szCs w:val="28"/>
        </w:rPr>
      </w:pPr>
      <w:bookmarkStart w:id="0" w:name="_GoBack"/>
      <w:bookmarkEnd w:id="0"/>
      <w:r>
        <w:rPr>
          <w:b/>
          <w:sz w:val="28"/>
          <w:szCs w:val="28"/>
        </w:rPr>
        <w:t xml:space="preserve">                                Smlouva </w:t>
      </w:r>
      <w:r w:rsidR="005B03F7">
        <w:rPr>
          <w:b/>
          <w:sz w:val="28"/>
          <w:szCs w:val="28"/>
        </w:rPr>
        <w:t>příkazní</w:t>
      </w:r>
      <w:r>
        <w:rPr>
          <w:b/>
          <w:sz w:val="28"/>
          <w:szCs w:val="28"/>
        </w:rPr>
        <w:t xml:space="preserve"> </w:t>
      </w:r>
    </w:p>
    <w:p w14:paraId="4102CC3D" w14:textId="77777777" w:rsidR="002B4913" w:rsidRDefault="002B4913"/>
    <w:p w14:paraId="23621C40" w14:textId="77777777" w:rsidR="002B4913" w:rsidRPr="00902332" w:rsidRDefault="002B4913">
      <w:pPr>
        <w:rPr>
          <w:rStyle w:val="Silnzdraznn"/>
          <w:rFonts w:ascii="Times New Roman" w:hAnsi="Times New Roman"/>
          <w:i/>
          <w:iCs/>
          <w:sz w:val="24"/>
          <w:szCs w:val="24"/>
          <w:lang w:eastAsia="en-US"/>
        </w:rPr>
      </w:pPr>
    </w:p>
    <w:p w14:paraId="5D4D5F98" w14:textId="72033FF0" w:rsidR="002B4913" w:rsidRPr="00902332" w:rsidRDefault="00B90716">
      <w:pPr>
        <w:rPr>
          <w:rFonts w:ascii="Times New Roman" w:hAnsi="Times New Roman"/>
          <w:iCs/>
          <w:sz w:val="24"/>
          <w:szCs w:val="24"/>
        </w:rPr>
      </w:pPr>
      <w:r w:rsidRPr="00902332">
        <w:rPr>
          <w:rStyle w:val="Silnzdraznn"/>
          <w:rFonts w:ascii="Times New Roman" w:hAnsi="Times New Roman"/>
          <w:iCs/>
          <w:sz w:val="24"/>
          <w:szCs w:val="24"/>
          <w:lang w:eastAsia="en-US"/>
        </w:rPr>
        <w:t xml:space="preserve">Dům </w:t>
      </w:r>
      <w:r w:rsidR="00E25A62" w:rsidRPr="00902332">
        <w:rPr>
          <w:rStyle w:val="Silnzdraznn"/>
          <w:rFonts w:ascii="Times New Roman" w:hAnsi="Times New Roman"/>
          <w:iCs/>
          <w:sz w:val="24"/>
          <w:szCs w:val="24"/>
          <w:lang w:eastAsia="en-US"/>
        </w:rPr>
        <w:t>k</w:t>
      </w:r>
      <w:r w:rsidRPr="00902332">
        <w:rPr>
          <w:rStyle w:val="Silnzdraznn"/>
          <w:rFonts w:ascii="Times New Roman" w:hAnsi="Times New Roman"/>
          <w:iCs/>
          <w:sz w:val="24"/>
          <w:szCs w:val="24"/>
          <w:lang w:eastAsia="en-US"/>
        </w:rPr>
        <w:t>ultury Teplice</w:t>
      </w:r>
      <w:r w:rsidRPr="00902332">
        <w:rPr>
          <w:rFonts w:ascii="Times New Roman" w:hAnsi="Times New Roman"/>
          <w:iCs/>
          <w:sz w:val="24"/>
          <w:szCs w:val="24"/>
          <w:lang w:eastAsia="en-US"/>
        </w:rPr>
        <w:br/>
      </w:r>
      <w:r w:rsidRPr="00902332">
        <w:rPr>
          <w:rFonts w:ascii="Times New Roman" w:hAnsi="Times New Roman"/>
          <w:iCs/>
          <w:sz w:val="24"/>
          <w:szCs w:val="24"/>
        </w:rPr>
        <w:t>Mírové Náměstí 2950, Teplice, PSČ 41580</w:t>
      </w:r>
    </w:p>
    <w:p w14:paraId="7C5923AE" w14:textId="5D799C59" w:rsidR="002B4913" w:rsidRDefault="00B90716">
      <w:pPr>
        <w:rPr>
          <w:rFonts w:ascii="Times New Roman" w:hAnsi="Times New Roman"/>
          <w:iCs/>
          <w:sz w:val="24"/>
          <w:szCs w:val="24"/>
        </w:rPr>
      </w:pPr>
      <w:r w:rsidRPr="00902332">
        <w:rPr>
          <w:rFonts w:ascii="Times New Roman" w:hAnsi="Times New Roman"/>
          <w:iCs/>
          <w:sz w:val="24"/>
          <w:szCs w:val="24"/>
        </w:rPr>
        <w:t xml:space="preserve">IČ : </w:t>
      </w:r>
      <w:r w:rsidR="00E25A62" w:rsidRPr="00902332">
        <w:rPr>
          <w:rFonts w:ascii="Times New Roman" w:hAnsi="Times New Roman"/>
          <w:iCs/>
          <w:sz w:val="24"/>
          <w:szCs w:val="24"/>
        </w:rPr>
        <w:t>00081221</w:t>
      </w:r>
    </w:p>
    <w:p w14:paraId="502822BA" w14:textId="2EC90CF8" w:rsidR="00902332" w:rsidRPr="00902332" w:rsidRDefault="00902332">
      <w:pPr>
        <w:rPr>
          <w:rFonts w:ascii="Times New Roman" w:hAnsi="Times New Roman"/>
          <w:iCs/>
          <w:sz w:val="24"/>
          <w:szCs w:val="24"/>
        </w:rPr>
      </w:pPr>
      <w:r w:rsidRPr="00902332">
        <w:rPr>
          <w:rFonts w:ascii="Times New Roman" w:hAnsi="Times New Roman"/>
          <w:iCs/>
          <w:sz w:val="24"/>
          <w:szCs w:val="24"/>
        </w:rPr>
        <w:t>zastoupený Ing Přemyslem Šobou</w:t>
      </w:r>
      <w:r>
        <w:rPr>
          <w:rFonts w:ascii="Times New Roman" w:hAnsi="Times New Roman"/>
          <w:iCs/>
          <w:sz w:val="24"/>
          <w:szCs w:val="24"/>
        </w:rPr>
        <w:t xml:space="preserve"> - </w:t>
      </w:r>
      <w:r w:rsidRPr="00902332">
        <w:rPr>
          <w:rFonts w:ascii="Times New Roman" w:hAnsi="Times New Roman"/>
          <w:iCs/>
          <w:sz w:val="24"/>
          <w:szCs w:val="24"/>
        </w:rPr>
        <w:t>ředitelem organizace </w:t>
      </w:r>
    </w:p>
    <w:p w14:paraId="5241DE46" w14:textId="272CB34A" w:rsidR="002B4913" w:rsidRPr="00902332" w:rsidRDefault="00902332">
      <w:pPr>
        <w:rPr>
          <w:rFonts w:ascii="Times New Roman" w:hAnsi="Times New Roman"/>
          <w:sz w:val="24"/>
          <w:szCs w:val="24"/>
        </w:rPr>
      </w:pPr>
      <w:r>
        <w:rPr>
          <w:rFonts w:ascii="Times New Roman" w:hAnsi="Times New Roman"/>
          <w:sz w:val="24"/>
          <w:szCs w:val="24"/>
        </w:rPr>
        <w:t>(</w:t>
      </w:r>
      <w:r w:rsidR="00B90716" w:rsidRPr="00902332">
        <w:rPr>
          <w:rFonts w:ascii="Times New Roman" w:hAnsi="Times New Roman"/>
          <w:sz w:val="24"/>
          <w:szCs w:val="24"/>
        </w:rPr>
        <w:t xml:space="preserve">dále jen „DKT“) </w:t>
      </w:r>
    </w:p>
    <w:p w14:paraId="7B822D9E" w14:textId="77777777" w:rsidR="00902332" w:rsidRDefault="00902332">
      <w:pPr>
        <w:rPr>
          <w:rFonts w:ascii="Times New Roman" w:hAnsi="Times New Roman"/>
          <w:sz w:val="24"/>
          <w:szCs w:val="24"/>
        </w:rPr>
      </w:pPr>
    </w:p>
    <w:p w14:paraId="43F8F6C1" w14:textId="77777777" w:rsidR="002B4913" w:rsidRPr="00902332" w:rsidRDefault="00B90716">
      <w:pPr>
        <w:rPr>
          <w:rFonts w:ascii="Times New Roman" w:hAnsi="Times New Roman"/>
          <w:sz w:val="24"/>
          <w:szCs w:val="24"/>
        </w:rPr>
      </w:pPr>
      <w:r w:rsidRPr="00902332">
        <w:rPr>
          <w:rFonts w:ascii="Times New Roman" w:hAnsi="Times New Roman"/>
          <w:sz w:val="24"/>
          <w:szCs w:val="24"/>
        </w:rPr>
        <w:t>a</w:t>
      </w:r>
    </w:p>
    <w:p w14:paraId="411F13FE" w14:textId="77777777" w:rsidR="002B4913" w:rsidRPr="00902332" w:rsidRDefault="002B4913">
      <w:pPr>
        <w:rPr>
          <w:rFonts w:ascii="Times New Roman" w:hAnsi="Times New Roman"/>
          <w:sz w:val="24"/>
          <w:szCs w:val="24"/>
        </w:rPr>
      </w:pPr>
    </w:p>
    <w:p w14:paraId="604ED4DB" w14:textId="77777777" w:rsidR="002B4913" w:rsidRPr="00902332" w:rsidRDefault="00B90716">
      <w:pPr>
        <w:rPr>
          <w:rFonts w:ascii="Times New Roman" w:hAnsi="Times New Roman"/>
          <w:b/>
          <w:sz w:val="24"/>
          <w:szCs w:val="24"/>
        </w:rPr>
      </w:pPr>
      <w:r w:rsidRPr="00902332">
        <w:rPr>
          <w:rFonts w:ascii="Times New Roman" w:hAnsi="Times New Roman"/>
          <w:b/>
          <w:sz w:val="24"/>
          <w:szCs w:val="24"/>
        </w:rPr>
        <w:t xml:space="preserve">Ota Baláž - Balage studio </w:t>
      </w:r>
    </w:p>
    <w:p w14:paraId="4B48D0BE" w14:textId="77777777" w:rsidR="002B4913" w:rsidRPr="00902332" w:rsidRDefault="00B90716">
      <w:pPr>
        <w:rPr>
          <w:rFonts w:ascii="Times New Roman" w:hAnsi="Times New Roman"/>
          <w:sz w:val="24"/>
          <w:szCs w:val="24"/>
        </w:rPr>
      </w:pPr>
      <w:r w:rsidRPr="00902332">
        <w:rPr>
          <w:rFonts w:ascii="Times New Roman" w:hAnsi="Times New Roman"/>
          <w:sz w:val="24"/>
          <w:szCs w:val="24"/>
        </w:rPr>
        <w:t>sídlo Janáčkovo nábř. č. or. 5 č.p. 85, Praha 5,PSČ: 155 00</w:t>
      </w:r>
    </w:p>
    <w:p w14:paraId="437CD42D" w14:textId="77777777" w:rsidR="002B4913" w:rsidRPr="00902332" w:rsidRDefault="00B90716">
      <w:pPr>
        <w:rPr>
          <w:rFonts w:ascii="Times New Roman" w:hAnsi="Times New Roman"/>
          <w:sz w:val="24"/>
          <w:szCs w:val="24"/>
        </w:rPr>
      </w:pPr>
      <w:r w:rsidRPr="00902332">
        <w:rPr>
          <w:rFonts w:ascii="Times New Roman" w:hAnsi="Times New Roman"/>
          <w:sz w:val="24"/>
          <w:szCs w:val="24"/>
        </w:rPr>
        <w:t>IČ: 66892597</w:t>
      </w:r>
    </w:p>
    <w:p w14:paraId="26E4A34F" w14:textId="77777777" w:rsidR="002B4913" w:rsidRPr="00902332" w:rsidRDefault="00B90716">
      <w:pPr>
        <w:rPr>
          <w:rFonts w:ascii="Times New Roman" w:hAnsi="Times New Roman"/>
          <w:sz w:val="24"/>
          <w:szCs w:val="24"/>
        </w:rPr>
      </w:pPr>
      <w:r w:rsidRPr="00902332">
        <w:rPr>
          <w:rFonts w:ascii="Times New Roman" w:hAnsi="Times New Roman"/>
          <w:sz w:val="24"/>
          <w:szCs w:val="24"/>
        </w:rPr>
        <w:t xml:space="preserve">bankovní spojení: </w:t>
      </w:r>
    </w:p>
    <w:p w14:paraId="2C59C2D3" w14:textId="77777777" w:rsidR="002B4913" w:rsidRPr="00902332" w:rsidRDefault="00B90716">
      <w:pPr>
        <w:rPr>
          <w:rFonts w:ascii="Times New Roman" w:hAnsi="Times New Roman"/>
          <w:sz w:val="24"/>
          <w:szCs w:val="24"/>
        </w:rPr>
      </w:pPr>
      <w:r w:rsidRPr="00902332">
        <w:rPr>
          <w:rFonts w:ascii="Times New Roman" w:hAnsi="Times New Roman"/>
          <w:sz w:val="24"/>
          <w:szCs w:val="24"/>
        </w:rPr>
        <w:t xml:space="preserve">č.účtu: 1985077014/3030 </w:t>
      </w:r>
    </w:p>
    <w:p w14:paraId="0A93EA2E" w14:textId="77777777" w:rsidR="002B4913" w:rsidRPr="00902332" w:rsidRDefault="00B90716">
      <w:pPr>
        <w:rPr>
          <w:rFonts w:ascii="Times New Roman" w:hAnsi="Times New Roman"/>
          <w:sz w:val="24"/>
          <w:szCs w:val="24"/>
        </w:rPr>
      </w:pPr>
      <w:r w:rsidRPr="00902332">
        <w:rPr>
          <w:rFonts w:ascii="Times New Roman" w:hAnsi="Times New Roman"/>
          <w:sz w:val="24"/>
          <w:szCs w:val="24"/>
        </w:rPr>
        <w:t>(dále jen „Příkazník“)</w:t>
      </w:r>
    </w:p>
    <w:p w14:paraId="678B8BCC" w14:textId="77777777" w:rsidR="002B4913" w:rsidRPr="00902332" w:rsidRDefault="002B4913">
      <w:pPr>
        <w:rPr>
          <w:rFonts w:ascii="Times New Roman" w:hAnsi="Times New Roman"/>
          <w:sz w:val="24"/>
          <w:szCs w:val="24"/>
        </w:rPr>
      </w:pPr>
    </w:p>
    <w:p w14:paraId="6F7F0DF0" w14:textId="77777777" w:rsidR="002B4913" w:rsidRPr="00902332" w:rsidRDefault="00B90716">
      <w:pPr>
        <w:rPr>
          <w:rFonts w:ascii="Times New Roman" w:hAnsi="Times New Roman"/>
          <w:sz w:val="24"/>
          <w:szCs w:val="24"/>
        </w:rPr>
      </w:pPr>
      <w:r w:rsidRPr="00902332">
        <w:rPr>
          <w:rFonts w:ascii="Times New Roman" w:hAnsi="Times New Roman"/>
          <w:sz w:val="24"/>
          <w:szCs w:val="24"/>
        </w:rPr>
        <w:t>uzavírají v souladu s ustanovením § 2430 a násl. Občanského zákoníku v platném znění, tuto</w:t>
      </w:r>
    </w:p>
    <w:p w14:paraId="7846A18D" w14:textId="77777777" w:rsidR="002B4913" w:rsidRDefault="002B4913">
      <w:pPr>
        <w:rPr>
          <w:rFonts w:ascii="Times New Roman" w:hAnsi="Times New Roman"/>
          <w:b/>
          <w:sz w:val="24"/>
          <w:szCs w:val="24"/>
        </w:rPr>
      </w:pPr>
    </w:p>
    <w:p w14:paraId="48B097AE" w14:textId="7252EE93" w:rsidR="002B4913" w:rsidRPr="005B03F7" w:rsidRDefault="00B90716">
      <w:r w:rsidRPr="005B03F7">
        <w:rPr>
          <w:rFonts w:ascii="Times New Roman" w:hAnsi="Times New Roman"/>
          <w:b/>
          <w:sz w:val="24"/>
          <w:szCs w:val="24"/>
        </w:rPr>
        <w:t xml:space="preserve">smlouvu příkazní: </w:t>
      </w:r>
    </w:p>
    <w:p w14:paraId="39B7D8FC" w14:textId="77777777" w:rsidR="002B4913" w:rsidRDefault="002B4913">
      <w:pPr>
        <w:jc w:val="center"/>
        <w:rPr>
          <w:rFonts w:ascii="Times New Roman" w:hAnsi="Times New Roman"/>
          <w:b/>
          <w:sz w:val="24"/>
          <w:szCs w:val="24"/>
        </w:rPr>
      </w:pPr>
    </w:p>
    <w:p w14:paraId="5D0C0F2A" w14:textId="77777777" w:rsidR="002B4913" w:rsidRDefault="00B90716">
      <w:pPr>
        <w:jc w:val="center"/>
        <w:rPr>
          <w:rFonts w:ascii="Times New Roman" w:hAnsi="Times New Roman"/>
          <w:b/>
          <w:sz w:val="24"/>
          <w:szCs w:val="24"/>
        </w:rPr>
      </w:pPr>
      <w:r>
        <w:rPr>
          <w:rFonts w:ascii="Times New Roman" w:hAnsi="Times New Roman"/>
          <w:b/>
          <w:sz w:val="24"/>
          <w:szCs w:val="24"/>
        </w:rPr>
        <w:t>I.</w:t>
      </w:r>
    </w:p>
    <w:p w14:paraId="32AEB35F" w14:textId="77777777" w:rsidR="002B4913" w:rsidRDefault="002B4913">
      <w:pPr>
        <w:jc w:val="center"/>
        <w:rPr>
          <w:rFonts w:ascii="Times New Roman" w:hAnsi="Times New Roman"/>
          <w:b/>
          <w:sz w:val="24"/>
          <w:szCs w:val="24"/>
        </w:rPr>
      </w:pPr>
    </w:p>
    <w:p w14:paraId="732419AD" w14:textId="77777777" w:rsidR="002B4913" w:rsidRDefault="002B4913">
      <w:pPr>
        <w:pStyle w:val="Zkladntext"/>
        <w:rPr>
          <w:rFonts w:eastAsia="Arial"/>
          <w:szCs w:val="24"/>
        </w:rPr>
      </w:pPr>
    </w:p>
    <w:p w14:paraId="4AF9FDB4" w14:textId="58BD6821" w:rsidR="002B4913" w:rsidRDefault="00B90716">
      <w:pPr>
        <w:pStyle w:val="Zkladntext"/>
      </w:pPr>
      <w:r>
        <w:rPr>
          <w:rFonts w:eastAsia="Arial"/>
          <w:szCs w:val="24"/>
        </w:rPr>
        <w:t>1.1. Příkazník se tou</w:t>
      </w:r>
      <w:r w:rsidR="009F3273">
        <w:rPr>
          <w:rFonts w:eastAsia="Arial"/>
          <w:szCs w:val="24"/>
        </w:rPr>
        <w:t>to smlouvou zavazuje zajistit (</w:t>
      </w:r>
      <w:r>
        <w:rPr>
          <w:rFonts w:eastAsia="Arial"/>
          <w:szCs w:val="24"/>
        </w:rPr>
        <w:t>obstarat) na své náklady a svým jménem pro DKT kompletní dodávku dvou představení Jesus Christ Superstar</w:t>
      </w:r>
      <w:r>
        <w:rPr>
          <w:szCs w:val="24"/>
        </w:rPr>
        <w:t xml:space="preserve"> ve dnech 8.4. a 9.4.2020 od 19h., a to v Teplicích v místě konání :</w:t>
      </w:r>
      <w:r w:rsidR="00E25A62">
        <w:rPr>
          <w:szCs w:val="24"/>
        </w:rPr>
        <w:t xml:space="preserve"> Krušnohorské divadlo Teplice </w:t>
      </w:r>
    </w:p>
    <w:p w14:paraId="7386C5F8" w14:textId="77777777" w:rsidR="002B4913" w:rsidRDefault="002B4913">
      <w:pPr>
        <w:pStyle w:val="Zkladntext"/>
        <w:rPr>
          <w:rFonts w:eastAsia="Arial"/>
          <w:szCs w:val="24"/>
        </w:rPr>
      </w:pPr>
    </w:p>
    <w:p w14:paraId="1465A44C" w14:textId="51A854C9" w:rsidR="002B4913" w:rsidRDefault="00B90716">
      <w:pPr>
        <w:pStyle w:val="Zkladntext"/>
      </w:pPr>
      <w:r>
        <w:rPr>
          <w:rFonts w:eastAsia="Arial"/>
          <w:szCs w:val="24"/>
        </w:rPr>
        <w:t>1.2. Příkazník se zavazuje, že v těchto představeních vystoupí v obvyklých rolích výkonní umělci Kamil Střihavka, Dan Bárta a Bára Basiková, a to na základě obvyklých smluvních ujednání s umělci, jež zajišťuje na své náklady a svým jménem Příkazník. Příkazník se zavazuje, že představení se uskuteční za obvyklých podmínek tohoto př</w:t>
      </w:r>
      <w:r w:rsidR="001B5026">
        <w:rPr>
          <w:rFonts w:eastAsia="Arial"/>
          <w:szCs w:val="24"/>
        </w:rPr>
        <w:t>edstavení při zajištění</w:t>
      </w:r>
      <w:r w:rsidR="00E25A62">
        <w:rPr>
          <w:rFonts w:eastAsia="Arial"/>
          <w:szCs w:val="24"/>
        </w:rPr>
        <w:t xml:space="preserve"> -</w:t>
      </w:r>
    </w:p>
    <w:p w14:paraId="1A5CABFD" w14:textId="712A5429" w:rsidR="002B4913" w:rsidRPr="001830B6" w:rsidRDefault="001830B6">
      <w:pPr>
        <w:pStyle w:val="Zkladntext"/>
        <w:numPr>
          <w:ilvl w:val="0"/>
          <w:numId w:val="2"/>
        </w:numPr>
        <w:rPr>
          <w:iCs/>
        </w:rPr>
      </w:pPr>
      <w:r w:rsidRPr="001830B6">
        <w:rPr>
          <w:rFonts w:eastAsia="Arial"/>
          <w:iCs/>
          <w:szCs w:val="24"/>
        </w:rPr>
        <w:t>7</w:t>
      </w:r>
      <w:r w:rsidR="00B90716" w:rsidRPr="001830B6">
        <w:rPr>
          <w:rFonts w:eastAsia="Arial"/>
          <w:iCs/>
          <w:szCs w:val="24"/>
        </w:rPr>
        <w:t xml:space="preserve"> sólistů,</w:t>
      </w:r>
    </w:p>
    <w:p w14:paraId="703EBB1C" w14:textId="0A8D0641" w:rsidR="002B4913" w:rsidRPr="001830B6" w:rsidRDefault="001830B6">
      <w:pPr>
        <w:pStyle w:val="Zkladntext"/>
        <w:numPr>
          <w:ilvl w:val="0"/>
          <w:numId w:val="2"/>
        </w:numPr>
        <w:rPr>
          <w:iCs/>
        </w:rPr>
      </w:pPr>
      <w:r w:rsidRPr="001830B6">
        <w:rPr>
          <w:rFonts w:eastAsia="Arial"/>
          <w:iCs/>
          <w:szCs w:val="24"/>
        </w:rPr>
        <w:t>12</w:t>
      </w:r>
      <w:r w:rsidR="00B90716" w:rsidRPr="001830B6">
        <w:rPr>
          <w:rFonts w:eastAsia="Arial"/>
          <w:iCs/>
          <w:szCs w:val="24"/>
        </w:rPr>
        <w:t xml:space="preserve"> členů sboru,</w:t>
      </w:r>
    </w:p>
    <w:p w14:paraId="319D15D6" w14:textId="28B774EC" w:rsidR="002B4913" w:rsidRPr="001830B6" w:rsidRDefault="001830B6">
      <w:pPr>
        <w:pStyle w:val="Zkladntext"/>
        <w:numPr>
          <w:ilvl w:val="0"/>
          <w:numId w:val="2"/>
        </w:numPr>
        <w:rPr>
          <w:iCs/>
        </w:rPr>
      </w:pPr>
      <w:r w:rsidRPr="001830B6">
        <w:rPr>
          <w:rFonts w:eastAsia="Arial"/>
          <w:iCs/>
          <w:szCs w:val="24"/>
        </w:rPr>
        <w:t>7</w:t>
      </w:r>
      <w:r w:rsidR="00B90716" w:rsidRPr="001830B6">
        <w:rPr>
          <w:rFonts w:eastAsia="Arial"/>
          <w:iCs/>
          <w:szCs w:val="24"/>
        </w:rPr>
        <w:t xml:space="preserve"> členů bandu,</w:t>
      </w:r>
    </w:p>
    <w:p w14:paraId="5C395BD3" w14:textId="77777777" w:rsidR="00E25A62" w:rsidRPr="001830B6" w:rsidRDefault="00B90716">
      <w:pPr>
        <w:pStyle w:val="Zkladntext"/>
        <w:numPr>
          <w:ilvl w:val="0"/>
          <w:numId w:val="2"/>
        </w:numPr>
      </w:pPr>
      <w:r w:rsidRPr="001830B6">
        <w:rPr>
          <w:rFonts w:eastAsia="Arial"/>
          <w:szCs w:val="24"/>
        </w:rPr>
        <w:t xml:space="preserve">zvukař s potřebnou technikou - pult, mikrofony, které nemá k dispozici DKT). </w:t>
      </w:r>
    </w:p>
    <w:p w14:paraId="3AA21AB2" w14:textId="77777777" w:rsidR="00E25A62" w:rsidRPr="00E25A62" w:rsidRDefault="00E25A62" w:rsidP="00E25A62">
      <w:pPr>
        <w:pStyle w:val="Zkladntext"/>
        <w:ind w:left="720"/>
        <w:rPr>
          <w:highlight w:val="yellow"/>
        </w:rPr>
      </w:pPr>
    </w:p>
    <w:p w14:paraId="725B8589" w14:textId="29AD5D69" w:rsidR="002B4913" w:rsidRPr="00E25A62" w:rsidRDefault="00B90716" w:rsidP="00E25A62">
      <w:pPr>
        <w:pStyle w:val="Zkladntext"/>
      </w:pPr>
      <w:r w:rsidRPr="00E25A62">
        <w:rPr>
          <w:rFonts w:eastAsia="Arial"/>
          <w:szCs w:val="24"/>
        </w:rPr>
        <w:t>Součástí koncertních představení bude Severočeská filharmonie Teplice, s níž smlouvu a honorář sjedná DK</w:t>
      </w:r>
      <w:r w:rsidR="001830B6">
        <w:rPr>
          <w:rFonts w:eastAsia="Arial"/>
          <w:szCs w:val="24"/>
        </w:rPr>
        <w:t>.</w:t>
      </w:r>
      <w:r w:rsidRPr="00E25A62">
        <w:rPr>
          <w:rFonts w:eastAsia="Arial"/>
          <w:szCs w:val="24"/>
        </w:rPr>
        <w:t xml:space="preserve"> </w:t>
      </w:r>
    </w:p>
    <w:p w14:paraId="3C1ECDF5" w14:textId="77777777" w:rsidR="002B4913" w:rsidRDefault="002B4913">
      <w:pPr>
        <w:pStyle w:val="Zkladntext"/>
        <w:rPr>
          <w:rFonts w:eastAsia="Arial"/>
          <w:szCs w:val="24"/>
        </w:rPr>
      </w:pPr>
    </w:p>
    <w:p w14:paraId="04D00D25" w14:textId="39D2B139" w:rsidR="002B4913" w:rsidRDefault="00B90716">
      <w:pPr>
        <w:pStyle w:val="Zkladntext"/>
      </w:pPr>
      <w:r>
        <w:rPr>
          <w:szCs w:val="24"/>
        </w:rPr>
        <w:t xml:space="preserve">1.3. DKT se zavazuje zaplatit Příkazníkovi cenu za jeho službu, kterou smluvní strany stanovily dohodou ve výši </w:t>
      </w:r>
      <w:r w:rsidR="001830B6">
        <w:rPr>
          <w:b/>
          <w:szCs w:val="24"/>
        </w:rPr>
        <w:t>424</w:t>
      </w:r>
      <w:r w:rsidRPr="00E25A62">
        <w:rPr>
          <w:b/>
          <w:szCs w:val="24"/>
        </w:rPr>
        <w:t>.000,- Kč</w:t>
      </w:r>
      <w:r>
        <w:rPr>
          <w:szCs w:val="24"/>
        </w:rPr>
        <w:t xml:space="preserve"> za jedno představení. Cena celkem za obstarání dvou představení činí </w:t>
      </w:r>
      <w:r w:rsidRPr="00E25A62">
        <w:rPr>
          <w:b/>
          <w:szCs w:val="24"/>
        </w:rPr>
        <w:t>8</w:t>
      </w:r>
      <w:r w:rsidR="001830B6">
        <w:rPr>
          <w:b/>
          <w:szCs w:val="24"/>
        </w:rPr>
        <w:t>48</w:t>
      </w:r>
      <w:r w:rsidRPr="00E25A62">
        <w:rPr>
          <w:b/>
          <w:szCs w:val="24"/>
        </w:rPr>
        <w:t>.000,- Kč</w:t>
      </w:r>
      <w:r>
        <w:rPr>
          <w:szCs w:val="24"/>
        </w:rPr>
        <w:t>. Cenou za předs</w:t>
      </w:r>
      <w:r w:rsidR="00E25A62">
        <w:rPr>
          <w:szCs w:val="24"/>
        </w:rPr>
        <w:t>tavení se rozumí kompletní cena</w:t>
      </w:r>
      <w:r>
        <w:rPr>
          <w:szCs w:val="24"/>
        </w:rPr>
        <w:t xml:space="preserve"> za veškeré náklady spojené s představením, zejména zajištění a provedení kompletního představení včetně honorářů výkonných umělců a personálu, úhrada oprávněných nároků z důvodu autorských práv a úhrada veškerých podobných </w:t>
      </w:r>
      <w:r>
        <w:rPr>
          <w:szCs w:val="24"/>
        </w:rPr>
        <w:lastRenderedPageBreak/>
        <w:t xml:space="preserve">poplatků, cestovné, doprava do místa uvedení představení, jakož i veškeré další platby a náklady s bezvadným konáním </w:t>
      </w:r>
      <w:r w:rsidR="00E25A62">
        <w:rPr>
          <w:szCs w:val="24"/>
        </w:rPr>
        <w:t xml:space="preserve">koncertního představení </w:t>
      </w:r>
      <w:r>
        <w:rPr>
          <w:szCs w:val="24"/>
        </w:rPr>
        <w:t xml:space="preserve">spojené.  </w:t>
      </w:r>
    </w:p>
    <w:p w14:paraId="3C94EF73" w14:textId="77777777" w:rsidR="002B4913" w:rsidRDefault="00B90716">
      <w:pPr>
        <w:pStyle w:val="Zkladntext"/>
      </w:pPr>
      <w:r>
        <w:rPr>
          <w:szCs w:val="24"/>
        </w:rPr>
        <w:t xml:space="preserve">Příkazník není plátcem DPH. </w:t>
      </w:r>
    </w:p>
    <w:p w14:paraId="38B2F2A8" w14:textId="77777777" w:rsidR="002B4913" w:rsidRDefault="002B4913">
      <w:pPr>
        <w:pStyle w:val="Zkladntext"/>
        <w:rPr>
          <w:szCs w:val="24"/>
        </w:rPr>
      </w:pPr>
    </w:p>
    <w:p w14:paraId="4413F5BE" w14:textId="4BBC6DF6" w:rsidR="002B4913" w:rsidRDefault="00B90716">
      <w:pPr>
        <w:pStyle w:val="Zkladntext"/>
      </w:pPr>
      <w:r>
        <w:rPr>
          <w:szCs w:val="24"/>
        </w:rPr>
        <w:t>1.4. Smluvní strany se výslovně dohodly, ž</w:t>
      </w:r>
      <w:r w:rsidR="00E25A62">
        <w:rPr>
          <w:szCs w:val="24"/>
        </w:rPr>
        <w:t>e odměna za služby Příkazníka (</w:t>
      </w:r>
      <w:r>
        <w:rPr>
          <w:szCs w:val="24"/>
        </w:rPr>
        <w:t>tj. kompletní obstarání obou sjednaných k</w:t>
      </w:r>
      <w:r w:rsidR="00E25A62">
        <w:rPr>
          <w:szCs w:val="24"/>
        </w:rPr>
        <w:t>oncertů za sjednaných podmínek)</w:t>
      </w:r>
      <w:r>
        <w:rPr>
          <w:szCs w:val="24"/>
        </w:rPr>
        <w:t xml:space="preserve"> je zahrnuta v ceně představení.</w:t>
      </w:r>
    </w:p>
    <w:p w14:paraId="4CC74447" w14:textId="77777777" w:rsidR="002B4913" w:rsidRDefault="002B4913">
      <w:pPr>
        <w:pStyle w:val="Zkladntext"/>
        <w:rPr>
          <w:szCs w:val="24"/>
        </w:rPr>
      </w:pPr>
    </w:p>
    <w:p w14:paraId="139331DC" w14:textId="26A70E30" w:rsidR="002B4913" w:rsidRDefault="00B90716">
      <w:pPr>
        <w:pStyle w:val="Zkladntext"/>
      </w:pPr>
      <w:r>
        <w:rPr>
          <w:szCs w:val="24"/>
        </w:rPr>
        <w:t xml:space="preserve">1.5. DKT se zavazuje poskytnout předem Příkazníkovi na jeho žádost zálohu v maximální výši 100.000,--Kč, a to na zálohu na licenci od Really Useful Group a nákladů </w:t>
      </w:r>
      <w:r w:rsidR="001830B6">
        <w:rPr>
          <w:szCs w:val="24"/>
        </w:rPr>
        <w:t>na zapůjčení notového materiálu</w:t>
      </w:r>
      <w:r>
        <w:rPr>
          <w:szCs w:val="24"/>
        </w:rPr>
        <w:t>. Záloha bude DKT uhrazena na základě zálohové faktury vystavené Příkazníkem se splatností 7 dnů ode dne jejího doručení DKT.  Zálohová faktura bude vystavena v měsíci lednu roku 2020.</w:t>
      </w:r>
    </w:p>
    <w:p w14:paraId="10EC8523" w14:textId="77777777" w:rsidR="002B4913" w:rsidRDefault="002B4913">
      <w:pPr>
        <w:pStyle w:val="Zkladntext"/>
        <w:rPr>
          <w:szCs w:val="24"/>
        </w:rPr>
      </w:pPr>
    </w:p>
    <w:p w14:paraId="5CBC5CBD" w14:textId="018D4E50" w:rsidR="002B4913" w:rsidRDefault="00B90716">
      <w:pPr>
        <w:pStyle w:val="Zkladntext"/>
      </w:pPr>
      <w:r>
        <w:rPr>
          <w:szCs w:val="24"/>
        </w:rPr>
        <w:t>1.6. Cena představení bude vyúčtována konečnou fakturou se splatností 3 ( slovy tří)  pracovních</w:t>
      </w:r>
      <w:r w:rsidR="00E25A62">
        <w:rPr>
          <w:szCs w:val="24"/>
        </w:rPr>
        <w:t xml:space="preserve"> dnů ode dne doručení (</w:t>
      </w:r>
      <w:r>
        <w:rPr>
          <w:szCs w:val="24"/>
        </w:rPr>
        <w:t>předání) faktury, když konečnou fakturu lze vystavit nejdříve v den konání posledního ze sjednaných před</w:t>
      </w:r>
      <w:r w:rsidR="00E25A62">
        <w:rPr>
          <w:szCs w:val="24"/>
        </w:rPr>
        <w:t>stavení. Cena bude uhrazena na účet Příkazníka.</w:t>
      </w:r>
      <w:r>
        <w:rPr>
          <w:szCs w:val="24"/>
        </w:rPr>
        <w:t xml:space="preserve"> Fakturu lze doručit - předat po uskutečnění posledního ze sjednaných představení přímo zástupci DKT proti podpisu.</w:t>
      </w:r>
    </w:p>
    <w:p w14:paraId="413EB45F" w14:textId="77777777" w:rsidR="002B4913" w:rsidRDefault="002B4913">
      <w:pPr>
        <w:pStyle w:val="Zkladntext"/>
        <w:rPr>
          <w:szCs w:val="24"/>
        </w:rPr>
      </w:pPr>
    </w:p>
    <w:p w14:paraId="1D9A8811" w14:textId="7286F1B4" w:rsidR="002B4913" w:rsidRDefault="00B90716">
      <w:pPr>
        <w:pStyle w:val="Zkladntext"/>
      </w:pPr>
      <w:r>
        <w:rPr>
          <w:szCs w:val="24"/>
        </w:rPr>
        <w:t>1.7.</w:t>
      </w:r>
      <w:r w:rsidR="00E25A62">
        <w:rPr>
          <w:szCs w:val="24"/>
        </w:rPr>
        <w:t xml:space="preserve"> </w:t>
      </w:r>
      <w:r>
        <w:rPr>
          <w:szCs w:val="24"/>
        </w:rPr>
        <w:t>DKT se zavazuje splnit požadavky Really Useful Group, které mu dodá Příkazník. Veškerá propagace podléhá kontrole Příkazníkem potažmo RUG. Veškeré pokyny k propagaci budou dodány Příkazníkem nejpozději ke dni uzavření smlouvy a stávají se nedílnou součástí smlouvy.</w:t>
      </w:r>
    </w:p>
    <w:p w14:paraId="4C62A8B3" w14:textId="77777777" w:rsidR="002B4913" w:rsidRDefault="002B4913">
      <w:pPr>
        <w:pStyle w:val="Zkladntext"/>
        <w:rPr>
          <w:szCs w:val="24"/>
        </w:rPr>
      </w:pPr>
    </w:p>
    <w:p w14:paraId="7FEEC187" w14:textId="77777777" w:rsidR="002B4913" w:rsidRDefault="00B90716">
      <w:pPr>
        <w:pStyle w:val="Zkladntext"/>
      </w:pPr>
      <w:r>
        <w:rPr>
          <w:szCs w:val="24"/>
        </w:rPr>
        <w:t>1.8 Příkazník je zcela odpovědný za jakékoliv porušení autorských či obdobných práv, jež by mohlo být uplatněno v souvislosti s konáním sjednaných koncertů a výkonem sjednaného uměleckého autorského díla.</w:t>
      </w:r>
    </w:p>
    <w:p w14:paraId="05834478" w14:textId="77777777" w:rsidR="002B4913" w:rsidRDefault="00B90716">
      <w:pPr>
        <w:pStyle w:val="Zkladntext"/>
      </w:pPr>
      <w:r>
        <w:rPr>
          <w:szCs w:val="24"/>
        </w:rPr>
        <w:t xml:space="preserve">  </w:t>
      </w:r>
    </w:p>
    <w:p w14:paraId="17E65CC7" w14:textId="77777777" w:rsidR="002B4913" w:rsidRDefault="00B90716">
      <w:pPr>
        <w:pStyle w:val="Zkladntext"/>
        <w:jc w:val="center"/>
      </w:pPr>
      <w:r>
        <w:rPr>
          <w:b/>
          <w:szCs w:val="24"/>
        </w:rPr>
        <w:t>II.</w:t>
      </w:r>
    </w:p>
    <w:p w14:paraId="7B820612" w14:textId="77777777" w:rsidR="002B4913" w:rsidRDefault="002B4913">
      <w:pPr>
        <w:pStyle w:val="Zkladntext"/>
        <w:jc w:val="center"/>
        <w:rPr>
          <w:b/>
          <w:szCs w:val="24"/>
        </w:rPr>
      </w:pPr>
    </w:p>
    <w:p w14:paraId="462FE131" w14:textId="77777777" w:rsidR="002B4913" w:rsidRDefault="00B90716">
      <w:pPr>
        <w:pStyle w:val="Zkladntext"/>
      </w:pPr>
      <w:r>
        <w:rPr>
          <w:szCs w:val="24"/>
        </w:rPr>
        <w:t>2.1. Příkazník má povinnost plnit závazky z této smlouvy osobně a zčásti i prostřednictvím jiné osoby či osob. Příkazník však i v případě částečného plnění ze strany jiné osoby odpovídá DKT tak, jako by závazek plnil sám.</w:t>
      </w:r>
    </w:p>
    <w:p w14:paraId="35DEE9FF" w14:textId="77777777" w:rsidR="002B4913" w:rsidRDefault="002B4913">
      <w:pPr>
        <w:pStyle w:val="Zkladntext"/>
        <w:rPr>
          <w:szCs w:val="24"/>
        </w:rPr>
      </w:pPr>
    </w:p>
    <w:p w14:paraId="43C3A345" w14:textId="12181BE9" w:rsidR="002B4913" w:rsidRDefault="00B90716">
      <w:pPr>
        <w:pStyle w:val="Zkladntext"/>
      </w:pPr>
      <w:r>
        <w:rPr>
          <w:szCs w:val="24"/>
        </w:rPr>
        <w:t>2.2. Příkazník je povinen při své činnosti dbát pokynů DKT, odchýlit se od nich může pouze tehdy, je-li to v zájmu DKT nevyhnutelné a nemůže-li objektivně včas dosáhnout jeho souhlasu.</w:t>
      </w:r>
    </w:p>
    <w:p w14:paraId="435B5A6B" w14:textId="77777777" w:rsidR="002B4913" w:rsidRDefault="002B4913">
      <w:pPr>
        <w:pStyle w:val="Zkladntext"/>
        <w:rPr>
          <w:szCs w:val="24"/>
        </w:rPr>
      </w:pPr>
    </w:p>
    <w:p w14:paraId="22A8983C" w14:textId="41F3755D" w:rsidR="002B4913" w:rsidRDefault="00B90716">
      <w:pPr>
        <w:pStyle w:val="Zkladntext"/>
      </w:pPr>
      <w:r>
        <w:rPr>
          <w:szCs w:val="24"/>
        </w:rPr>
        <w:t xml:space="preserve">2.3. DKT má právo až do konání představení od smlouvy odstoupit, musí však Příkazníkovi nahradit prokazatelné účelně vynaložené náklady v prokázané výši. Účinky odstoupení od smlouvy nastávají okamžikem, kdy Příkazníkovi projev vůle DKT dojde. DKT má rovněž právo od smlouvy odstoupit v případě podstatného porušení této smlouvy ze strany Příkazníka. V takovém případě povinnost DKT nahradit Příkazníkovi účelně vynaložené náklady a jinou újmu nevzniká. Podstatným porušením této smlouvy se rozumí nesplnění podstatné povinnosti Příkazníkem zaviněné Příkazníkem. </w:t>
      </w:r>
    </w:p>
    <w:p w14:paraId="38E4F5B6" w14:textId="77777777" w:rsidR="002B4913" w:rsidRDefault="002B4913">
      <w:pPr>
        <w:pStyle w:val="Zkladntext"/>
        <w:rPr>
          <w:szCs w:val="24"/>
        </w:rPr>
      </w:pPr>
    </w:p>
    <w:p w14:paraId="42B31EA2" w14:textId="77777777" w:rsidR="002B4913" w:rsidRDefault="00B90716">
      <w:pPr>
        <w:pStyle w:val="Zkladntext"/>
      </w:pPr>
      <w:r>
        <w:rPr>
          <w:szCs w:val="24"/>
        </w:rPr>
        <w:t>2.4. Odstoupením od smlouvy není dotčen nárok DKT na uplatnění práv vyplývajících z prodlení nebo z vadného plnění Příkazníkem.</w:t>
      </w:r>
    </w:p>
    <w:p w14:paraId="6CAB0CAF" w14:textId="77777777" w:rsidR="002B4913" w:rsidRDefault="002B4913">
      <w:pPr>
        <w:pStyle w:val="Zkladntext"/>
        <w:rPr>
          <w:szCs w:val="24"/>
        </w:rPr>
      </w:pPr>
    </w:p>
    <w:p w14:paraId="79127BA0" w14:textId="77777777" w:rsidR="002B4913" w:rsidRDefault="00B90716">
      <w:pPr>
        <w:pStyle w:val="Zkladntext"/>
      </w:pPr>
      <w:r>
        <w:rPr>
          <w:szCs w:val="24"/>
        </w:rPr>
        <w:t>2.5. Při neuskutečnění kteréhokoliv z představení uvedených v čl. 1.1. této smlouvy má DKT nárok na vrácení ceny představení v části vztahující se k neuskutečněnému představení.</w:t>
      </w:r>
    </w:p>
    <w:p w14:paraId="551D9240" w14:textId="77777777" w:rsidR="002B4913" w:rsidRDefault="002B4913">
      <w:pPr>
        <w:pStyle w:val="Zkladntext"/>
        <w:rPr>
          <w:szCs w:val="24"/>
        </w:rPr>
      </w:pPr>
    </w:p>
    <w:p w14:paraId="6A807518" w14:textId="77777777" w:rsidR="002B4913" w:rsidRDefault="00B90716">
      <w:pPr>
        <w:pStyle w:val="Zkladntext"/>
      </w:pPr>
      <w:r>
        <w:rPr>
          <w:szCs w:val="24"/>
        </w:rPr>
        <w:t>2.6. Příkazník není oprávněn vypovědět smlouvu před obstaráním záležitosti, jež je předmětem této smlouvy.</w:t>
      </w:r>
    </w:p>
    <w:p w14:paraId="5D18FD5F" w14:textId="77777777" w:rsidR="002B4913" w:rsidRDefault="002B4913">
      <w:pPr>
        <w:pStyle w:val="Zkladntext"/>
        <w:jc w:val="center"/>
        <w:rPr>
          <w:b/>
          <w:szCs w:val="24"/>
        </w:rPr>
      </w:pPr>
    </w:p>
    <w:p w14:paraId="22BD15AE" w14:textId="77777777" w:rsidR="002B4913" w:rsidRDefault="00B90716">
      <w:pPr>
        <w:pStyle w:val="Zkladntext"/>
        <w:jc w:val="center"/>
      </w:pPr>
      <w:r>
        <w:rPr>
          <w:b/>
          <w:szCs w:val="24"/>
        </w:rPr>
        <w:t>III.</w:t>
      </w:r>
    </w:p>
    <w:p w14:paraId="4AF58AD4" w14:textId="77777777" w:rsidR="002B4913" w:rsidRDefault="002B4913">
      <w:pPr>
        <w:pStyle w:val="Zkladntext"/>
        <w:rPr>
          <w:szCs w:val="24"/>
        </w:rPr>
      </w:pPr>
    </w:p>
    <w:p w14:paraId="48DBBFF5" w14:textId="77777777" w:rsidR="002B4913" w:rsidRDefault="00B90716">
      <w:pPr>
        <w:pStyle w:val="Zkladntext2"/>
      </w:pPr>
      <w:r>
        <w:rPr>
          <w:b w:val="0"/>
          <w:szCs w:val="24"/>
        </w:rPr>
        <w:t>3.1. Písemnosti mezi smluvními stranami,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smluvní straně doručí. Účinky doručení nastanou i tehdy, jestliže pošta písemnost smluvní straně vrátí jako nedoručitelnou a adresát svým jednáním doručení zmařil, nebo přijetí písemnosti odmítl.</w:t>
      </w:r>
    </w:p>
    <w:p w14:paraId="315FE4C9" w14:textId="77777777" w:rsidR="002B4913" w:rsidRDefault="002B4913">
      <w:pPr>
        <w:pStyle w:val="Zkladntext2"/>
        <w:rPr>
          <w:b w:val="0"/>
          <w:szCs w:val="24"/>
        </w:rPr>
      </w:pPr>
    </w:p>
    <w:p w14:paraId="46D8B123" w14:textId="77777777" w:rsidR="002B4913" w:rsidRDefault="00B90716">
      <w:pPr>
        <w:pStyle w:val="Zkladntext2"/>
      </w:pPr>
      <w:r>
        <w:rPr>
          <w:b w:val="0"/>
          <w:szCs w:val="24"/>
        </w:rPr>
        <w:t>3.2. Smlouva se sjednává na dobu určitou do splnění všech závazků z ní smluvním stranám vyplývajících a nabývá platnosti a účinnosti dnem jejího podpisu smluvními stranami. Obsah smlouvy může být měněn pouze písemnými oboustranně schválenými dodatky.</w:t>
      </w:r>
    </w:p>
    <w:p w14:paraId="02105573" w14:textId="77777777" w:rsidR="002B4913" w:rsidRDefault="002B4913">
      <w:pPr>
        <w:pStyle w:val="Zkladntext2"/>
        <w:rPr>
          <w:b w:val="0"/>
          <w:szCs w:val="24"/>
        </w:rPr>
      </w:pPr>
    </w:p>
    <w:p w14:paraId="47AAC610" w14:textId="77777777" w:rsidR="002B4913" w:rsidRDefault="00B90716">
      <w:pPr>
        <w:pStyle w:val="Zkladntext2"/>
      </w:pPr>
      <w:r>
        <w:rPr>
          <w:b w:val="0"/>
          <w:szCs w:val="24"/>
        </w:rPr>
        <w:t>3.3. Smlouva se sepisuje ve 3 vyhotoveních s platností originálu, z nichž DKT obdrží 2 vyhotovení a Příkazník 1 vyhotovení.</w:t>
      </w:r>
    </w:p>
    <w:p w14:paraId="7D7D30DF" w14:textId="77777777" w:rsidR="002B4913" w:rsidRDefault="002B4913">
      <w:pPr>
        <w:pStyle w:val="Zkladntext2"/>
        <w:rPr>
          <w:szCs w:val="24"/>
        </w:rPr>
      </w:pPr>
    </w:p>
    <w:p w14:paraId="46C8E2C8" w14:textId="77777777" w:rsidR="002B4913" w:rsidRDefault="00B90716">
      <w:pPr>
        <w:jc w:val="both"/>
      </w:pPr>
      <w:r>
        <w:rPr>
          <w:rFonts w:ascii="Times New Roman" w:hAnsi="Times New Roman"/>
          <w:sz w:val="24"/>
          <w:szCs w:val="24"/>
        </w:rPr>
        <w:t>3.4. Smluvní strany prohlašují, že smlouvu uzavřely svobodně, vážně, určitě a srozumitelně a nikoliv v tísni za nápadně nevýhodných podmínek a její obsah je jim srozumitelný, což stvrzují svými podpisy.</w:t>
      </w:r>
    </w:p>
    <w:p w14:paraId="23B0F198" w14:textId="77777777" w:rsidR="002B4913" w:rsidRDefault="002B4913">
      <w:pPr>
        <w:jc w:val="both"/>
        <w:rPr>
          <w:rFonts w:ascii="Times New Roman" w:hAnsi="Times New Roman"/>
          <w:sz w:val="24"/>
          <w:szCs w:val="24"/>
        </w:rPr>
      </w:pPr>
    </w:p>
    <w:p w14:paraId="56310D03" w14:textId="41CBE11C" w:rsidR="002B4913" w:rsidRDefault="004728D0">
      <w:pPr>
        <w:jc w:val="both"/>
      </w:pPr>
      <w:r>
        <w:rPr>
          <w:rFonts w:ascii="Times New Roman" w:hAnsi="Times New Roman"/>
          <w:sz w:val="24"/>
          <w:szCs w:val="24"/>
        </w:rPr>
        <w:t>3.5. Tato smlouva podléhá</w:t>
      </w:r>
      <w:r w:rsidR="00B90716">
        <w:rPr>
          <w:rFonts w:ascii="Times New Roman" w:hAnsi="Times New Roman"/>
          <w:sz w:val="24"/>
          <w:szCs w:val="24"/>
        </w:rPr>
        <w:t xml:space="preserve"> zveřejnění v Registru smluv, jež zajišťuje DKT.</w:t>
      </w:r>
    </w:p>
    <w:p w14:paraId="32CD2028" w14:textId="77777777" w:rsidR="002B4913" w:rsidRDefault="002B4913">
      <w:pPr>
        <w:jc w:val="both"/>
        <w:rPr>
          <w:rFonts w:ascii="Times New Roman" w:hAnsi="Times New Roman"/>
          <w:sz w:val="24"/>
          <w:szCs w:val="24"/>
        </w:rPr>
      </w:pPr>
    </w:p>
    <w:p w14:paraId="02575FDF" w14:textId="77777777" w:rsidR="002B4913" w:rsidRDefault="002B4913">
      <w:pPr>
        <w:jc w:val="both"/>
        <w:rPr>
          <w:rFonts w:ascii="Times New Roman" w:hAnsi="Times New Roman"/>
          <w:sz w:val="24"/>
          <w:szCs w:val="24"/>
        </w:rPr>
      </w:pPr>
    </w:p>
    <w:p w14:paraId="6D05B078" w14:textId="77777777" w:rsidR="002B4913" w:rsidRDefault="002B4913">
      <w:pPr>
        <w:jc w:val="both"/>
        <w:rPr>
          <w:rFonts w:ascii="Times New Roman" w:hAnsi="Times New Roman"/>
          <w:sz w:val="24"/>
          <w:szCs w:val="24"/>
        </w:rPr>
      </w:pPr>
    </w:p>
    <w:p w14:paraId="0E4FF039" w14:textId="77777777" w:rsidR="002B4913" w:rsidRDefault="002B4913">
      <w:pPr>
        <w:jc w:val="both"/>
        <w:rPr>
          <w:rFonts w:ascii="Times New Roman" w:hAnsi="Times New Roman"/>
          <w:sz w:val="24"/>
          <w:szCs w:val="24"/>
        </w:rPr>
      </w:pPr>
    </w:p>
    <w:p w14:paraId="2BBF723B" w14:textId="4F162064" w:rsidR="002B4913" w:rsidRDefault="00B90716">
      <w:pPr>
        <w:jc w:val="both"/>
      </w:pPr>
      <w:r>
        <w:rPr>
          <w:rFonts w:ascii="Times New Roman" w:hAnsi="Times New Roman"/>
          <w:sz w:val="24"/>
          <w:szCs w:val="24"/>
        </w:rPr>
        <w:t xml:space="preserve">V Praze dne </w:t>
      </w:r>
      <w:r w:rsidR="006E55A2">
        <w:rPr>
          <w:rFonts w:ascii="Times New Roman" w:hAnsi="Times New Roman"/>
          <w:sz w:val="24"/>
          <w:szCs w:val="24"/>
        </w:rPr>
        <w:t>17.1.2020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 Teplicích dne </w:t>
      </w:r>
      <w:r w:rsidR="006E55A2">
        <w:rPr>
          <w:rFonts w:ascii="Times New Roman" w:hAnsi="Times New Roman"/>
          <w:sz w:val="24"/>
          <w:szCs w:val="24"/>
        </w:rPr>
        <w:t>20.1.2020</w:t>
      </w:r>
    </w:p>
    <w:p w14:paraId="6A8E0BC3" w14:textId="77777777" w:rsidR="002B4913" w:rsidRDefault="002B4913">
      <w:pPr>
        <w:jc w:val="both"/>
        <w:rPr>
          <w:rFonts w:ascii="Times New Roman" w:hAnsi="Times New Roman"/>
          <w:sz w:val="24"/>
          <w:szCs w:val="24"/>
        </w:rPr>
      </w:pPr>
    </w:p>
    <w:p w14:paraId="666618DF" w14:textId="77777777" w:rsidR="002B4913" w:rsidRDefault="002B4913">
      <w:pPr>
        <w:jc w:val="both"/>
        <w:rPr>
          <w:rFonts w:ascii="Times New Roman" w:hAnsi="Times New Roman"/>
          <w:sz w:val="24"/>
          <w:szCs w:val="24"/>
        </w:rPr>
      </w:pPr>
    </w:p>
    <w:p w14:paraId="75D50577" w14:textId="77777777" w:rsidR="002B4913" w:rsidRDefault="002B4913">
      <w:pPr>
        <w:jc w:val="both"/>
        <w:rPr>
          <w:rFonts w:ascii="Times New Roman" w:hAnsi="Times New Roman"/>
          <w:sz w:val="24"/>
          <w:szCs w:val="24"/>
        </w:rPr>
      </w:pPr>
    </w:p>
    <w:p w14:paraId="083F9A00" w14:textId="77777777" w:rsidR="002B4913" w:rsidRDefault="002B4913">
      <w:pPr>
        <w:jc w:val="both"/>
        <w:rPr>
          <w:rFonts w:ascii="Times New Roman" w:hAnsi="Times New Roman"/>
          <w:sz w:val="24"/>
          <w:szCs w:val="24"/>
        </w:rPr>
      </w:pPr>
    </w:p>
    <w:p w14:paraId="0B03978B" w14:textId="77777777" w:rsidR="002B4913" w:rsidRDefault="002B4913">
      <w:pPr>
        <w:jc w:val="both"/>
        <w:rPr>
          <w:rFonts w:ascii="Times New Roman" w:hAnsi="Times New Roman"/>
          <w:sz w:val="24"/>
          <w:szCs w:val="24"/>
        </w:rPr>
      </w:pPr>
    </w:p>
    <w:p w14:paraId="23D9630C" w14:textId="77777777" w:rsidR="002B4913" w:rsidRDefault="00B90716">
      <w:pPr>
        <w:jc w:val="both"/>
        <w:rPr>
          <w:rFonts w:ascii="Times New Roman" w:hAnsi="Times New Roman"/>
          <w:sz w:val="24"/>
          <w:szCs w:val="24"/>
        </w:rPr>
      </w:pPr>
      <w:r>
        <w:rPr>
          <w:rFonts w:ascii="Times New Roman" w:hAnsi="Times New Roman"/>
          <w:sz w:val="24"/>
          <w:szCs w:val="24"/>
        </w:rPr>
        <w:t xml:space="preserve">  …………………………………….             ………………………………………….</w:t>
      </w:r>
    </w:p>
    <w:p w14:paraId="67545A5D" w14:textId="441C8415" w:rsidR="006E55A2" w:rsidRPr="006E55A2" w:rsidRDefault="006E55A2">
      <w:pPr>
        <w:jc w:val="both"/>
      </w:pPr>
      <w:r w:rsidRPr="006E55A2">
        <w:rPr>
          <w:rFonts w:ascii="Times New Roman" w:hAnsi="Times New Roman"/>
          <w:sz w:val="24"/>
          <w:szCs w:val="24"/>
        </w:rPr>
        <w:t>Ota Baláž - Balage studio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P. Šoba – ředitel DK Teplice</w:t>
      </w:r>
    </w:p>
    <w:sectPr w:rsidR="006E55A2" w:rsidRPr="006E55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0" w:footer="0"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28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8A3B3" w14:textId="77777777" w:rsidR="009358A8" w:rsidRDefault="009358A8" w:rsidP="009358A8">
      <w:r>
        <w:separator/>
      </w:r>
    </w:p>
  </w:endnote>
  <w:endnote w:type="continuationSeparator" w:id="0">
    <w:p w14:paraId="2C7F95EC" w14:textId="77777777" w:rsidR="009358A8" w:rsidRDefault="009358A8" w:rsidP="0093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3C35F" w14:textId="77777777" w:rsidR="009358A8" w:rsidRDefault="009358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E0A06" w14:textId="77777777" w:rsidR="009358A8" w:rsidRDefault="009358A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C284A" w14:textId="77777777" w:rsidR="009358A8" w:rsidRDefault="009358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EE024" w14:textId="77777777" w:rsidR="009358A8" w:rsidRDefault="009358A8" w:rsidP="009358A8">
      <w:r>
        <w:separator/>
      </w:r>
    </w:p>
  </w:footnote>
  <w:footnote w:type="continuationSeparator" w:id="0">
    <w:p w14:paraId="13A89FB9" w14:textId="77777777" w:rsidR="009358A8" w:rsidRDefault="009358A8" w:rsidP="0093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93599" w14:textId="77777777" w:rsidR="009358A8" w:rsidRDefault="009358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ED761" w14:textId="77777777" w:rsidR="009358A8" w:rsidRDefault="009358A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3817" w14:textId="77777777" w:rsidR="009358A8" w:rsidRDefault="009358A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15D08"/>
    <w:multiLevelType w:val="multilevel"/>
    <w:tmpl w:val="682611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5E024BD1"/>
    <w:multiLevelType w:val="multilevel"/>
    <w:tmpl w:val="9DE6FC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13"/>
    <w:rsid w:val="00112FB3"/>
    <w:rsid w:val="001830B6"/>
    <w:rsid w:val="001B5026"/>
    <w:rsid w:val="002B4913"/>
    <w:rsid w:val="00442354"/>
    <w:rsid w:val="0045560E"/>
    <w:rsid w:val="004728D0"/>
    <w:rsid w:val="005B03F7"/>
    <w:rsid w:val="006E55A2"/>
    <w:rsid w:val="00703409"/>
    <w:rsid w:val="007355DC"/>
    <w:rsid w:val="00902332"/>
    <w:rsid w:val="00926EF3"/>
    <w:rsid w:val="009358A8"/>
    <w:rsid w:val="009A1CD1"/>
    <w:rsid w:val="009F3273"/>
    <w:rsid w:val="00B90716"/>
    <w:rsid w:val="00E25A6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1C19"/>
    <w:rPr>
      <w:rFonts w:ascii="Arial" w:eastAsia="Arial" w:hAnsi="Arial" w:cs="Times New Roman"/>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61C19"/>
    <w:rPr>
      <w:rFonts w:ascii="Times New Roman" w:eastAsia="Times New Roman" w:hAnsi="Times New Roman" w:cs="Times New Roman"/>
      <w:szCs w:val="20"/>
      <w:lang w:val="cs-CZ" w:eastAsia="cs-CZ"/>
    </w:rPr>
  </w:style>
  <w:style w:type="character" w:customStyle="1" w:styleId="Zkladntext2Char">
    <w:name w:val="Základní text 2 Char"/>
    <w:basedOn w:val="Standardnpsmoodstavce"/>
    <w:link w:val="Zkladntext2"/>
    <w:qFormat/>
    <w:rsid w:val="00461C19"/>
    <w:rPr>
      <w:rFonts w:ascii="Times New Roman" w:eastAsia="Arial" w:hAnsi="Times New Roman" w:cs="Times New Roman"/>
      <w:b/>
      <w:szCs w:val="20"/>
      <w:lang w:val="cs-CZ" w:eastAsia="cs-CZ"/>
    </w:rPr>
  </w:style>
  <w:style w:type="character" w:customStyle="1" w:styleId="apple-converted-space">
    <w:name w:val="apple-converted-space"/>
    <w:basedOn w:val="Standardnpsmoodstavce"/>
    <w:qFormat/>
    <w:rsid w:val="005F442B"/>
  </w:style>
  <w:style w:type="character" w:customStyle="1" w:styleId="Silnzdraznn">
    <w:name w:val="Silné zdůraznění"/>
    <w:qFormat/>
    <w:rPr>
      <w:b/>
      <w:bCs/>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461C19"/>
    <w:pPr>
      <w:jc w:val="both"/>
    </w:pPr>
    <w:rPr>
      <w:rFonts w:ascii="Times New Roman" w:eastAsia="Times New Roman" w:hAnsi="Times New Roman"/>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link w:val="Zkladntext2Char"/>
    <w:qFormat/>
    <w:rsid w:val="00461C19"/>
    <w:pPr>
      <w:jc w:val="both"/>
    </w:pPr>
    <w:rPr>
      <w:rFonts w:ascii="Times New Roman" w:hAnsi="Times New Roman"/>
      <w:b/>
      <w:sz w:val="24"/>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Arial" w:eastAsia="Arial" w:hAnsi="Arial" w:cs="Times New Roman"/>
      <w:szCs w:val="20"/>
      <w:lang w:val="cs-CZ"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112F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2FB3"/>
    <w:rPr>
      <w:rFonts w:ascii="Segoe UI" w:eastAsia="Arial" w:hAnsi="Segoe UI" w:cs="Segoe UI"/>
      <w:sz w:val="18"/>
      <w:szCs w:val="18"/>
      <w:lang w:val="cs-CZ" w:eastAsia="cs-CZ"/>
    </w:rPr>
  </w:style>
  <w:style w:type="paragraph" w:styleId="Zhlav">
    <w:name w:val="header"/>
    <w:basedOn w:val="Normln"/>
    <w:link w:val="ZhlavChar"/>
    <w:uiPriority w:val="99"/>
    <w:unhideWhenUsed/>
    <w:rsid w:val="009358A8"/>
    <w:pPr>
      <w:tabs>
        <w:tab w:val="center" w:pos="4536"/>
        <w:tab w:val="right" w:pos="9072"/>
      </w:tabs>
    </w:pPr>
  </w:style>
  <w:style w:type="character" w:customStyle="1" w:styleId="ZhlavChar">
    <w:name w:val="Záhlaví Char"/>
    <w:basedOn w:val="Standardnpsmoodstavce"/>
    <w:link w:val="Zhlav"/>
    <w:uiPriority w:val="99"/>
    <w:rsid w:val="009358A8"/>
    <w:rPr>
      <w:rFonts w:ascii="Arial" w:eastAsia="Arial" w:hAnsi="Arial" w:cs="Times New Roman"/>
      <w:szCs w:val="20"/>
      <w:lang w:val="cs-CZ" w:eastAsia="cs-CZ"/>
    </w:rPr>
  </w:style>
  <w:style w:type="paragraph" w:styleId="Zpat">
    <w:name w:val="footer"/>
    <w:basedOn w:val="Normln"/>
    <w:link w:val="ZpatChar"/>
    <w:uiPriority w:val="99"/>
    <w:unhideWhenUsed/>
    <w:rsid w:val="009358A8"/>
    <w:pPr>
      <w:tabs>
        <w:tab w:val="center" w:pos="4536"/>
        <w:tab w:val="right" w:pos="9072"/>
      </w:tabs>
    </w:pPr>
  </w:style>
  <w:style w:type="character" w:customStyle="1" w:styleId="ZpatChar">
    <w:name w:val="Zápatí Char"/>
    <w:basedOn w:val="Standardnpsmoodstavce"/>
    <w:link w:val="Zpat"/>
    <w:uiPriority w:val="99"/>
    <w:rsid w:val="009358A8"/>
    <w:rPr>
      <w:rFonts w:ascii="Arial" w:eastAsia="Arial" w:hAnsi="Arial" w:cs="Times New Roman"/>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1C19"/>
    <w:rPr>
      <w:rFonts w:ascii="Arial" w:eastAsia="Arial" w:hAnsi="Arial" w:cs="Times New Roman"/>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61C19"/>
    <w:rPr>
      <w:rFonts w:ascii="Times New Roman" w:eastAsia="Times New Roman" w:hAnsi="Times New Roman" w:cs="Times New Roman"/>
      <w:szCs w:val="20"/>
      <w:lang w:val="cs-CZ" w:eastAsia="cs-CZ"/>
    </w:rPr>
  </w:style>
  <w:style w:type="character" w:customStyle="1" w:styleId="Zkladntext2Char">
    <w:name w:val="Základní text 2 Char"/>
    <w:basedOn w:val="Standardnpsmoodstavce"/>
    <w:link w:val="Zkladntext2"/>
    <w:qFormat/>
    <w:rsid w:val="00461C19"/>
    <w:rPr>
      <w:rFonts w:ascii="Times New Roman" w:eastAsia="Arial" w:hAnsi="Times New Roman" w:cs="Times New Roman"/>
      <w:b/>
      <w:szCs w:val="20"/>
      <w:lang w:val="cs-CZ" w:eastAsia="cs-CZ"/>
    </w:rPr>
  </w:style>
  <w:style w:type="character" w:customStyle="1" w:styleId="apple-converted-space">
    <w:name w:val="apple-converted-space"/>
    <w:basedOn w:val="Standardnpsmoodstavce"/>
    <w:qFormat/>
    <w:rsid w:val="005F442B"/>
  </w:style>
  <w:style w:type="character" w:customStyle="1" w:styleId="Silnzdraznn">
    <w:name w:val="Silné zdůraznění"/>
    <w:qFormat/>
    <w:rPr>
      <w:b/>
      <w:bCs/>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461C19"/>
    <w:pPr>
      <w:jc w:val="both"/>
    </w:pPr>
    <w:rPr>
      <w:rFonts w:ascii="Times New Roman" w:eastAsia="Times New Roman" w:hAnsi="Times New Roman"/>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link w:val="Zkladntext2Char"/>
    <w:qFormat/>
    <w:rsid w:val="00461C19"/>
    <w:pPr>
      <w:jc w:val="both"/>
    </w:pPr>
    <w:rPr>
      <w:rFonts w:ascii="Times New Roman" w:hAnsi="Times New Roman"/>
      <w:b/>
      <w:sz w:val="24"/>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Arial" w:eastAsia="Arial" w:hAnsi="Arial" w:cs="Times New Roman"/>
      <w:szCs w:val="20"/>
      <w:lang w:val="cs-CZ"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112F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2FB3"/>
    <w:rPr>
      <w:rFonts w:ascii="Segoe UI" w:eastAsia="Arial" w:hAnsi="Segoe UI" w:cs="Segoe UI"/>
      <w:sz w:val="18"/>
      <w:szCs w:val="18"/>
      <w:lang w:val="cs-CZ" w:eastAsia="cs-CZ"/>
    </w:rPr>
  </w:style>
  <w:style w:type="paragraph" w:styleId="Zhlav">
    <w:name w:val="header"/>
    <w:basedOn w:val="Normln"/>
    <w:link w:val="ZhlavChar"/>
    <w:uiPriority w:val="99"/>
    <w:unhideWhenUsed/>
    <w:rsid w:val="009358A8"/>
    <w:pPr>
      <w:tabs>
        <w:tab w:val="center" w:pos="4536"/>
        <w:tab w:val="right" w:pos="9072"/>
      </w:tabs>
    </w:pPr>
  </w:style>
  <w:style w:type="character" w:customStyle="1" w:styleId="ZhlavChar">
    <w:name w:val="Záhlaví Char"/>
    <w:basedOn w:val="Standardnpsmoodstavce"/>
    <w:link w:val="Zhlav"/>
    <w:uiPriority w:val="99"/>
    <w:rsid w:val="009358A8"/>
    <w:rPr>
      <w:rFonts w:ascii="Arial" w:eastAsia="Arial" w:hAnsi="Arial" w:cs="Times New Roman"/>
      <w:szCs w:val="20"/>
      <w:lang w:val="cs-CZ" w:eastAsia="cs-CZ"/>
    </w:rPr>
  </w:style>
  <w:style w:type="paragraph" w:styleId="Zpat">
    <w:name w:val="footer"/>
    <w:basedOn w:val="Normln"/>
    <w:link w:val="ZpatChar"/>
    <w:uiPriority w:val="99"/>
    <w:unhideWhenUsed/>
    <w:rsid w:val="009358A8"/>
    <w:pPr>
      <w:tabs>
        <w:tab w:val="center" w:pos="4536"/>
        <w:tab w:val="right" w:pos="9072"/>
      </w:tabs>
    </w:pPr>
  </w:style>
  <w:style w:type="character" w:customStyle="1" w:styleId="ZpatChar">
    <w:name w:val="Zápatí Char"/>
    <w:basedOn w:val="Standardnpsmoodstavce"/>
    <w:link w:val="Zpat"/>
    <w:uiPriority w:val="99"/>
    <w:rsid w:val="009358A8"/>
    <w:rPr>
      <w:rFonts w:ascii="Arial" w:eastAsia="Arial" w:hAnsi="Arial" w:cs="Times New Roman"/>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5258</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2020-01-21T08:50:00Z</dcterms:created>
  <dcterms:modified xsi:type="dcterms:W3CDTF">2020-01-21T08:50:00Z</dcterms:modified>
  <dc:language/>
</cp:coreProperties>
</file>