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V Praze </w:t>
      </w:r>
      <w:proofErr w:type="gramStart"/>
      <w:r>
        <w:rPr>
          <w:rFonts w:ascii="Arial" w:hAnsi="Arial" w:cs="Arial"/>
          <w:sz w:val="22"/>
          <w:szCs w:val="22"/>
        </w:rPr>
        <w:t>20.12.2019</w:t>
      </w:r>
      <w:proofErr w:type="gramEnd"/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1778/SFDI/110105/17977/2019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CEO:14/2020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sz w:val="22"/>
          <w:szCs w:val="22"/>
        </w:rPr>
        <w:t>VUT 08/2019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1772/SFDI/110105/2526/2016, CES: 2/2016 uzavřenou mezi objednatelem Státním fondem dopravní infrastruktury, se sídlem Sokolovská 1955/278, 190 00 Praha 9, IČ: 70856508 (dále jen SFDI) a poradcem: Vysoké učení technické v Brně, Fakulta stavební, se sídlem Veveří 331/95, 602 00 Brno, IČ: 00216305 (dále jen Poradce) objednávám tyto poradenské služby, které se týkají koncepčních a metodických </w:t>
      </w:r>
      <w:proofErr w:type="gramStart"/>
      <w:r>
        <w:rPr>
          <w:rFonts w:ascii="Arial" w:hAnsi="Arial" w:cs="Arial"/>
          <w:sz w:val="22"/>
          <w:szCs w:val="22"/>
        </w:rPr>
        <w:t>dokumentů :</w:t>
      </w:r>
      <w:proofErr w:type="gramEnd"/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Poradenské služby při zadání veřejné zakázky Aktualizace cenových databází pro investiční přípravu dopravních staveb </w:t>
      </w:r>
    </w:p>
    <w:p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Požadovaná forma výstupu: účast na jednáních pro přípravu veřejné zakázky, konzultace a připomínkování věcného záměru, návrhu smlouvy, případně dalších podkladů pro zadání zakázky.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Rozsah poradenských služeb: podpora SFDI v roli zadavatele veřejné zakázky Aktualizace cenových databází pro investiční přípravu dopravních staveb – konzultace a stanoviska k formě zadání, specifikaci předmětu veřejné zakázky, kvalifikačním a hodnotícím kritériím, případně dalším odborným, </w:t>
      </w:r>
      <w:proofErr w:type="spellStart"/>
      <w:r>
        <w:rPr>
          <w:rFonts w:ascii="Arial" w:hAnsi="Arial" w:cs="Arial"/>
          <w:sz w:val="22"/>
          <w:szCs w:val="22"/>
        </w:rPr>
        <w:t>technicko-ekonomickým</w:t>
      </w:r>
      <w:proofErr w:type="spellEnd"/>
      <w:r>
        <w:rPr>
          <w:rFonts w:ascii="Arial" w:hAnsi="Arial" w:cs="Arial"/>
          <w:sz w:val="22"/>
          <w:szCs w:val="22"/>
        </w:rPr>
        <w:t xml:space="preserve"> záležitostem řešeným při přípravě zadání veřejné zakázky, zejména z pohledu oceňování staveb silnic a dálnic v procesu předprojektové a projektové přípravy - v rozsahu do 96 hodin.</w:t>
      </w:r>
    </w:p>
    <w:p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předání: průběžně podle postupu přípravy veřejné zakázky nejpozději do 30. 5. 2020.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48 000 Kč bez DPH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>
      <w:pPr>
        <w:rPr>
          <w:rFonts w:ascii="Arial" w:hAnsi="Arial" w:cs="Arial"/>
          <w:color w:val="0070C0"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Rozpočtová položka: 5169-05 Expertízy, posudky, překlady</w:t>
      </w: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14/2020 a akceptuji tak veškerá její ustanovení.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13. 1. 2020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bookmarkStart w:id="0" w:name="_GoBack"/>
            <w:bookmarkEnd w:id="0"/>
            <w:proofErr w:type="spellEnd"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vedoucí ústavu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Ústav stavební ekonomiky a řízení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Fakulta stavební </w:t>
            </w:r>
            <w:r>
              <w:rPr>
                <w:rFonts w:ascii="Arial" w:hAnsi="Arial" w:cs="Arial"/>
                <w:sz w:val="22"/>
                <w:szCs w:val="22"/>
              </w:rPr>
              <w:br/>
              <w:t>Vysoké učení technické v Brně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9525" t="6350" r="1143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02C51-9DDD-4DD7-81C8-81993569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2081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2020-01-13T15:17:00Z</dcterms:created>
  <dcterms:modified xsi:type="dcterms:W3CDTF">2020-01-13T15:17:00Z</dcterms:modified>
</cp:coreProperties>
</file>