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78" w:rsidRPr="007A22AE" w:rsidRDefault="005B3078" w:rsidP="005B3078">
      <w:pPr>
        <w:jc w:val="center"/>
        <w:rPr>
          <w:rFonts w:ascii="Calibri" w:hAnsi="Calibri" w:cs="Cambria"/>
          <w:b/>
          <w:color w:val="000000"/>
          <w:sz w:val="22"/>
          <w:szCs w:val="22"/>
        </w:rPr>
      </w:pPr>
      <w:r w:rsidRPr="007A22AE">
        <w:rPr>
          <w:rFonts w:ascii="Calibri" w:hAnsi="Calibri" w:cs="Cambria"/>
          <w:b/>
          <w:color w:val="000000"/>
          <w:sz w:val="22"/>
          <w:szCs w:val="22"/>
        </w:rPr>
        <w:t xml:space="preserve">Smlouva o spolupráci při realizaci výstavy </w:t>
      </w:r>
      <w:proofErr w:type="spellStart"/>
      <w:r w:rsidRPr="007A22AE">
        <w:rPr>
          <w:rFonts w:ascii="Calibri" w:hAnsi="Calibri" w:cs="Cambria"/>
          <w:b/>
          <w:color w:val="000000"/>
          <w:sz w:val="22"/>
          <w:szCs w:val="22"/>
        </w:rPr>
        <w:t>Imaginárium</w:t>
      </w:r>
      <w:proofErr w:type="spellEnd"/>
      <w:r w:rsidRPr="007A22AE">
        <w:rPr>
          <w:rFonts w:ascii="Calibri" w:hAnsi="Calibri" w:cs="Cambria"/>
          <w:b/>
          <w:color w:val="000000"/>
          <w:sz w:val="22"/>
          <w:szCs w:val="22"/>
        </w:rPr>
        <w:t xml:space="preserve"> Divadla bratří Formanů a jejich přátel</w:t>
      </w:r>
    </w:p>
    <w:p w:rsidR="005B3078" w:rsidRPr="007A22AE" w:rsidRDefault="005B3078" w:rsidP="005B3078">
      <w:pPr>
        <w:jc w:val="center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jc w:val="center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jc w:val="center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uzavřená dle § 1746 odst. 2. zákona č. 89/2012 Sb., občanský zákoník ve znění pozdějších předpisů, níže uvedeného dne, měsíce a roku, mezi těmito smluvními stranami:</w:t>
      </w:r>
    </w:p>
    <w:p w:rsidR="005B3078" w:rsidRDefault="005B3078" w:rsidP="005B3078">
      <w:pPr>
        <w:jc w:val="center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jc w:val="center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Nadpis1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b/>
          <w:color w:val="000000"/>
          <w:sz w:val="22"/>
          <w:szCs w:val="22"/>
        </w:rPr>
        <w:t>Galerie Františka Drtikola Příbram</w:t>
      </w:r>
    </w:p>
    <w:p w:rsidR="005B3078" w:rsidRPr="007A22AE" w:rsidRDefault="005B3078" w:rsidP="005B3078">
      <w:pPr>
        <w:pStyle w:val="Nadpis1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 xml:space="preserve">zastoupená Hanou </w:t>
      </w:r>
      <w:proofErr w:type="spellStart"/>
      <w:r w:rsidRPr="007A22AE">
        <w:rPr>
          <w:rFonts w:ascii="Calibri" w:hAnsi="Calibri" w:cs="Cambria"/>
          <w:color w:val="000000"/>
          <w:sz w:val="22"/>
          <w:szCs w:val="22"/>
        </w:rPr>
        <w:t>Ročňákovou</w:t>
      </w:r>
      <w:proofErr w:type="spellEnd"/>
      <w:r w:rsidRPr="007A22AE">
        <w:rPr>
          <w:rFonts w:ascii="Calibri" w:hAnsi="Calibri" w:cs="Cambria"/>
          <w:color w:val="000000"/>
          <w:sz w:val="22"/>
          <w:szCs w:val="22"/>
        </w:rPr>
        <w:t>, ředitelkou</w:t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se sídlem: </w:t>
      </w:r>
      <w:proofErr w:type="spellStart"/>
      <w:r w:rsidRPr="007A22AE">
        <w:rPr>
          <w:rFonts w:ascii="Calibri" w:hAnsi="Calibri" w:cs="Cambria"/>
          <w:color w:val="000000"/>
          <w:sz w:val="22"/>
          <w:szCs w:val="22"/>
        </w:rPr>
        <w:t>Tyršova</w:t>
      </w:r>
      <w:proofErr w:type="spellEnd"/>
      <w:r w:rsidRPr="007A22AE">
        <w:rPr>
          <w:rFonts w:ascii="Calibri" w:hAnsi="Calibri" w:cs="Cambria"/>
          <w:color w:val="000000"/>
          <w:sz w:val="22"/>
          <w:szCs w:val="22"/>
        </w:rPr>
        <w:t xml:space="preserve"> 106, 261 01 Příbram I    </w:t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IČ: </w:t>
      </w:r>
      <w:r w:rsidRPr="007A22AE">
        <w:rPr>
          <w:rFonts w:ascii="Calibri" w:hAnsi="Calibri" w:cs="Cambria"/>
          <w:color w:val="000000"/>
          <w:sz w:val="22"/>
          <w:szCs w:val="22"/>
        </w:rPr>
        <w:t>865 96 322</w:t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(dále jen „</w:t>
      </w:r>
      <w:r>
        <w:rPr>
          <w:rFonts w:ascii="Calibri" w:hAnsi="Calibri" w:cs="Cambria"/>
          <w:i/>
          <w:color w:val="000000"/>
          <w:sz w:val="22"/>
          <w:szCs w:val="22"/>
        </w:rPr>
        <w:t>GFD“</w:t>
      </w:r>
      <w:r w:rsidRPr="007A22AE">
        <w:rPr>
          <w:rFonts w:ascii="Calibri" w:hAnsi="Calibri" w:cs="Cambria"/>
          <w:color w:val="000000"/>
          <w:sz w:val="22"/>
          <w:szCs w:val="22"/>
        </w:rPr>
        <w:t>)</w:t>
      </w:r>
    </w:p>
    <w:p w:rsidR="005B3078" w:rsidRPr="007A22AE" w:rsidRDefault="005B3078" w:rsidP="005B3078">
      <w:pPr>
        <w:rPr>
          <w:rFonts w:ascii="Calibri" w:hAnsi="Calibri" w:cs="Cambria"/>
          <w:b/>
          <w:color w:val="000000"/>
          <w:sz w:val="22"/>
          <w:szCs w:val="22"/>
        </w:rPr>
      </w:pPr>
      <w:r w:rsidRPr="007A22AE">
        <w:rPr>
          <w:rFonts w:ascii="Calibri" w:hAnsi="Calibri" w:cs="Cambria"/>
          <w:b/>
          <w:color w:val="000000"/>
          <w:sz w:val="22"/>
          <w:szCs w:val="22"/>
        </w:rPr>
        <w:t xml:space="preserve">    </w:t>
      </w:r>
    </w:p>
    <w:p w:rsidR="005B3078" w:rsidRPr="007A22AE" w:rsidRDefault="005B3078" w:rsidP="005B3078">
      <w:pPr>
        <w:rPr>
          <w:rFonts w:ascii="Calibri" w:hAnsi="Calibri"/>
          <w:color w:val="000000"/>
          <w:sz w:val="22"/>
          <w:szCs w:val="22"/>
        </w:rPr>
      </w:pPr>
      <w:r w:rsidRPr="007A22AE">
        <w:rPr>
          <w:rFonts w:ascii="Calibri" w:hAnsi="Calibri" w:cs="Cambria"/>
          <w:b/>
          <w:color w:val="000000"/>
          <w:sz w:val="22"/>
          <w:szCs w:val="22"/>
        </w:rPr>
        <w:t>a</w:t>
      </w:r>
    </w:p>
    <w:p w:rsidR="005B3078" w:rsidRPr="007A22AE" w:rsidRDefault="005B3078" w:rsidP="005B3078">
      <w:pPr>
        <w:rPr>
          <w:rFonts w:ascii="Calibri" w:hAnsi="Calibri"/>
          <w:color w:val="000000"/>
          <w:sz w:val="22"/>
          <w:szCs w:val="22"/>
        </w:rPr>
      </w:pPr>
    </w:p>
    <w:p w:rsidR="005B3078" w:rsidRDefault="005B3078" w:rsidP="005B3078">
      <w:pPr>
        <w:widowControl w:val="0"/>
        <w:spacing w:line="240" w:lineRule="atLeast"/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b/>
          <w:bCs/>
          <w:color w:val="000000"/>
          <w:sz w:val="22"/>
          <w:szCs w:val="22"/>
        </w:rPr>
        <w:t>Divadlo bratří Formanů</w:t>
      </w:r>
    </w:p>
    <w:p w:rsidR="005B3078" w:rsidRPr="007A22AE" w:rsidRDefault="005B3078" w:rsidP="005B3078">
      <w:pPr>
        <w:widowControl w:val="0"/>
        <w:spacing w:line="240" w:lineRule="atLeast"/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zastoupené Matějem Formanem, jednatelem </w:t>
      </w:r>
    </w:p>
    <w:p w:rsidR="005B3078" w:rsidRPr="007A22AE" w:rsidRDefault="005B3078" w:rsidP="005B3078">
      <w:pPr>
        <w:widowControl w:val="0"/>
        <w:spacing w:line="240" w:lineRule="atLeast"/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se sídlem</w:t>
      </w:r>
      <w:r w:rsidRPr="007A22AE">
        <w:rPr>
          <w:rFonts w:ascii="Calibri" w:hAnsi="Calibri" w:cs="Cambria"/>
          <w:color w:val="000000"/>
          <w:sz w:val="22"/>
          <w:szCs w:val="22"/>
        </w:rPr>
        <w:t>: Stržná 33, 165 00</w:t>
      </w:r>
      <w:r>
        <w:rPr>
          <w:rFonts w:ascii="Calibri" w:hAnsi="Calibri" w:cs="Cambria"/>
          <w:color w:val="000000"/>
          <w:sz w:val="22"/>
          <w:szCs w:val="22"/>
        </w:rPr>
        <w:t xml:space="preserve"> </w:t>
      </w:r>
      <w:r w:rsidRPr="007A22AE">
        <w:rPr>
          <w:rFonts w:ascii="Calibri" w:hAnsi="Calibri" w:cs="Cambria"/>
          <w:color w:val="000000"/>
          <w:sz w:val="22"/>
          <w:szCs w:val="22"/>
        </w:rPr>
        <w:t>Praha 6</w:t>
      </w:r>
      <w:r>
        <w:rPr>
          <w:rFonts w:ascii="Calibri" w:hAnsi="Calibri" w:cs="Cambria"/>
          <w:color w:val="000000"/>
          <w:sz w:val="22"/>
          <w:szCs w:val="22"/>
        </w:rPr>
        <w:t xml:space="preserve"> - </w:t>
      </w:r>
      <w:proofErr w:type="spellStart"/>
      <w:r w:rsidRPr="007A22AE">
        <w:rPr>
          <w:rFonts w:ascii="Calibri" w:hAnsi="Calibri" w:cs="Cambria"/>
          <w:color w:val="000000"/>
          <w:sz w:val="22"/>
          <w:szCs w:val="22"/>
        </w:rPr>
        <w:t>Suchdol</w:t>
      </w:r>
      <w:proofErr w:type="spellEnd"/>
    </w:p>
    <w:p w:rsidR="005B3078" w:rsidRPr="007A22AE" w:rsidRDefault="005B3078" w:rsidP="005B3078">
      <w:pPr>
        <w:widowControl w:val="0"/>
        <w:spacing w:line="240" w:lineRule="atLeast"/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IČ: 69347425</w:t>
      </w:r>
    </w:p>
    <w:p w:rsidR="005B3078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 xml:space="preserve">Bankovní spojení: </w:t>
      </w:r>
      <w:proofErr w:type="spellStart"/>
      <w:r w:rsidRPr="007A22AE">
        <w:rPr>
          <w:rFonts w:ascii="Calibri" w:hAnsi="Calibri" w:cs="Cambria"/>
          <w:color w:val="000000"/>
          <w:sz w:val="22"/>
          <w:szCs w:val="22"/>
        </w:rPr>
        <w:t>Raiffeisenbank</w:t>
      </w:r>
      <w:proofErr w:type="spellEnd"/>
      <w:r w:rsidRPr="007A22AE">
        <w:rPr>
          <w:rFonts w:ascii="Calibri" w:hAnsi="Calibri" w:cs="Cambria"/>
          <w:color w:val="000000"/>
          <w:sz w:val="22"/>
          <w:szCs w:val="22"/>
        </w:rPr>
        <w:t xml:space="preserve"> a.s.</w:t>
      </w:r>
      <w:r>
        <w:rPr>
          <w:rFonts w:ascii="Calibri" w:hAnsi="Calibri" w:cs="Cambria"/>
          <w:color w:val="000000"/>
          <w:sz w:val="22"/>
          <w:szCs w:val="22"/>
        </w:rPr>
        <w:t>, číslo účtu: 5001022124/550</w:t>
      </w:r>
    </w:p>
    <w:p w:rsidR="005B3078" w:rsidRPr="007A22AE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(dále jen „</w:t>
      </w:r>
      <w:r w:rsidRPr="007A22AE">
        <w:rPr>
          <w:rFonts w:ascii="Calibri" w:hAnsi="Calibri" w:cs="Cambria"/>
          <w:i/>
          <w:color w:val="000000"/>
          <w:sz w:val="22"/>
          <w:szCs w:val="22"/>
        </w:rPr>
        <w:t>vlastník“</w:t>
      </w:r>
      <w:r w:rsidRPr="007A22AE">
        <w:rPr>
          <w:rFonts w:ascii="Calibri" w:hAnsi="Calibri" w:cs="Cambria"/>
          <w:color w:val="000000"/>
          <w:sz w:val="22"/>
          <w:szCs w:val="22"/>
        </w:rPr>
        <w:t>)</w:t>
      </w:r>
    </w:p>
    <w:p w:rsidR="005B3078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rPr>
          <w:rFonts w:ascii="Calibri" w:hAnsi="Calibri" w:cs="Cambria"/>
          <w:b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(společně také jako „</w:t>
      </w:r>
      <w:r w:rsidRPr="007A22AE">
        <w:rPr>
          <w:rFonts w:ascii="Calibri" w:hAnsi="Calibri" w:cs="Cambria"/>
          <w:i/>
          <w:color w:val="000000"/>
          <w:sz w:val="22"/>
          <w:szCs w:val="22"/>
        </w:rPr>
        <w:t>smluvní strany</w:t>
      </w:r>
      <w:r w:rsidRPr="007A22AE">
        <w:rPr>
          <w:rFonts w:ascii="Calibri" w:hAnsi="Calibri" w:cs="Cambria"/>
          <w:color w:val="000000"/>
          <w:sz w:val="22"/>
          <w:szCs w:val="22"/>
        </w:rPr>
        <w:t>“)</w:t>
      </w:r>
    </w:p>
    <w:p w:rsidR="005B3078" w:rsidRPr="007A22AE" w:rsidRDefault="005B3078" w:rsidP="005B3078">
      <w:pPr>
        <w:rPr>
          <w:rFonts w:ascii="Calibri" w:hAnsi="Calibri" w:cs="Cambria"/>
          <w:b/>
          <w:color w:val="000000"/>
          <w:sz w:val="22"/>
          <w:szCs w:val="22"/>
        </w:rPr>
      </w:pPr>
      <w:r w:rsidRPr="007A22AE">
        <w:rPr>
          <w:rFonts w:ascii="Calibri" w:hAnsi="Calibri" w:cs="Cambria"/>
          <w:b/>
          <w:color w:val="000000"/>
          <w:sz w:val="22"/>
          <w:szCs w:val="22"/>
        </w:rPr>
        <w:t xml:space="preserve">         </w:t>
      </w:r>
    </w:p>
    <w:p w:rsidR="005B3078" w:rsidRPr="007A22AE" w:rsidRDefault="005B3078" w:rsidP="005B3078">
      <w:pPr>
        <w:jc w:val="center"/>
        <w:rPr>
          <w:rFonts w:ascii="Calibri" w:hAnsi="Calibri" w:cs="Cambria"/>
          <w:b/>
          <w:color w:val="000000"/>
          <w:sz w:val="22"/>
          <w:szCs w:val="22"/>
        </w:rPr>
      </w:pPr>
      <w:r w:rsidRPr="007A22AE">
        <w:rPr>
          <w:rFonts w:ascii="Calibri" w:hAnsi="Calibri" w:cs="Cambria"/>
          <w:b/>
          <w:color w:val="000000"/>
          <w:sz w:val="22"/>
          <w:szCs w:val="22"/>
        </w:rPr>
        <w:t>takto:</w:t>
      </w:r>
    </w:p>
    <w:p w:rsidR="005B3078" w:rsidRPr="007A22AE" w:rsidRDefault="005B3078" w:rsidP="005B3078">
      <w:pPr>
        <w:jc w:val="center"/>
        <w:rPr>
          <w:rFonts w:ascii="Calibri" w:hAnsi="Calibri" w:cs="Cambria"/>
          <w:b/>
          <w:color w:val="000000"/>
          <w:sz w:val="22"/>
          <w:szCs w:val="22"/>
        </w:rPr>
      </w:pPr>
    </w:p>
    <w:p w:rsidR="005B3078" w:rsidRPr="007A22AE" w:rsidRDefault="005B3078" w:rsidP="005B3078">
      <w:pPr>
        <w:jc w:val="center"/>
        <w:rPr>
          <w:rFonts w:ascii="Calibri" w:hAnsi="Calibri" w:cs="Cambria"/>
          <w:b/>
          <w:color w:val="000000"/>
          <w:sz w:val="22"/>
          <w:szCs w:val="22"/>
        </w:rPr>
      </w:pPr>
      <w:r>
        <w:rPr>
          <w:rFonts w:ascii="Calibri" w:hAnsi="Calibri" w:cs="Cambria"/>
          <w:b/>
          <w:color w:val="000000"/>
          <w:sz w:val="22"/>
          <w:szCs w:val="22"/>
        </w:rPr>
        <w:t>Čl. I.</w:t>
      </w:r>
    </w:p>
    <w:p w:rsidR="005B3078" w:rsidRPr="007A22AE" w:rsidRDefault="005B3078" w:rsidP="005B3078">
      <w:pPr>
        <w:rPr>
          <w:rFonts w:ascii="Calibri" w:hAnsi="Calibri" w:cs="Cambria"/>
          <w:b/>
          <w:color w:val="000000"/>
          <w:sz w:val="22"/>
          <w:szCs w:val="22"/>
        </w:rPr>
      </w:pPr>
    </w:p>
    <w:p w:rsidR="005B3078" w:rsidRDefault="005B3078" w:rsidP="005B3078">
      <w:pPr>
        <w:pStyle w:val="Odstavecseseznamem1"/>
        <w:ind w:left="0"/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Smluvní strany se dohodly, ž</w:t>
      </w:r>
      <w:r>
        <w:rPr>
          <w:rFonts w:ascii="Calibri" w:hAnsi="Calibri" w:cs="Cambria"/>
          <w:color w:val="000000"/>
          <w:sz w:val="22"/>
          <w:szCs w:val="22"/>
        </w:rPr>
        <w:t xml:space="preserve">e budou společně realizovat 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projekt s názvem </w:t>
      </w:r>
      <w:r w:rsidRPr="007A22AE">
        <w:rPr>
          <w:rFonts w:ascii="Calibri" w:hAnsi="Calibri" w:cs="Cambria"/>
          <w:b/>
          <w:caps/>
          <w:color w:val="000000"/>
          <w:sz w:val="22"/>
          <w:szCs w:val="22"/>
        </w:rPr>
        <w:t>„imaginárium divadla bratří formanů a jejich přátel“</w:t>
      </w:r>
      <w:r>
        <w:rPr>
          <w:rFonts w:ascii="Calibri" w:hAnsi="Calibri" w:cs="Cambria"/>
          <w:b/>
          <w:caps/>
          <w:color w:val="000000"/>
          <w:sz w:val="22"/>
          <w:szCs w:val="22"/>
        </w:rPr>
        <w:t xml:space="preserve">. Stejnojmenná výstava proběhne v termínu </w:t>
      </w:r>
      <w:proofErr w:type="gramStart"/>
      <w:r>
        <w:rPr>
          <w:rFonts w:ascii="Calibri" w:hAnsi="Calibri" w:cs="Cambria"/>
          <w:b/>
          <w:caps/>
          <w:color w:val="000000"/>
          <w:sz w:val="22"/>
          <w:szCs w:val="22"/>
        </w:rPr>
        <w:t>19.1</w:t>
      </w:r>
      <w:proofErr w:type="gramEnd"/>
      <w:r>
        <w:rPr>
          <w:rFonts w:ascii="Calibri" w:hAnsi="Calibri" w:cs="Cambria"/>
          <w:b/>
          <w:caps/>
          <w:color w:val="000000"/>
          <w:sz w:val="22"/>
          <w:szCs w:val="22"/>
        </w:rPr>
        <w:t xml:space="preserve">. – 31.3.2020 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v prostorách Galerie Františka Drtikola Příbram, Zámeček – </w:t>
      </w:r>
      <w:proofErr w:type="spellStart"/>
      <w:r w:rsidRPr="007A22AE">
        <w:rPr>
          <w:rFonts w:ascii="Calibri" w:hAnsi="Calibri" w:cs="Cambria"/>
          <w:color w:val="000000"/>
          <w:sz w:val="22"/>
          <w:szCs w:val="22"/>
        </w:rPr>
        <w:t>Ernestinum</w:t>
      </w:r>
      <w:proofErr w:type="spellEnd"/>
      <w:r w:rsidRPr="007A22AE">
        <w:rPr>
          <w:rFonts w:ascii="Calibri" w:hAnsi="Calibri" w:cs="Cambria"/>
          <w:color w:val="000000"/>
          <w:sz w:val="22"/>
          <w:szCs w:val="22"/>
        </w:rPr>
        <w:t xml:space="preserve">, výstavní sály </w:t>
      </w:r>
      <w:r>
        <w:rPr>
          <w:rFonts w:ascii="Calibri" w:hAnsi="Calibri" w:cs="Cambria"/>
          <w:color w:val="000000"/>
          <w:sz w:val="22"/>
          <w:szCs w:val="22"/>
        </w:rPr>
        <w:t xml:space="preserve">       </w:t>
      </w:r>
      <w:r w:rsidRPr="007A22AE">
        <w:rPr>
          <w:rFonts w:ascii="Calibri" w:hAnsi="Calibri" w:cs="Cambria"/>
          <w:color w:val="000000"/>
          <w:sz w:val="22"/>
          <w:szCs w:val="22"/>
        </w:rPr>
        <w:t>2. patra GFD</w:t>
      </w:r>
      <w:r>
        <w:rPr>
          <w:rFonts w:ascii="Calibri" w:hAnsi="Calibri" w:cs="Cambria"/>
          <w:color w:val="000000"/>
          <w:sz w:val="22"/>
          <w:szCs w:val="22"/>
        </w:rPr>
        <w:t>.</w:t>
      </w:r>
    </w:p>
    <w:p w:rsidR="005B3078" w:rsidRDefault="005B3078" w:rsidP="005B3078">
      <w:pPr>
        <w:pStyle w:val="Nadpis2"/>
        <w:numPr>
          <w:ilvl w:val="0"/>
          <w:numId w:val="0"/>
        </w:numPr>
        <w:ind w:left="576" w:hanging="576"/>
        <w:rPr>
          <w:rFonts w:ascii="Calibri" w:hAnsi="Calibri" w:cs="Cambria"/>
          <w:caps/>
          <w:color w:val="000000"/>
          <w:sz w:val="22"/>
          <w:szCs w:val="22"/>
        </w:rPr>
      </w:pPr>
    </w:p>
    <w:p w:rsidR="005B3078" w:rsidRPr="0095547C" w:rsidRDefault="005B3078" w:rsidP="005B3078">
      <w:pPr>
        <w:pStyle w:val="Zkladntext"/>
      </w:pPr>
    </w:p>
    <w:p w:rsidR="005B3078" w:rsidRPr="007A22AE" w:rsidRDefault="005B3078" w:rsidP="005B3078">
      <w:pPr>
        <w:pStyle w:val="Nadpis2"/>
        <w:rPr>
          <w:rFonts w:ascii="Calibri" w:hAnsi="Calibri" w:cs="Cambria"/>
          <w:caps/>
          <w:color w:val="000000"/>
          <w:sz w:val="22"/>
          <w:szCs w:val="22"/>
        </w:rPr>
      </w:pPr>
      <w:r>
        <w:rPr>
          <w:rFonts w:ascii="Calibri" w:hAnsi="Calibri" w:cs="Cambria"/>
          <w:caps/>
          <w:color w:val="000000"/>
          <w:sz w:val="22"/>
          <w:szCs w:val="22"/>
        </w:rPr>
        <w:t>II.</w:t>
      </w:r>
      <w:r w:rsidRPr="007A22AE">
        <w:rPr>
          <w:rFonts w:ascii="Calibri" w:hAnsi="Calibri" w:cs="Cambria"/>
          <w:caps/>
          <w:color w:val="000000"/>
          <w:sz w:val="22"/>
          <w:szCs w:val="22"/>
        </w:rPr>
        <w:t xml:space="preserve">  </w:t>
      </w:r>
    </w:p>
    <w:p w:rsidR="005B3078" w:rsidRPr="007A22AE" w:rsidRDefault="005B3078" w:rsidP="005B3078">
      <w:pPr>
        <w:pStyle w:val="Nadpis2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aps/>
          <w:color w:val="000000"/>
          <w:sz w:val="22"/>
          <w:szCs w:val="22"/>
        </w:rPr>
        <w:t>Předmět a účel smlouvy</w:t>
      </w: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Normlnweb1"/>
        <w:spacing w:before="0" w:after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Předmětem této smlouvy jsou přípravné práce na výstavě (zpracování scénáře a libreta výstavy, sjednání účasti výtvarníků, výroba mobiliáře, tisk fotografií, zajištění vernisáže výstavy apod.), doprava exponátů do GFD, instalace výstavy v termínu 14. 1. – 19. 1. 2020 a </w:t>
      </w:r>
      <w:proofErr w:type="spellStart"/>
      <w:r>
        <w:rPr>
          <w:rFonts w:ascii="Calibri" w:hAnsi="Calibri" w:cs="Cambria"/>
          <w:color w:val="000000"/>
          <w:sz w:val="22"/>
          <w:szCs w:val="22"/>
        </w:rPr>
        <w:t>deinstalace</w:t>
      </w:r>
      <w:proofErr w:type="spellEnd"/>
      <w:r>
        <w:rPr>
          <w:rFonts w:ascii="Calibri" w:hAnsi="Calibri" w:cs="Cambria"/>
          <w:color w:val="000000"/>
          <w:sz w:val="22"/>
          <w:szCs w:val="22"/>
        </w:rPr>
        <w:t xml:space="preserve"> výstavy v termínu 1. 4. – 2. 4. 2020. Uvedené práce zajistí Divadlo bratří Formanů.</w:t>
      </w:r>
    </w:p>
    <w:p w:rsidR="005B3078" w:rsidRDefault="005B3078" w:rsidP="005B3078">
      <w:pPr>
        <w:pStyle w:val="Normlnweb1"/>
        <w:spacing w:before="0" w:after="0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Normlnweb1"/>
        <w:numPr>
          <w:ilvl w:val="0"/>
          <w:numId w:val="2"/>
        </w:numPr>
        <w:spacing w:before="0" w:after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Výstava bude zpřístupněna veřejnosti 19. 1. 2020.</w:t>
      </w:r>
    </w:p>
    <w:p w:rsidR="005B3078" w:rsidRPr="007A22AE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Odstavecseseznamem1"/>
        <w:numPr>
          <w:ilvl w:val="0"/>
          <w:numId w:val="2"/>
        </w:numPr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Vlastník touto smlouv</w:t>
      </w:r>
      <w:r>
        <w:rPr>
          <w:rFonts w:ascii="Calibri" w:hAnsi="Calibri" w:cs="Cambria"/>
          <w:color w:val="000000"/>
          <w:sz w:val="22"/>
          <w:szCs w:val="22"/>
        </w:rPr>
        <w:t xml:space="preserve">ou přenechává výstavu k užívání GFD </w:t>
      </w:r>
      <w:r w:rsidRPr="007A22AE">
        <w:rPr>
          <w:rFonts w:ascii="Calibri" w:hAnsi="Calibri" w:cs="Cambria"/>
          <w:color w:val="000000"/>
          <w:sz w:val="22"/>
          <w:szCs w:val="22"/>
        </w:rPr>
        <w:t>po dobu stanovenou tout</w:t>
      </w:r>
      <w:r>
        <w:rPr>
          <w:rFonts w:ascii="Calibri" w:hAnsi="Calibri" w:cs="Cambria"/>
          <w:color w:val="000000"/>
          <w:sz w:val="22"/>
          <w:szCs w:val="22"/>
        </w:rPr>
        <w:t>o smlouvou a za níže dohodnutou cenu a prohlašuje, že veškeré součásti výstavy jsou způsobilé k naplnění účelu smlouvy, zejména z hlediska bezpečnosti návštěvníků.</w:t>
      </w:r>
    </w:p>
    <w:p w:rsidR="005B3078" w:rsidRDefault="005B3078" w:rsidP="005B3078">
      <w:pPr>
        <w:pStyle w:val="Odstavecseseznamem1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Odstavecseseznamem1"/>
        <w:numPr>
          <w:ilvl w:val="0"/>
          <w:numId w:val="2"/>
        </w:numPr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Naplněním této smlouvy nevznikají žádné povinnosti v souvislosti s autorským zákonem</w:t>
      </w:r>
    </w:p>
    <w:p w:rsidR="005B3078" w:rsidRDefault="005B3078" w:rsidP="005B3078">
      <w:pPr>
        <w:pStyle w:val="Odstavecseseznamem1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Odstavecseseznamem1"/>
        <w:numPr>
          <w:ilvl w:val="0"/>
          <w:numId w:val="2"/>
        </w:numPr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Naplněním této smlouvy nebudou porušena práva třetích stran.</w:t>
      </w:r>
    </w:p>
    <w:p w:rsidR="005B3078" w:rsidRPr="007A22AE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Odstavecseseznamem1"/>
        <w:numPr>
          <w:ilvl w:val="0"/>
          <w:numId w:val="2"/>
        </w:numPr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GFD p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odpisem této smlouvy </w:t>
      </w:r>
      <w:r>
        <w:rPr>
          <w:rFonts w:ascii="Calibri" w:hAnsi="Calibri" w:cs="Cambria"/>
          <w:color w:val="000000"/>
          <w:sz w:val="22"/>
          <w:szCs w:val="22"/>
        </w:rPr>
        <w:t xml:space="preserve">zavazuje, že zpřístupní výstavu veřejnosti za úplatu v předem stanovené otevírací době (denně kromě pondělí) </w:t>
      </w:r>
    </w:p>
    <w:p w:rsidR="005B3078" w:rsidRDefault="005B3078" w:rsidP="005B3078">
      <w:pPr>
        <w:pStyle w:val="Odstavecseseznamem1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Odstavecseseznamem1"/>
        <w:numPr>
          <w:ilvl w:val="0"/>
          <w:numId w:val="2"/>
        </w:numPr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GFD zodpovídá za poškození či ztrátu součástí výstavy po celou dobu konání, vyjma běžného opotřebení či poškození návštěvnickým provozem. Případné opravy budou obě strany řešit po vzájemné domluvě.</w:t>
      </w:r>
    </w:p>
    <w:p w:rsidR="005B3078" w:rsidRDefault="005B3078" w:rsidP="005B3078">
      <w:pPr>
        <w:pStyle w:val="Odstavecseseznamem1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Odstavecseseznamem1"/>
        <w:numPr>
          <w:ilvl w:val="0"/>
          <w:numId w:val="2"/>
        </w:numPr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Vlastník povoluje fotografování výstavy a jejích částí k propagačním a archivním nebo soukromým účelům, nepovoluje fotografování a filmování ke komerčním účelům.</w:t>
      </w:r>
    </w:p>
    <w:p w:rsidR="005B3078" w:rsidRDefault="005B3078" w:rsidP="005B3078">
      <w:pPr>
        <w:pStyle w:val="Odstavecseseznamem1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Odstavecseseznamem1"/>
        <w:numPr>
          <w:ilvl w:val="0"/>
          <w:numId w:val="2"/>
        </w:numPr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Po instalaci výstavy bude sepsán protokol o předání výstavních exponátů s uvedením pojistných cen a fotografií předmětů. </w:t>
      </w:r>
    </w:p>
    <w:p w:rsidR="005B3078" w:rsidRDefault="005B3078" w:rsidP="005B3078">
      <w:pPr>
        <w:pStyle w:val="Odstavecseseznamem1"/>
        <w:ind w:left="360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Odstavecseseznamem1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Nadpis2"/>
        <w:rPr>
          <w:rFonts w:ascii="Calibri" w:hAnsi="Calibri" w:cs="Cambria"/>
          <w:caps/>
          <w:color w:val="000000"/>
          <w:sz w:val="22"/>
          <w:szCs w:val="22"/>
        </w:rPr>
      </w:pPr>
      <w:r w:rsidRPr="007A22AE">
        <w:rPr>
          <w:rFonts w:ascii="Calibri" w:hAnsi="Calibri" w:cs="Cambria"/>
          <w:caps/>
          <w:color w:val="000000"/>
          <w:sz w:val="22"/>
          <w:szCs w:val="22"/>
        </w:rPr>
        <w:t xml:space="preserve">III. </w:t>
      </w:r>
    </w:p>
    <w:p w:rsidR="005B3078" w:rsidRPr="000B5180" w:rsidRDefault="005B3078" w:rsidP="005B3078">
      <w:pPr>
        <w:pStyle w:val="Nadpis2"/>
        <w:rPr>
          <w:rFonts w:ascii="Calibri" w:hAnsi="Calibri" w:cs="Cambria"/>
          <w:caps/>
          <w:color w:val="000000"/>
          <w:sz w:val="22"/>
          <w:szCs w:val="22"/>
        </w:rPr>
      </w:pPr>
      <w:r w:rsidRPr="007A22AE">
        <w:rPr>
          <w:rFonts w:ascii="Calibri" w:hAnsi="Calibri" w:cs="Cambria"/>
          <w:caps/>
          <w:color w:val="000000"/>
          <w:sz w:val="22"/>
          <w:szCs w:val="22"/>
        </w:rPr>
        <w:t>cena a doba trvání smlouvy</w:t>
      </w:r>
    </w:p>
    <w:p w:rsidR="005B3078" w:rsidRPr="007A22AE" w:rsidRDefault="005B3078" w:rsidP="005B3078">
      <w:pPr>
        <w:ind w:right="-567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B3078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Smluvní strany se dohodly, že odměna vlastníkovi 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činí </w:t>
      </w:r>
      <w:r>
        <w:rPr>
          <w:rFonts w:ascii="Calibri" w:hAnsi="Calibri" w:cs="Cambria"/>
          <w:b/>
          <w:color w:val="000000"/>
          <w:sz w:val="22"/>
          <w:szCs w:val="22"/>
        </w:rPr>
        <w:t>245</w:t>
      </w:r>
      <w:r w:rsidRPr="007A22AE">
        <w:rPr>
          <w:rFonts w:ascii="Calibri" w:hAnsi="Calibri" w:cs="Cambria"/>
          <w:b/>
          <w:color w:val="000000"/>
          <w:sz w:val="22"/>
          <w:szCs w:val="22"/>
        </w:rPr>
        <w:t xml:space="preserve">.000,- Kč </w:t>
      </w:r>
      <w:r w:rsidRPr="007A22AE">
        <w:rPr>
          <w:rFonts w:ascii="Calibri" w:hAnsi="Calibri" w:cs="Cambria"/>
          <w:color w:val="000000"/>
          <w:sz w:val="22"/>
          <w:szCs w:val="22"/>
        </w:rPr>
        <w:t>a je smluvními stranami stanovena j</w:t>
      </w:r>
      <w:r>
        <w:rPr>
          <w:rFonts w:ascii="Calibri" w:hAnsi="Calibri" w:cs="Cambria"/>
          <w:color w:val="000000"/>
          <w:sz w:val="22"/>
          <w:szCs w:val="22"/>
        </w:rPr>
        <w:t xml:space="preserve">ako konečná a nepřekročitelná. Příloha číslo 1 obsahuje všechny </w:t>
      </w:r>
      <w:r w:rsidRPr="007A22AE">
        <w:rPr>
          <w:rFonts w:ascii="Calibri" w:hAnsi="Calibri" w:cs="Cambria"/>
          <w:color w:val="000000"/>
          <w:sz w:val="22"/>
          <w:szCs w:val="22"/>
        </w:rPr>
        <w:t>položky rozpočtu.</w:t>
      </w:r>
    </w:p>
    <w:p w:rsidR="005B3078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Odměna vlastníkovi bude na základě vystavené faktury uhrazena po předání výstavy k užívání.</w:t>
      </w:r>
    </w:p>
    <w:p w:rsidR="005B3078" w:rsidRPr="007A22AE" w:rsidRDefault="005B3078" w:rsidP="005B3078">
      <w:pPr>
        <w:pStyle w:val="Odstavecseseznamem1"/>
        <w:ind w:left="644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Odstavecseseznamem1"/>
        <w:ind w:left="0"/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Smluvní strany se dohodly, že se tato smlouva uza</w:t>
      </w:r>
      <w:r>
        <w:rPr>
          <w:rFonts w:ascii="Calibri" w:hAnsi="Calibri" w:cs="Cambria"/>
          <w:color w:val="000000"/>
          <w:sz w:val="22"/>
          <w:szCs w:val="22"/>
        </w:rPr>
        <w:t>vírá na dobu určitou, s platností do 10. 4.</w:t>
      </w:r>
      <w:r w:rsidRPr="007A22AE">
        <w:rPr>
          <w:rFonts w:ascii="Calibri" w:hAnsi="Calibri" w:cs="Cambria"/>
          <w:color w:val="000000"/>
          <w:sz w:val="22"/>
          <w:szCs w:val="22"/>
        </w:rPr>
        <w:t>2020.</w:t>
      </w:r>
    </w:p>
    <w:p w:rsidR="005B3078" w:rsidRPr="007A22AE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Odstavecseseznamem1"/>
        <w:ind w:left="0"/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Smlouvu lze ukončit i předčasně, a to v souladu s platnými ustanoveními OZ.</w:t>
      </w:r>
    </w:p>
    <w:p w:rsidR="005B3078" w:rsidRPr="007A22AE" w:rsidRDefault="005B3078" w:rsidP="005B3078">
      <w:pPr>
        <w:pStyle w:val="Odstavecseseznamem1"/>
        <w:ind w:left="0"/>
        <w:jc w:val="both"/>
        <w:rPr>
          <w:rFonts w:ascii="Calibri" w:hAnsi="Calibri" w:cs="Cambria"/>
          <w:color w:val="000000"/>
          <w:sz w:val="22"/>
          <w:szCs w:val="22"/>
        </w:rPr>
      </w:pPr>
      <w:bookmarkStart w:id="0" w:name="_GoBack"/>
      <w:bookmarkEnd w:id="0"/>
    </w:p>
    <w:p w:rsidR="005B3078" w:rsidRPr="007A22AE" w:rsidRDefault="005B3078" w:rsidP="005B3078">
      <w:pPr>
        <w:pStyle w:val="Nadpis3"/>
        <w:jc w:val="center"/>
        <w:rPr>
          <w:rFonts w:ascii="Calibri" w:hAnsi="Calibri" w:cs="Cambria"/>
          <w:caps/>
          <w:color w:val="000000"/>
          <w:sz w:val="22"/>
          <w:szCs w:val="22"/>
        </w:rPr>
      </w:pPr>
    </w:p>
    <w:p w:rsidR="005B3078" w:rsidRPr="007A22AE" w:rsidRDefault="005B3078" w:rsidP="005B3078">
      <w:pPr>
        <w:pStyle w:val="Nadpis3"/>
        <w:jc w:val="center"/>
        <w:rPr>
          <w:rFonts w:ascii="Calibri" w:hAnsi="Calibri" w:cs="Cambria"/>
          <w:caps/>
          <w:color w:val="000000"/>
          <w:sz w:val="22"/>
          <w:szCs w:val="22"/>
        </w:rPr>
      </w:pPr>
      <w:r w:rsidRPr="007A22AE">
        <w:rPr>
          <w:rFonts w:ascii="Calibri" w:hAnsi="Calibri" w:cs="Cambria"/>
          <w:caps/>
          <w:color w:val="000000"/>
          <w:sz w:val="22"/>
          <w:szCs w:val="22"/>
        </w:rPr>
        <w:t xml:space="preserve">IV. </w:t>
      </w:r>
    </w:p>
    <w:p w:rsidR="005B3078" w:rsidRPr="007A22AE" w:rsidRDefault="005B3078" w:rsidP="005B3078">
      <w:pPr>
        <w:pStyle w:val="Nadpis3"/>
        <w:jc w:val="center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aps/>
          <w:color w:val="000000"/>
          <w:sz w:val="22"/>
          <w:szCs w:val="22"/>
        </w:rPr>
        <w:t>práva a povinnosti smluvních stran</w:t>
      </w: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Zkladntextodsazen31"/>
        <w:numPr>
          <w:ilvl w:val="0"/>
          <w:numId w:val="3"/>
        </w:numPr>
        <w:ind w:left="714" w:hanging="357"/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GFD je povinna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užívat expozici řádným a obvyklým způsobem pro naplnění účelu této smlouvy a dále zajistit, aby expozice nebyla užívána v rozporu s účelem této smlouvy. </w:t>
      </w:r>
    </w:p>
    <w:p w:rsidR="005B3078" w:rsidRPr="007A22AE" w:rsidRDefault="005B3078" w:rsidP="005B3078">
      <w:pPr>
        <w:pStyle w:val="Zkladntextodsazen31"/>
        <w:ind w:left="1066" w:hanging="709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Zkladntextodsazen31"/>
        <w:numPr>
          <w:ilvl w:val="0"/>
          <w:numId w:val="3"/>
        </w:numPr>
        <w:ind w:left="714" w:hanging="357"/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GFD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dále informuje vlastníka o skutečnosti, že prostory zámku jsou chráněny způsobem napojení celého objektu na pult </w:t>
      </w:r>
      <w:r>
        <w:rPr>
          <w:rFonts w:ascii="Calibri" w:hAnsi="Calibri" w:cs="Cambria"/>
          <w:color w:val="000000"/>
          <w:sz w:val="22"/>
          <w:szCs w:val="22"/>
        </w:rPr>
        <w:t xml:space="preserve">centrální ochrany (PCO) 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a dozorem prováděným v průběhu otevírací doby. </w:t>
      </w:r>
    </w:p>
    <w:p w:rsidR="005B3078" w:rsidRPr="007A22AE" w:rsidRDefault="005B3078" w:rsidP="005B3078">
      <w:pPr>
        <w:pStyle w:val="Zkladntextodsazen31"/>
        <w:ind w:left="714" w:firstLine="0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Zkladntextodsazen31"/>
        <w:numPr>
          <w:ilvl w:val="0"/>
          <w:numId w:val="3"/>
        </w:numPr>
        <w:ind w:left="714" w:hanging="357"/>
        <w:jc w:val="both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GFD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se zavazuje, že pro expozici zajistí odpovídající podmínky pro bezpečnost instalovaných exponátů, zejména zajistí, že exponáty b</w:t>
      </w:r>
      <w:r>
        <w:rPr>
          <w:rFonts w:ascii="Calibri" w:hAnsi="Calibri" w:cs="Cambria"/>
          <w:color w:val="000000"/>
          <w:sz w:val="22"/>
          <w:szCs w:val="22"/>
        </w:rPr>
        <w:t xml:space="preserve">udou na místě instalace </w:t>
      </w:r>
      <w:r w:rsidRPr="007A22AE">
        <w:rPr>
          <w:rFonts w:ascii="Calibri" w:hAnsi="Calibri" w:cs="Cambria"/>
          <w:color w:val="000000"/>
          <w:sz w:val="22"/>
          <w:szCs w:val="22"/>
        </w:rPr>
        <w:t>chráněny př</w:t>
      </w:r>
      <w:r>
        <w:rPr>
          <w:rFonts w:ascii="Calibri" w:hAnsi="Calibri" w:cs="Cambria"/>
          <w:color w:val="000000"/>
          <w:sz w:val="22"/>
          <w:szCs w:val="22"/>
        </w:rPr>
        <w:t>ed odcizením a poškozením. GFD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zodpovídá za údržbu expozice po celou dobu trvání sm</w:t>
      </w:r>
      <w:r>
        <w:rPr>
          <w:rFonts w:ascii="Calibri" w:hAnsi="Calibri" w:cs="Cambria"/>
          <w:color w:val="000000"/>
          <w:sz w:val="22"/>
          <w:szCs w:val="22"/>
        </w:rPr>
        <w:t>louvy. Za tímto účelem je povinna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umožnit vlastníkovi kontrolní činnost v</w:t>
      </w:r>
      <w:r>
        <w:rPr>
          <w:rFonts w:ascii="Calibri" w:hAnsi="Calibri" w:cs="Cambria"/>
          <w:color w:val="000000"/>
          <w:sz w:val="22"/>
          <w:szCs w:val="22"/>
        </w:rPr>
        <w:t xml:space="preserve">e výstavních </w:t>
      </w:r>
      <w:proofErr w:type="gramStart"/>
      <w:r>
        <w:rPr>
          <w:rFonts w:ascii="Calibri" w:hAnsi="Calibri" w:cs="Cambria"/>
          <w:color w:val="000000"/>
          <w:sz w:val="22"/>
          <w:szCs w:val="22"/>
        </w:rPr>
        <w:t xml:space="preserve">prostorách                     </w:t>
      </w:r>
      <w:r w:rsidRPr="007A22AE">
        <w:rPr>
          <w:rFonts w:ascii="Calibri" w:hAnsi="Calibri" w:cs="Cambria"/>
          <w:color w:val="000000"/>
          <w:sz w:val="22"/>
          <w:szCs w:val="22"/>
        </w:rPr>
        <w:t>v obvyklém</w:t>
      </w:r>
      <w:proofErr w:type="gramEnd"/>
      <w:r w:rsidRPr="007A22AE">
        <w:rPr>
          <w:rFonts w:ascii="Calibri" w:hAnsi="Calibri" w:cs="Cambria"/>
          <w:color w:val="000000"/>
          <w:sz w:val="22"/>
          <w:szCs w:val="22"/>
        </w:rPr>
        <w:t xml:space="preserve"> rozsahu.</w:t>
      </w:r>
    </w:p>
    <w:p w:rsidR="005B3078" w:rsidRPr="007A22AE" w:rsidRDefault="005B3078" w:rsidP="005B3078">
      <w:pPr>
        <w:pStyle w:val="Zkladntextodsazen31"/>
        <w:ind w:left="0" w:firstLine="0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Odstavecseseznamem1"/>
        <w:numPr>
          <w:ilvl w:val="0"/>
          <w:numId w:val="3"/>
        </w:numPr>
        <w:ind w:left="709" w:hanging="283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GFD je oprávněna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provádět drobné změny a úpravy v expozici pouze po předchozím pí</w:t>
      </w:r>
      <w:r>
        <w:rPr>
          <w:rFonts w:ascii="Calibri" w:hAnsi="Calibri" w:cs="Cambria"/>
          <w:color w:val="000000"/>
          <w:sz w:val="22"/>
          <w:szCs w:val="22"/>
        </w:rPr>
        <w:t xml:space="preserve">semném souhlasu vlastníka. GFD 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není oprávněn</w:t>
      </w:r>
      <w:r>
        <w:rPr>
          <w:rFonts w:ascii="Calibri" w:hAnsi="Calibri" w:cs="Cambria"/>
          <w:color w:val="000000"/>
          <w:sz w:val="22"/>
          <w:szCs w:val="22"/>
        </w:rPr>
        <w:t>a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provádět zásadní </w:t>
      </w:r>
      <w:r>
        <w:rPr>
          <w:rFonts w:ascii="Calibri" w:hAnsi="Calibri" w:cs="Cambria"/>
          <w:color w:val="000000"/>
          <w:sz w:val="22"/>
          <w:szCs w:val="22"/>
        </w:rPr>
        <w:t>změny a úpravy a měnit tak podobu expozice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ani přenechat ji bez souhlasu vlastníka do užívání třet</w:t>
      </w:r>
      <w:r>
        <w:rPr>
          <w:rFonts w:ascii="Calibri" w:hAnsi="Calibri" w:cs="Cambria"/>
          <w:color w:val="000000"/>
          <w:sz w:val="22"/>
          <w:szCs w:val="22"/>
        </w:rPr>
        <w:t xml:space="preserve">í osoby. Na předmětech </w:t>
      </w:r>
      <w:r w:rsidRPr="007A22AE">
        <w:rPr>
          <w:rFonts w:ascii="Calibri" w:hAnsi="Calibri" w:cs="Cambria"/>
          <w:color w:val="000000"/>
          <w:sz w:val="22"/>
          <w:szCs w:val="22"/>
        </w:rPr>
        <w:t>nemohou být prováděny restaurátorské, konzervátorské a jiné zásahy.</w:t>
      </w:r>
    </w:p>
    <w:p w:rsidR="005B3078" w:rsidRPr="007A22AE" w:rsidRDefault="005B3078" w:rsidP="005B3078">
      <w:pPr>
        <w:ind w:left="709" w:hanging="283"/>
        <w:rPr>
          <w:rFonts w:ascii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pStyle w:val="Zkladntextodsazen31"/>
        <w:numPr>
          <w:ilvl w:val="0"/>
          <w:numId w:val="3"/>
        </w:numPr>
        <w:ind w:left="709" w:hanging="283"/>
        <w:rPr>
          <w:rFonts w:ascii="Calibri" w:hAnsi="Calibri" w:cs="Cambria"/>
          <w:color w:val="000000"/>
          <w:sz w:val="22"/>
          <w:szCs w:val="22"/>
        </w:rPr>
      </w:pPr>
      <w:r w:rsidRPr="000A4C4F">
        <w:rPr>
          <w:rFonts w:ascii="Calibri" w:hAnsi="Calibri" w:cs="Cambria"/>
          <w:color w:val="000000"/>
          <w:sz w:val="22"/>
          <w:szCs w:val="22"/>
        </w:rPr>
        <w:lastRenderedPageBreak/>
        <w:t xml:space="preserve">Vlastník bere na vědomí, že objekt </w:t>
      </w:r>
      <w:proofErr w:type="spellStart"/>
      <w:r w:rsidRPr="000A4C4F">
        <w:rPr>
          <w:rFonts w:ascii="Calibri" w:hAnsi="Calibri" w:cs="Cambria"/>
          <w:color w:val="000000"/>
          <w:sz w:val="22"/>
          <w:szCs w:val="22"/>
        </w:rPr>
        <w:t>čp</w:t>
      </w:r>
      <w:proofErr w:type="spellEnd"/>
      <w:r w:rsidRPr="000A4C4F">
        <w:rPr>
          <w:rFonts w:ascii="Calibri" w:hAnsi="Calibri" w:cs="Cambria"/>
          <w:color w:val="000000"/>
          <w:sz w:val="22"/>
          <w:szCs w:val="22"/>
        </w:rPr>
        <w:t xml:space="preserve">. 106 Zámeček – </w:t>
      </w:r>
      <w:proofErr w:type="spellStart"/>
      <w:r w:rsidRPr="000A4C4F">
        <w:rPr>
          <w:rFonts w:ascii="Calibri" w:hAnsi="Calibri" w:cs="Cambria"/>
          <w:color w:val="000000"/>
          <w:sz w:val="22"/>
          <w:szCs w:val="22"/>
        </w:rPr>
        <w:t>Ernestinum</w:t>
      </w:r>
      <w:proofErr w:type="spellEnd"/>
      <w:r w:rsidRPr="000A4C4F">
        <w:rPr>
          <w:rFonts w:ascii="Calibri" w:hAnsi="Calibri" w:cs="Cambria"/>
          <w:color w:val="000000"/>
          <w:sz w:val="22"/>
          <w:szCs w:val="22"/>
        </w:rPr>
        <w:t xml:space="preserve"> je v souladu se zákonem č. 20/1987 Sb. o státní památkové péči prohlášen za kulturní památku a je tak povinen řídit se tímto právním předpisem. </w:t>
      </w:r>
    </w:p>
    <w:p w:rsidR="005B3078" w:rsidRPr="000A4C4F" w:rsidRDefault="005B3078" w:rsidP="005B3078">
      <w:pPr>
        <w:pStyle w:val="Zkladntextodsazen31"/>
        <w:tabs>
          <w:tab w:val="left" w:pos="7176"/>
        </w:tabs>
        <w:ind w:left="426" w:firstLine="0"/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ab/>
      </w:r>
    </w:p>
    <w:p w:rsidR="005B3078" w:rsidRPr="000A4C4F" w:rsidRDefault="005B3078" w:rsidP="005B3078">
      <w:pPr>
        <w:pStyle w:val="Odstavecseseznamem1"/>
        <w:numPr>
          <w:ilvl w:val="0"/>
          <w:numId w:val="3"/>
        </w:numPr>
        <w:ind w:left="709" w:hanging="283"/>
        <w:rPr>
          <w:rFonts w:ascii="Calibri" w:hAnsi="Calibri" w:cs="Cambria"/>
          <w:caps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Smluvní</w:t>
      </w:r>
      <w:r>
        <w:rPr>
          <w:rFonts w:ascii="Calibri" w:hAnsi="Calibri" w:cs="Cambria"/>
          <w:color w:val="000000"/>
          <w:sz w:val="22"/>
          <w:szCs w:val="22"/>
        </w:rPr>
        <w:t xml:space="preserve"> strany se dohodly, že vlastník zajistí vyklizení výstavních prostor do 4. 4. 2020.</w:t>
      </w:r>
    </w:p>
    <w:p w:rsidR="005B3078" w:rsidRPr="007A22AE" w:rsidRDefault="005B3078" w:rsidP="005B3078">
      <w:pPr>
        <w:pStyle w:val="Nadpis2"/>
        <w:numPr>
          <w:ilvl w:val="0"/>
          <w:numId w:val="1"/>
        </w:numPr>
        <w:rPr>
          <w:rFonts w:ascii="Calibri" w:hAnsi="Calibri" w:cs="Cambria"/>
          <w:caps/>
          <w:color w:val="000000"/>
          <w:sz w:val="22"/>
          <w:szCs w:val="22"/>
        </w:rPr>
      </w:pPr>
    </w:p>
    <w:p w:rsidR="005B3078" w:rsidRPr="007A22AE" w:rsidRDefault="005B3078" w:rsidP="005B3078">
      <w:pPr>
        <w:pStyle w:val="Nadpis2"/>
        <w:rPr>
          <w:rFonts w:ascii="Calibri" w:hAnsi="Calibri" w:cs="Cambria"/>
          <w:caps/>
          <w:color w:val="000000"/>
          <w:sz w:val="22"/>
          <w:szCs w:val="22"/>
        </w:rPr>
      </w:pPr>
      <w:r w:rsidRPr="007A22AE">
        <w:rPr>
          <w:rFonts w:ascii="Calibri" w:hAnsi="Calibri" w:cs="Cambria"/>
          <w:caps/>
          <w:color w:val="000000"/>
          <w:sz w:val="22"/>
          <w:szCs w:val="22"/>
        </w:rPr>
        <w:t xml:space="preserve">V. </w:t>
      </w:r>
    </w:p>
    <w:p w:rsidR="005B3078" w:rsidRPr="007A22AE" w:rsidRDefault="005B3078" w:rsidP="005B3078">
      <w:pPr>
        <w:pStyle w:val="Nadpis2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aps/>
          <w:color w:val="000000"/>
          <w:sz w:val="22"/>
          <w:szCs w:val="22"/>
        </w:rPr>
        <w:t>SMLUVNÍ SANKCE</w:t>
      </w: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Normlnweb1"/>
        <w:numPr>
          <w:ilvl w:val="0"/>
          <w:numId w:val="4"/>
        </w:numPr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Pokud GFD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užije expozici k jinému účelu, než k jakému je sjednáno touto smlouvou</w:t>
      </w:r>
      <w:r>
        <w:rPr>
          <w:rFonts w:ascii="Calibri" w:hAnsi="Calibri" w:cs="Cambria"/>
          <w:color w:val="000000"/>
          <w:sz w:val="22"/>
          <w:szCs w:val="22"/>
        </w:rPr>
        <w:t xml:space="preserve">, je vlastník oprávněn po GFD </w:t>
      </w:r>
      <w:r w:rsidRPr="007A22AE">
        <w:rPr>
          <w:rFonts w:ascii="Calibri" w:hAnsi="Calibri" w:cs="Cambria"/>
          <w:color w:val="000000"/>
          <w:sz w:val="22"/>
          <w:szCs w:val="22"/>
        </w:rPr>
        <w:t>požadovat její bezodkladné vydání.</w:t>
      </w:r>
    </w:p>
    <w:p w:rsidR="005B3078" w:rsidRPr="007A22AE" w:rsidRDefault="005B3078" w:rsidP="005B3078">
      <w:pPr>
        <w:pStyle w:val="Normlnweb1"/>
        <w:ind w:left="720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Nadpis2"/>
        <w:rPr>
          <w:rFonts w:ascii="Calibri" w:hAnsi="Calibri" w:cs="Cambria"/>
          <w:caps/>
          <w:color w:val="000000"/>
          <w:sz w:val="22"/>
          <w:szCs w:val="22"/>
        </w:rPr>
      </w:pPr>
      <w:r>
        <w:rPr>
          <w:rFonts w:ascii="Calibri" w:hAnsi="Calibri" w:cs="Cambria"/>
          <w:caps/>
          <w:color w:val="000000"/>
          <w:sz w:val="22"/>
          <w:szCs w:val="22"/>
        </w:rPr>
        <w:t>VI</w:t>
      </w:r>
      <w:r w:rsidRPr="007A22AE">
        <w:rPr>
          <w:rFonts w:ascii="Calibri" w:hAnsi="Calibri" w:cs="Cambria"/>
          <w:caps/>
          <w:color w:val="000000"/>
          <w:sz w:val="22"/>
          <w:szCs w:val="22"/>
        </w:rPr>
        <w:t xml:space="preserve">. </w:t>
      </w:r>
    </w:p>
    <w:p w:rsidR="005B3078" w:rsidRPr="007A22AE" w:rsidRDefault="005B3078" w:rsidP="005B3078">
      <w:pPr>
        <w:pStyle w:val="Nadpis2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aps/>
          <w:color w:val="000000"/>
          <w:sz w:val="22"/>
          <w:szCs w:val="22"/>
        </w:rPr>
        <w:t>závěrečná ustanovení</w:t>
      </w: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Odstavecseseznamem1"/>
        <w:numPr>
          <w:ilvl w:val="0"/>
          <w:numId w:val="5"/>
        </w:numPr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Tato smlouva je vyhotovena ve 2 stejnopisech, z nichž 1 vyhotovení obdrží GFD a 1 </w:t>
      </w:r>
      <w:r w:rsidRPr="007A22AE">
        <w:rPr>
          <w:rFonts w:ascii="Calibri" w:hAnsi="Calibri" w:cs="Cambria"/>
          <w:color w:val="000000"/>
          <w:sz w:val="22"/>
          <w:szCs w:val="22"/>
        </w:rPr>
        <w:t>vyhotovení obdrží vlastník.</w:t>
      </w:r>
    </w:p>
    <w:p w:rsidR="005B3078" w:rsidRPr="007A22AE" w:rsidRDefault="005B3078" w:rsidP="005B3078">
      <w:pPr>
        <w:pStyle w:val="Odstavecseseznamem1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Odstavecseseznamem1"/>
        <w:numPr>
          <w:ilvl w:val="0"/>
          <w:numId w:val="5"/>
        </w:numPr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Jakékoliv změny této smlouvy lze provádět pouze formou písemných postupně číslovaných dodatků na základě dohody smluvních stran, podepsaných oprávněnými zástupci obou smluvních stran.</w:t>
      </w:r>
    </w:p>
    <w:p w:rsidR="005B3078" w:rsidRPr="007A22AE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Odstavecseseznamem1"/>
        <w:numPr>
          <w:ilvl w:val="0"/>
          <w:numId w:val="5"/>
        </w:numPr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Vztahy neupravené touto smlouvou se řídí zejména zákonem č. 89/2012 Sb., občanský zákoník ve znění pozdějších předpisů.</w:t>
      </w:r>
    </w:p>
    <w:p w:rsidR="005B3078" w:rsidRPr="007A22AE" w:rsidRDefault="005B3078" w:rsidP="005B3078">
      <w:pPr>
        <w:jc w:val="both"/>
        <w:rPr>
          <w:rFonts w:ascii="Calibri" w:eastAsia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numPr>
          <w:ilvl w:val="0"/>
          <w:numId w:val="5"/>
        </w:numPr>
        <w:jc w:val="both"/>
        <w:rPr>
          <w:rFonts w:ascii="Calibri" w:eastAsia="Calibri" w:hAnsi="Calibri" w:cs="Cambria"/>
          <w:color w:val="000000"/>
          <w:sz w:val="22"/>
          <w:szCs w:val="22"/>
        </w:rPr>
      </w:pPr>
      <w:r>
        <w:rPr>
          <w:rFonts w:ascii="Calibri" w:eastAsia="Calibri" w:hAnsi="Calibri" w:cs="Cambria"/>
          <w:color w:val="000000"/>
          <w:sz w:val="22"/>
          <w:szCs w:val="22"/>
        </w:rPr>
        <w:t>Tato s</w:t>
      </w:r>
      <w:r w:rsidRPr="007A22AE">
        <w:rPr>
          <w:rFonts w:ascii="Calibri" w:eastAsia="Calibri" w:hAnsi="Calibri" w:cs="Cambria"/>
          <w:color w:val="000000"/>
          <w:sz w:val="22"/>
          <w:szCs w:val="22"/>
        </w:rPr>
        <w:t>mlouva bude v plném rozsahu uveřejněna v informačním systému registru smluv dle zákona č. 340/2015 Sb., zákona o registru smluv.</w:t>
      </w:r>
    </w:p>
    <w:p w:rsidR="005B3078" w:rsidRPr="007A22AE" w:rsidRDefault="005B3078" w:rsidP="005B3078">
      <w:pPr>
        <w:ind w:left="720"/>
        <w:jc w:val="both"/>
        <w:rPr>
          <w:rFonts w:ascii="Calibri" w:eastAsia="Calibri" w:hAnsi="Calibri" w:cs="Cambria"/>
          <w:color w:val="000000"/>
          <w:sz w:val="22"/>
          <w:szCs w:val="22"/>
        </w:rPr>
      </w:pPr>
    </w:p>
    <w:p w:rsidR="005B3078" w:rsidRPr="00AF7993" w:rsidRDefault="005B3078" w:rsidP="005B3078">
      <w:pPr>
        <w:numPr>
          <w:ilvl w:val="0"/>
          <w:numId w:val="5"/>
        </w:numPr>
        <w:jc w:val="both"/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eastAsia="Calibri" w:hAnsi="Calibri" w:cs="Cambria"/>
          <w:color w:val="000000"/>
          <w:sz w:val="22"/>
          <w:szCs w:val="22"/>
        </w:rPr>
        <w:t>Smlouva nabývá pla</w:t>
      </w:r>
      <w:r>
        <w:rPr>
          <w:rFonts w:ascii="Calibri" w:eastAsia="Calibri" w:hAnsi="Calibri" w:cs="Cambria"/>
          <w:color w:val="000000"/>
          <w:sz w:val="22"/>
          <w:szCs w:val="22"/>
        </w:rPr>
        <w:t xml:space="preserve">tnosti dnem podpisu obou </w:t>
      </w:r>
      <w:r w:rsidRPr="007A22AE">
        <w:rPr>
          <w:rFonts w:ascii="Calibri" w:eastAsia="Calibri" w:hAnsi="Calibri" w:cs="Cambria"/>
          <w:color w:val="000000"/>
          <w:sz w:val="22"/>
          <w:szCs w:val="22"/>
        </w:rPr>
        <w:t>smluvních stran</w:t>
      </w:r>
      <w:r>
        <w:rPr>
          <w:rFonts w:ascii="Calibri" w:eastAsia="Calibri" w:hAnsi="Calibri" w:cs="Cambria"/>
          <w:color w:val="000000"/>
          <w:sz w:val="22"/>
          <w:szCs w:val="22"/>
        </w:rPr>
        <w:t>.</w:t>
      </w:r>
    </w:p>
    <w:p w:rsidR="005B3078" w:rsidRDefault="005B3078" w:rsidP="005B3078">
      <w:pPr>
        <w:jc w:val="both"/>
        <w:rPr>
          <w:rFonts w:ascii="Calibri" w:eastAsia="Calibri" w:hAnsi="Calibri" w:cs="Cambria"/>
          <w:color w:val="000000"/>
          <w:sz w:val="22"/>
          <w:szCs w:val="22"/>
        </w:rPr>
      </w:pPr>
    </w:p>
    <w:p w:rsidR="005B3078" w:rsidRDefault="005B3078" w:rsidP="005B3078">
      <w:pPr>
        <w:jc w:val="both"/>
        <w:rPr>
          <w:rFonts w:ascii="Calibri" w:eastAsia="Calibri" w:hAnsi="Calibri" w:cs="Cambria"/>
          <w:color w:val="000000"/>
          <w:sz w:val="22"/>
          <w:szCs w:val="22"/>
        </w:rPr>
      </w:pPr>
    </w:p>
    <w:p w:rsidR="005B3078" w:rsidRPr="00911BFE" w:rsidRDefault="005B3078" w:rsidP="005B3078">
      <w:pPr>
        <w:jc w:val="both"/>
        <w:rPr>
          <w:rFonts w:ascii="Calibri" w:eastAsia="Calibri" w:hAnsi="Calibri" w:cs="Cambria"/>
          <w:color w:val="000000"/>
          <w:sz w:val="22"/>
          <w:szCs w:val="22"/>
        </w:rPr>
      </w:pPr>
      <w:r>
        <w:rPr>
          <w:rFonts w:ascii="Calibri" w:eastAsia="Calibri" w:hAnsi="Calibri" w:cs="Cambria"/>
          <w:color w:val="000000"/>
          <w:sz w:val="22"/>
          <w:szCs w:val="22"/>
        </w:rPr>
        <w:t>Příbram 22. 11. 2019</w:t>
      </w:r>
    </w:p>
    <w:p w:rsidR="005B3078" w:rsidRPr="000A4C4F" w:rsidRDefault="005B3078" w:rsidP="005B3078">
      <w:pPr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pStyle w:val="Odstavecseseznamem1"/>
        <w:jc w:val="both"/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rPr>
          <w:rFonts w:ascii="Calibri" w:hAnsi="Calibri" w:cs="Cambria"/>
          <w:b/>
          <w:color w:val="000000"/>
          <w:sz w:val="22"/>
          <w:szCs w:val="22"/>
        </w:rPr>
      </w:pPr>
    </w:p>
    <w:p w:rsidR="005B3078" w:rsidRPr="007A22AE" w:rsidRDefault="005B3078" w:rsidP="005B3078">
      <w:pPr>
        <w:rPr>
          <w:rFonts w:ascii="Calibri" w:hAnsi="Calibri" w:cs="Cambria"/>
          <w:b/>
          <w:color w:val="000000"/>
          <w:sz w:val="22"/>
          <w:szCs w:val="22"/>
        </w:rPr>
      </w:pP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b/>
          <w:color w:val="000000"/>
          <w:sz w:val="22"/>
          <w:szCs w:val="22"/>
        </w:rPr>
        <w:t>Galerie Františka Drtikola Příbram</w:t>
      </w:r>
      <w:r>
        <w:rPr>
          <w:rFonts w:ascii="Calibri" w:hAnsi="Calibri" w:cs="Cambria"/>
          <w:b/>
          <w:color w:val="000000"/>
          <w:sz w:val="22"/>
          <w:szCs w:val="22"/>
        </w:rPr>
        <w:tab/>
      </w:r>
      <w:r>
        <w:rPr>
          <w:rFonts w:ascii="Calibri" w:hAnsi="Calibri" w:cs="Cambria"/>
          <w:b/>
          <w:color w:val="000000"/>
          <w:sz w:val="22"/>
          <w:szCs w:val="22"/>
        </w:rPr>
        <w:tab/>
      </w:r>
      <w:r>
        <w:rPr>
          <w:rFonts w:ascii="Calibri" w:hAnsi="Calibri" w:cs="Cambria"/>
          <w:b/>
          <w:color w:val="000000"/>
          <w:sz w:val="22"/>
          <w:szCs w:val="22"/>
        </w:rPr>
        <w:tab/>
        <w:t xml:space="preserve">              Divadlo bratří Formanů:</w:t>
      </w: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  <w:r w:rsidRPr="007A22AE">
        <w:rPr>
          <w:rFonts w:ascii="Calibri" w:hAnsi="Calibri" w:cs="Cambria"/>
          <w:color w:val="000000"/>
          <w:sz w:val="22"/>
          <w:szCs w:val="22"/>
        </w:rPr>
        <w:t>…………………………………</w:t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  <w:r>
        <w:rPr>
          <w:rFonts w:ascii="Calibri" w:hAnsi="Calibri" w:cs="Cambria"/>
          <w:color w:val="000000"/>
          <w:sz w:val="22"/>
          <w:szCs w:val="22"/>
        </w:rPr>
        <w:tab/>
        <w:t xml:space="preserve">  </w:t>
      </w:r>
      <w:r w:rsidRPr="007A22AE">
        <w:rPr>
          <w:rFonts w:ascii="Calibri" w:hAnsi="Calibri" w:cs="Cambria"/>
          <w:color w:val="000000"/>
          <w:sz w:val="22"/>
          <w:szCs w:val="22"/>
        </w:rPr>
        <w:t>……………………………………</w:t>
      </w:r>
    </w:p>
    <w:p w:rsidR="005B3078" w:rsidRPr="007A22AE" w:rsidRDefault="005B3078" w:rsidP="005B3078">
      <w:pPr>
        <w:rPr>
          <w:rFonts w:ascii="Calibri" w:hAnsi="Calibri" w:cs="Cambria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Hana Ročňáková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                                             </w:t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  <w:r w:rsidRPr="007A22AE">
        <w:rPr>
          <w:rFonts w:ascii="Calibri" w:hAnsi="Calibri" w:cs="Cambria"/>
          <w:color w:val="000000"/>
          <w:sz w:val="22"/>
          <w:szCs w:val="22"/>
        </w:rPr>
        <w:tab/>
      </w:r>
      <w:r>
        <w:rPr>
          <w:rFonts w:ascii="Calibri" w:hAnsi="Calibri" w:cs="Cambria"/>
          <w:color w:val="000000"/>
          <w:sz w:val="22"/>
          <w:szCs w:val="22"/>
        </w:rPr>
        <w:tab/>
        <w:t xml:space="preserve">  Matěj Forman</w:t>
      </w:r>
    </w:p>
    <w:p w:rsidR="005B3078" w:rsidRPr="007A22AE" w:rsidRDefault="005B3078" w:rsidP="005B3078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 xml:space="preserve"> ředitelka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 </w:t>
      </w:r>
      <w:r>
        <w:rPr>
          <w:rFonts w:ascii="Calibri" w:hAnsi="Calibri" w:cs="Cambria"/>
          <w:color w:val="000000"/>
          <w:sz w:val="22"/>
          <w:szCs w:val="22"/>
        </w:rPr>
        <w:tab/>
      </w:r>
      <w:r>
        <w:rPr>
          <w:rFonts w:ascii="Calibri" w:hAnsi="Calibri" w:cs="Cambria"/>
          <w:color w:val="000000"/>
          <w:sz w:val="22"/>
          <w:szCs w:val="22"/>
        </w:rPr>
        <w:tab/>
      </w:r>
      <w:r>
        <w:rPr>
          <w:rFonts w:ascii="Calibri" w:hAnsi="Calibri" w:cs="Cambria"/>
          <w:color w:val="000000"/>
          <w:sz w:val="22"/>
          <w:szCs w:val="22"/>
        </w:rPr>
        <w:tab/>
      </w:r>
      <w:r>
        <w:rPr>
          <w:rFonts w:ascii="Calibri" w:hAnsi="Calibri" w:cs="Cambria"/>
          <w:color w:val="000000"/>
          <w:sz w:val="22"/>
          <w:szCs w:val="22"/>
        </w:rPr>
        <w:tab/>
      </w:r>
      <w:r>
        <w:rPr>
          <w:rFonts w:ascii="Calibri" w:hAnsi="Calibri" w:cs="Cambria"/>
          <w:color w:val="000000"/>
          <w:sz w:val="22"/>
          <w:szCs w:val="22"/>
        </w:rPr>
        <w:tab/>
      </w:r>
      <w:r>
        <w:rPr>
          <w:rFonts w:ascii="Calibri" w:hAnsi="Calibri" w:cs="Cambria"/>
          <w:color w:val="000000"/>
          <w:sz w:val="22"/>
          <w:szCs w:val="22"/>
        </w:rPr>
        <w:tab/>
      </w:r>
      <w:r>
        <w:rPr>
          <w:rFonts w:ascii="Calibri" w:hAnsi="Calibri" w:cs="Cambria"/>
          <w:color w:val="000000"/>
          <w:sz w:val="22"/>
          <w:szCs w:val="22"/>
        </w:rPr>
        <w:tab/>
        <w:t xml:space="preserve">  jednatel </w:t>
      </w:r>
      <w:r w:rsidRPr="007A22AE">
        <w:rPr>
          <w:rFonts w:ascii="Calibri" w:hAnsi="Calibri" w:cs="Cambria"/>
          <w:color w:val="000000"/>
          <w:sz w:val="22"/>
          <w:szCs w:val="22"/>
        </w:rPr>
        <w:t xml:space="preserve">                                                 </w:t>
      </w:r>
    </w:p>
    <w:p w:rsidR="005B3078" w:rsidRPr="007A22AE" w:rsidRDefault="005B3078" w:rsidP="005B3078">
      <w:pPr>
        <w:rPr>
          <w:rFonts w:ascii="Calibri" w:hAnsi="Calibri"/>
          <w:color w:val="000000"/>
          <w:sz w:val="22"/>
          <w:szCs w:val="22"/>
        </w:rPr>
      </w:pPr>
    </w:p>
    <w:p w:rsidR="005B3078" w:rsidRDefault="005B3078" w:rsidP="005B3078">
      <w:pPr>
        <w:rPr>
          <w:rFonts w:ascii="Calibri" w:hAnsi="Calibri"/>
          <w:color w:val="000000"/>
          <w:sz w:val="22"/>
          <w:szCs w:val="22"/>
        </w:rPr>
      </w:pPr>
    </w:p>
    <w:p w:rsidR="00CE611F" w:rsidRDefault="00CE611F" w:rsidP="005B3078">
      <w:pPr>
        <w:rPr>
          <w:rFonts w:ascii="Calibri" w:hAnsi="Calibri"/>
          <w:color w:val="000000"/>
          <w:sz w:val="22"/>
          <w:szCs w:val="22"/>
        </w:rPr>
      </w:pPr>
    </w:p>
    <w:p w:rsidR="00CE611F" w:rsidRDefault="00CE611F" w:rsidP="005B3078">
      <w:pPr>
        <w:rPr>
          <w:rFonts w:ascii="Calibri" w:hAnsi="Calibri"/>
          <w:color w:val="000000"/>
          <w:sz w:val="22"/>
          <w:szCs w:val="22"/>
        </w:rPr>
      </w:pPr>
    </w:p>
    <w:p w:rsidR="00CE611F" w:rsidRDefault="00CE611F" w:rsidP="005B3078">
      <w:pPr>
        <w:rPr>
          <w:rFonts w:ascii="Calibri" w:hAnsi="Calibri"/>
          <w:color w:val="000000"/>
          <w:sz w:val="22"/>
          <w:szCs w:val="22"/>
        </w:rPr>
      </w:pPr>
    </w:p>
    <w:p w:rsidR="00CE611F" w:rsidRPr="007A22AE" w:rsidRDefault="00CE611F" w:rsidP="005B3078">
      <w:pPr>
        <w:rPr>
          <w:rFonts w:ascii="Calibri" w:hAnsi="Calibri"/>
          <w:color w:val="000000"/>
          <w:sz w:val="22"/>
          <w:szCs w:val="22"/>
        </w:rPr>
      </w:pPr>
    </w:p>
    <w:p w:rsidR="005B3078" w:rsidRPr="007A22AE" w:rsidRDefault="005B3078" w:rsidP="005B3078">
      <w:pPr>
        <w:rPr>
          <w:rFonts w:ascii="Calibri" w:hAnsi="Calibri"/>
          <w:color w:val="000000"/>
          <w:sz w:val="22"/>
          <w:szCs w:val="22"/>
        </w:rPr>
      </w:pPr>
    </w:p>
    <w:p w:rsidR="00CE611F" w:rsidRDefault="00CE611F" w:rsidP="005B3078">
      <w:pPr>
        <w:rPr>
          <w:rFonts w:ascii="Calibri" w:hAnsi="Calibri"/>
          <w:color w:val="000000"/>
          <w:sz w:val="22"/>
          <w:szCs w:val="22"/>
        </w:rPr>
      </w:pPr>
    </w:p>
    <w:p w:rsidR="005B3078" w:rsidRDefault="00CE611F" w:rsidP="00CE611F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Příloha č. 1 </w:t>
      </w:r>
    </w:p>
    <w:p w:rsidR="00CE611F" w:rsidRDefault="00CE611F" w:rsidP="00CE611F">
      <w:pPr>
        <w:rPr>
          <w:rFonts w:ascii="Calibri" w:hAnsi="Calibri"/>
          <w:color w:val="000000"/>
          <w:sz w:val="22"/>
          <w:szCs w:val="22"/>
        </w:rPr>
      </w:pPr>
    </w:p>
    <w:p w:rsidR="00CE611F" w:rsidRPr="00CE611F" w:rsidRDefault="00CE611F" w:rsidP="00CE611F">
      <w:pPr>
        <w:rPr>
          <w:rFonts w:ascii="Calibri" w:hAnsi="Calibri"/>
          <w:b/>
          <w:color w:val="000000"/>
          <w:sz w:val="22"/>
          <w:szCs w:val="22"/>
        </w:rPr>
      </w:pPr>
      <w:r w:rsidRPr="00CE611F">
        <w:rPr>
          <w:rFonts w:ascii="Calibri" w:hAnsi="Calibri"/>
          <w:b/>
          <w:color w:val="000000"/>
          <w:sz w:val="22"/>
          <w:szCs w:val="22"/>
        </w:rPr>
        <w:t xml:space="preserve">Položkový rozpočet </w:t>
      </w:r>
      <w:proofErr w:type="spellStart"/>
      <w:r w:rsidRPr="00CE611F">
        <w:rPr>
          <w:rFonts w:ascii="Calibri" w:hAnsi="Calibri"/>
          <w:b/>
          <w:color w:val="000000"/>
          <w:sz w:val="22"/>
          <w:szCs w:val="22"/>
        </w:rPr>
        <w:t>Imaginárium</w:t>
      </w:r>
      <w:proofErr w:type="spellEnd"/>
      <w:r w:rsidRPr="00CE611F">
        <w:rPr>
          <w:rFonts w:ascii="Calibri" w:hAnsi="Calibri"/>
          <w:b/>
          <w:color w:val="000000"/>
          <w:sz w:val="22"/>
          <w:szCs w:val="22"/>
        </w:rPr>
        <w:t xml:space="preserve"> Divadla bratří Formanů v Galerii Františka Drtikola Příbram</w:t>
      </w:r>
    </w:p>
    <w:tbl>
      <w:tblPr>
        <w:tblpPr w:leftFromText="141" w:rightFromText="141" w:vertAnchor="text" w:horzAnchor="margin" w:tblpY="68"/>
        <w:tblW w:w="7111" w:type="dxa"/>
        <w:tblCellMar>
          <w:left w:w="70" w:type="dxa"/>
          <w:right w:w="70" w:type="dxa"/>
        </w:tblCellMar>
        <w:tblLook w:val="04A0"/>
      </w:tblPr>
      <w:tblGrid>
        <w:gridCol w:w="4631"/>
        <w:gridCol w:w="1240"/>
        <w:gridCol w:w="1240"/>
      </w:tblGrid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Autorský poplatek, koncept a koordinace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25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Produkce a koordinace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15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cs-CZ"/>
              </w:rPr>
              <w:t>Podíl nákladů na skladování ú</w:t>
            </w: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držbu exponátů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25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Doprava 1xTIR,  3xdodávka, 10 osob </w:t>
            </w:r>
            <w:proofErr w:type="spellStart"/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individual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25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Instalace 5 - 6 dni včetně naložení a vyložení TIR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59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Výroba a úprava scénografických </w:t>
            </w: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exponátů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20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Příprava grafických a fotograf. </w:t>
            </w:r>
            <w:proofErr w:type="gramStart"/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podkladů</w:t>
            </w:r>
            <w:proofErr w:type="gramEnd"/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 + grafika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12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proofErr w:type="spellStart"/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Deinstalace</w:t>
            </w:r>
            <w:proofErr w:type="spellEnd"/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 2 dny včetně naložení a vyložení TIR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22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cs-CZ"/>
              </w:rPr>
              <w:t>Balící a instalační materiá</w:t>
            </w: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Zapůjčení osvětlovací techniky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8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Tisk fotografií a rámování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7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E611F">
              <w:rPr>
                <w:rFonts w:asciiTheme="minorHAnsi" w:hAnsiTheme="minorHAnsi" w:cs="Arial"/>
                <w:color w:val="00000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Ubytov</w:t>
            </w:r>
            <w:r>
              <w:rPr>
                <w:rFonts w:asciiTheme="minorHAnsi" w:hAnsiTheme="minorHAnsi" w:cs="Arial"/>
                <w:sz w:val="22"/>
                <w:szCs w:val="22"/>
                <w:lang w:eastAsia="cs-CZ"/>
              </w:rPr>
              <w:t xml:space="preserve">ání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sz w:val="22"/>
                <w:szCs w:val="22"/>
                <w:lang w:eastAsia="cs-CZ"/>
              </w:rPr>
              <w:t>22 000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  <w:lang w:eastAsia="cs-CZ"/>
              </w:rPr>
            </w:pPr>
          </w:p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  <w:lang w:eastAsia="cs-CZ"/>
              </w:rPr>
            </w:pPr>
            <w:r w:rsidRPr="00CE611F">
              <w:rPr>
                <w:rFonts w:asciiTheme="minorHAnsi" w:hAnsiTheme="minorHAnsi" w:cs="Arial"/>
                <w:b/>
                <w:bCs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cs-CZ"/>
              </w:rPr>
              <w:t xml:space="preserve">245 </w:t>
            </w:r>
            <w:r w:rsidRPr="00CE611F">
              <w:rPr>
                <w:rFonts w:asciiTheme="minorHAnsi" w:hAnsiTheme="minorHAnsi" w:cs="Arial"/>
                <w:b/>
                <w:bCs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  <w:tr w:rsidR="00CE611F" w:rsidRPr="00CE611F" w:rsidTr="00CE611F">
        <w:trPr>
          <w:trHeight w:val="26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1F" w:rsidRPr="00CE611F" w:rsidRDefault="00CE611F" w:rsidP="00CE611F">
            <w:pPr>
              <w:suppressAutoHyphens w:val="0"/>
              <w:spacing w:line="240" w:lineRule="auto"/>
              <w:rPr>
                <w:rFonts w:asciiTheme="minorHAnsi" w:hAnsiTheme="minorHAnsi" w:cs="Arial"/>
                <w:sz w:val="22"/>
                <w:szCs w:val="22"/>
                <w:lang w:eastAsia="cs-CZ"/>
              </w:rPr>
            </w:pPr>
          </w:p>
        </w:tc>
      </w:tr>
    </w:tbl>
    <w:p w:rsidR="00CE611F" w:rsidRPr="007A22AE" w:rsidRDefault="00CE611F" w:rsidP="00CE611F">
      <w:pPr>
        <w:rPr>
          <w:rFonts w:ascii="Calibri" w:hAnsi="Calibri"/>
          <w:color w:val="000000"/>
          <w:sz w:val="22"/>
          <w:szCs w:val="22"/>
        </w:rPr>
      </w:pPr>
    </w:p>
    <w:p w:rsidR="00597D73" w:rsidRPr="00CE611F" w:rsidRDefault="00597D73" w:rsidP="00CE611F">
      <w:pPr>
        <w:rPr>
          <w:rFonts w:asciiTheme="minorHAnsi" w:hAnsiTheme="minorHAnsi"/>
          <w:sz w:val="22"/>
          <w:szCs w:val="22"/>
        </w:rPr>
      </w:pPr>
    </w:p>
    <w:sectPr w:rsidR="00597D73" w:rsidRPr="00CE611F" w:rsidSect="007146F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Cambria" w:hAnsi="Cambria" w:cs="Cambria"/>
        <w:caps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3078"/>
    <w:rsid w:val="0041720B"/>
    <w:rsid w:val="00484E1E"/>
    <w:rsid w:val="00597D73"/>
    <w:rsid w:val="005B3078"/>
    <w:rsid w:val="007146FA"/>
    <w:rsid w:val="0092541A"/>
    <w:rsid w:val="009D09A7"/>
    <w:rsid w:val="00CE611F"/>
    <w:rsid w:val="00D00212"/>
    <w:rsid w:val="00F470D1"/>
    <w:rsid w:val="00FE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07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5B307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Zkladntext"/>
    <w:link w:val="Nadpis2Char"/>
    <w:qFormat/>
    <w:rsid w:val="005B3078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Zkladntext"/>
    <w:link w:val="Nadpis3Char"/>
    <w:qFormat/>
    <w:rsid w:val="005B3078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30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5B30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5B30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5B30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B30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5B3078"/>
    <w:pPr>
      <w:spacing w:before="75" w:after="75"/>
      <w:jc w:val="both"/>
    </w:pPr>
    <w:rPr>
      <w:rFonts w:eastAsia="Calibri"/>
      <w:sz w:val="24"/>
      <w:szCs w:val="24"/>
    </w:rPr>
  </w:style>
  <w:style w:type="paragraph" w:customStyle="1" w:styleId="Zkladntextodsazen31">
    <w:name w:val="Základní text odsazený 31"/>
    <w:basedOn w:val="Normln"/>
    <w:rsid w:val="005B3078"/>
    <w:pPr>
      <w:ind w:left="705" w:hanging="705"/>
    </w:pPr>
    <w:rPr>
      <w:sz w:val="24"/>
    </w:rPr>
  </w:style>
  <w:style w:type="paragraph" w:customStyle="1" w:styleId="Odstavecseseznamem1">
    <w:name w:val="Odstavec se seznamem1"/>
    <w:basedOn w:val="Normln"/>
    <w:rsid w:val="005B3078"/>
    <w:pPr>
      <w:ind w:left="720"/>
    </w:pPr>
  </w:style>
  <w:style w:type="paragraph" w:styleId="Odstavecseseznamem">
    <w:name w:val="List Paragraph"/>
    <w:basedOn w:val="Normln"/>
    <w:uiPriority w:val="34"/>
    <w:qFormat/>
    <w:rsid w:val="00CE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2020-01-18T11:47:00Z</dcterms:created>
  <dcterms:modified xsi:type="dcterms:W3CDTF">2020-01-18T11:47:00Z</dcterms:modified>
</cp:coreProperties>
</file>