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4" w:rsidRDefault="00800724" w:rsidP="005F0A82">
      <w:pPr>
        <w:rPr>
          <w:sz w:val="20"/>
          <w:szCs w:val="20"/>
        </w:rPr>
      </w:pPr>
    </w:p>
    <w:p w:rsidR="00800724" w:rsidRDefault="00800724" w:rsidP="00D6181D">
      <w:pPr>
        <w:tabs>
          <w:tab w:val="left" w:pos="1200"/>
        </w:tabs>
        <w:ind w:left="-360" w:firstLine="36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EFRIG  s.r.o.</w:t>
      </w:r>
    </w:p>
    <w:p w:rsidR="00800724" w:rsidRDefault="00800724" w:rsidP="00D6181D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Pod Školou 1920</w:t>
      </w:r>
    </w:p>
    <w:p w:rsidR="00800724" w:rsidRDefault="00800724" w:rsidP="00D6181D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739 34  Šenov</w:t>
      </w:r>
    </w:p>
    <w:p w:rsidR="00800724" w:rsidRDefault="00800724" w:rsidP="00D6181D">
      <w:pPr>
        <w:tabs>
          <w:tab w:val="left" w:pos="1200"/>
        </w:tabs>
      </w:pPr>
      <w:r>
        <w:t>_______________________________________________</w:t>
      </w:r>
      <w:r>
        <w:tab/>
        <w:t xml:space="preserve">___________________________  </w:t>
      </w:r>
    </w:p>
    <w:p w:rsidR="00800724" w:rsidRDefault="00800724" w:rsidP="00D6181D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                                                               </w:t>
      </w:r>
    </w:p>
    <w:p w:rsidR="00800724" w:rsidRDefault="00800724" w:rsidP="00D6181D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            Nemocnice ve Frýdku – Místku, p. o. </w:t>
      </w:r>
    </w:p>
    <w:p w:rsidR="00800724" w:rsidRDefault="00800724" w:rsidP="00D6181D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El. Krásnohorské 321</w:t>
      </w:r>
    </w:p>
    <w:p w:rsidR="00800724" w:rsidRDefault="00800724" w:rsidP="00D6181D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739 01 Frýdek – Místek</w:t>
      </w:r>
    </w:p>
    <w:p w:rsidR="00800724" w:rsidRDefault="00800724" w:rsidP="00D6181D">
      <w:pPr>
        <w:jc w:val="both"/>
        <w:rPr>
          <w:b/>
          <w:color w:val="002060"/>
        </w:rPr>
      </w:pPr>
    </w:p>
    <w:p w:rsidR="00800724" w:rsidRDefault="00800724" w:rsidP="00D6181D">
      <w:pPr>
        <w:rPr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>
        <w:rPr>
          <w:b/>
          <w:color w:val="002060"/>
          <w:sz w:val="22"/>
          <w:szCs w:val="22"/>
        </w:rPr>
        <w:t xml:space="preserve">                                                                      </w:t>
      </w:r>
    </w:p>
    <w:p w:rsidR="00800724" w:rsidRDefault="00800724" w:rsidP="00D6181D">
      <w:pPr>
        <w:tabs>
          <w:tab w:val="left" w:pos="1200"/>
        </w:tabs>
      </w:pPr>
      <w:r>
        <w:t xml:space="preserve">Vaše značka                      Váš dopis z                           Naše značka                   Šenov      </w:t>
      </w:r>
    </w:p>
    <w:p w:rsidR="00800724" w:rsidRDefault="00800724" w:rsidP="00D6181D">
      <w:pPr>
        <w:tabs>
          <w:tab w:val="left" w:pos="1200"/>
        </w:tabs>
      </w:pPr>
      <w:r>
        <w:t xml:space="preserve">                                                                                           812/72                     16.01.2020</w:t>
      </w:r>
    </w:p>
    <w:p w:rsidR="00800724" w:rsidRDefault="00800724" w:rsidP="00D6181D">
      <w:pPr>
        <w:tabs>
          <w:tab w:val="left" w:pos="1200"/>
        </w:tabs>
      </w:pPr>
    </w:p>
    <w:p w:rsidR="00800724" w:rsidRDefault="00800724" w:rsidP="00D6181D">
      <w:pPr>
        <w:tabs>
          <w:tab w:val="left" w:pos="1200"/>
        </w:tabs>
      </w:pPr>
    </w:p>
    <w:p w:rsidR="00800724" w:rsidRDefault="00800724" w:rsidP="00D6181D">
      <w:pPr>
        <w:tabs>
          <w:tab w:val="left" w:pos="1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Věc: Objednávka č. 20018</w:t>
      </w:r>
    </w:p>
    <w:p w:rsidR="00800724" w:rsidRDefault="00800724" w:rsidP="00D6181D">
      <w:pPr>
        <w:tabs>
          <w:tab w:val="left" w:pos="1200"/>
        </w:tabs>
        <w:jc w:val="both"/>
        <w:rPr>
          <w:b/>
          <w:sz w:val="28"/>
          <w:szCs w:val="28"/>
          <w:u w:val="single"/>
        </w:rPr>
      </w:pPr>
    </w:p>
    <w:p w:rsidR="00800724" w:rsidRDefault="00800724" w:rsidP="00D6181D">
      <w:pPr>
        <w:pStyle w:val="PlainText"/>
      </w:pPr>
      <w:r>
        <w:t xml:space="preserve">Dobrý den, </w:t>
      </w:r>
    </w:p>
    <w:p w:rsidR="00800724" w:rsidRDefault="00800724" w:rsidP="00D6181D">
      <w:pPr>
        <w:pStyle w:val="PlainText"/>
      </w:pPr>
      <w:r>
        <w:t>potvrzujeme Vám přijetí Vaši objednávky č. 20018 ze dne 15</w:t>
      </w:r>
      <w:bookmarkStart w:id="0" w:name="_GoBack"/>
      <w:bookmarkEnd w:id="0"/>
      <w:r>
        <w:t>.01.2020.</w:t>
      </w:r>
    </w:p>
    <w:p w:rsidR="00800724" w:rsidRDefault="00800724" w:rsidP="00D6181D">
      <w:pPr>
        <w:pStyle w:val="PlainText"/>
      </w:pPr>
      <w:r>
        <w:t xml:space="preserve"> </w:t>
      </w:r>
    </w:p>
    <w:p w:rsidR="00800724" w:rsidRDefault="00800724" w:rsidP="00D6181D">
      <w:pPr>
        <w:rPr>
          <w:b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J. Kolenčík, majitel </w:t>
      </w: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tel.: 602 586 990</w:t>
      </w: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sz w:val="22"/>
          <w:szCs w:val="22"/>
        </w:rPr>
      </w:pPr>
    </w:p>
    <w:p w:rsidR="00800724" w:rsidRDefault="00800724" w:rsidP="00D6181D">
      <w:pPr>
        <w:tabs>
          <w:tab w:val="left" w:pos="1200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Držitel certifikátu MŽP kategorie I č. 649/16 </w:t>
      </w:r>
    </w:p>
    <w:p w:rsidR="00800724" w:rsidRDefault="00800724" w:rsidP="00D6181D">
      <w:pPr>
        <w:tabs>
          <w:tab w:val="left" w:pos="1200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Firma má zaveden systém řízení jakosti dle ČSN EN ISO 9002</w:t>
      </w:r>
    </w:p>
    <w:p w:rsidR="00800724" w:rsidRDefault="00800724" w:rsidP="00D6181D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800724" w:rsidRDefault="00800724" w:rsidP="00D6181D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>Firma zapsána v Obchodním rejstříku u Krajského obchodního soudu v Ostravě, oddíl C, vložka 31938</w:t>
      </w:r>
    </w:p>
    <w:p w:rsidR="00800724" w:rsidRDefault="00800724" w:rsidP="00D6181D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Bankovní spojení:                                IČO :  27857301                                    email:efrig@seznam.cz</w:t>
      </w:r>
    </w:p>
    <w:p w:rsidR="00800724" w:rsidRDefault="00800724" w:rsidP="00D6181D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Česká spořitelna a.s., O.- Hrabůvka    DIČ : CZ27857301                                 tel.: 596 728 918</w:t>
      </w:r>
    </w:p>
    <w:p w:rsidR="00800724" w:rsidRDefault="00800724" w:rsidP="00D6181D">
      <w:pPr>
        <w:rPr>
          <w:sz w:val="20"/>
          <w:szCs w:val="20"/>
        </w:rPr>
      </w:pPr>
      <w:r>
        <w:rPr>
          <w:sz w:val="20"/>
          <w:szCs w:val="20"/>
        </w:rPr>
        <w:t xml:space="preserve">č. účtu: 000000-2933149359/0800         </w:t>
      </w:r>
    </w:p>
    <w:sectPr w:rsidR="00800724" w:rsidSect="00A1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82"/>
    <w:rsid w:val="002745AB"/>
    <w:rsid w:val="00394F9B"/>
    <w:rsid w:val="003A7E18"/>
    <w:rsid w:val="004872BF"/>
    <w:rsid w:val="005F0A82"/>
    <w:rsid w:val="00800724"/>
    <w:rsid w:val="008354DD"/>
    <w:rsid w:val="008B044C"/>
    <w:rsid w:val="00A16F20"/>
    <w:rsid w:val="00A2325C"/>
    <w:rsid w:val="00B66984"/>
    <w:rsid w:val="00C73214"/>
    <w:rsid w:val="00D6181D"/>
    <w:rsid w:val="00FD588D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5F0A8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0A82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257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EFRIG  s</dc:title>
  <dc:subject/>
  <dc:creator>Jozef Kolenčík</dc:creator>
  <cp:keywords/>
  <dc:description/>
  <cp:lastModifiedBy>decka</cp:lastModifiedBy>
  <cp:revision>2</cp:revision>
  <cp:lastPrinted>2019-12-13T10:03:00Z</cp:lastPrinted>
  <dcterms:created xsi:type="dcterms:W3CDTF">2020-01-16T09:56:00Z</dcterms:created>
  <dcterms:modified xsi:type="dcterms:W3CDTF">2020-01-16T09:56:00Z</dcterms:modified>
</cp:coreProperties>
</file>