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04" w:rsidRDefault="00FB47BD">
      <w:pPr>
        <w:pStyle w:val="Nadpis10"/>
        <w:keepNext/>
        <w:keepLines/>
        <w:shd w:val="clear" w:color="auto" w:fill="auto"/>
      </w:pPr>
      <w:bookmarkStart w:id="0" w:name="bookmark0"/>
      <w:r>
        <w:t>Licenční smlouva</w:t>
      </w:r>
      <w:bookmarkEnd w:id="0"/>
    </w:p>
    <w:p w:rsidR="00423E04" w:rsidRDefault="00FB47BD">
      <w:pPr>
        <w:pStyle w:val="Zkladntext1"/>
        <w:shd w:val="clear" w:color="auto" w:fill="auto"/>
        <w:spacing w:after="280" w:line="233" w:lineRule="auto"/>
        <w:jc w:val="center"/>
      </w:pPr>
      <w:r>
        <w:t>kterou níže uvedeného dne uzavírají:</w:t>
      </w:r>
    </w:p>
    <w:p w:rsidR="00423E04" w:rsidRDefault="00FB47BD">
      <w:pPr>
        <w:pStyle w:val="Nadpis20"/>
        <w:keepNext/>
        <w:keepLines/>
        <w:shd w:val="clear" w:color="auto" w:fill="auto"/>
        <w:spacing w:line="233" w:lineRule="auto"/>
        <w:ind w:left="0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423E04" w:rsidRDefault="00FB47BD">
      <w:pPr>
        <w:pStyle w:val="Zkladntext1"/>
        <w:shd w:val="clear" w:color="auto" w:fill="auto"/>
        <w:spacing w:after="0" w:line="233" w:lineRule="auto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423E04" w:rsidRDefault="00FB47BD">
      <w:pPr>
        <w:pStyle w:val="Zkladntext1"/>
        <w:shd w:val="clear" w:color="auto" w:fill="auto"/>
        <w:spacing w:after="0" w:line="233" w:lineRule="auto"/>
        <w:jc w:val="left"/>
      </w:pPr>
      <w:r>
        <w:t>IČ: 00027006</w:t>
      </w:r>
    </w:p>
    <w:p w:rsidR="00423E04" w:rsidRDefault="00FB47BD">
      <w:pPr>
        <w:pStyle w:val="Zkladntext1"/>
        <w:shd w:val="clear" w:color="auto" w:fill="auto"/>
        <w:spacing w:after="0" w:line="233" w:lineRule="auto"/>
        <w:jc w:val="left"/>
      </w:pPr>
      <w:r>
        <w:t>DIČ: CZ00027006</w:t>
      </w:r>
    </w:p>
    <w:p w:rsidR="00423E04" w:rsidRDefault="00FB47BD">
      <w:pPr>
        <w:pStyle w:val="Zkladntext1"/>
        <w:shd w:val="clear" w:color="auto" w:fill="auto"/>
        <w:spacing w:after="0" w:line="233" w:lineRule="auto"/>
        <w:jc w:val="left"/>
      </w:pPr>
      <w:r>
        <w:t>zapsaná v rejstříku veřejných výzkumných institucí vedeném Ministerstvem školství,</w:t>
      </w:r>
      <w:r>
        <w:t xml:space="preserve"> mládeže a tělovýchovy ČR</w:t>
      </w:r>
    </w:p>
    <w:p w:rsidR="00423E04" w:rsidRDefault="00FB47BD">
      <w:pPr>
        <w:pStyle w:val="Zkladntext1"/>
        <w:shd w:val="clear" w:color="auto" w:fill="auto"/>
        <w:spacing w:after="280" w:line="233" w:lineRule="auto"/>
        <w:jc w:val="left"/>
      </w:pPr>
      <w:r>
        <w:t xml:space="preserve">zastoupená Ing. </w:t>
      </w:r>
      <w:proofErr w:type="spellStart"/>
      <w:r>
        <w:t>Jibanem</w:t>
      </w:r>
      <w:proofErr w:type="spellEnd"/>
      <w:r>
        <w:t xml:space="preserve"> </w:t>
      </w:r>
      <w:proofErr w:type="spellStart"/>
      <w:r>
        <w:t>Kumarem</w:t>
      </w:r>
      <w:proofErr w:type="spellEnd"/>
      <w:r>
        <w:t>, Ph.D., ředitelem instituce</w:t>
      </w:r>
    </w:p>
    <w:p w:rsidR="00423E04" w:rsidRDefault="00FB47BD">
      <w:pPr>
        <w:pStyle w:val="Zkladntext1"/>
        <w:shd w:val="clear" w:color="auto" w:fill="auto"/>
        <w:spacing w:after="920" w:line="233" w:lineRule="auto"/>
        <w:jc w:val="left"/>
      </w:pPr>
      <w:r>
        <w:t xml:space="preserve">na straně jedné (dále jen </w:t>
      </w:r>
      <w:r>
        <w:rPr>
          <w:b/>
          <w:bCs/>
        </w:rPr>
        <w:t>„poskytovatel“)</w:t>
      </w:r>
    </w:p>
    <w:p w:rsidR="00423E04" w:rsidRDefault="00FB47BD">
      <w:pPr>
        <w:pStyle w:val="Nadpis20"/>
        <w:keepNext/>
        <w:keepLines/>
        <w:shd w:val="clear" w:color="auto" w:fill="auto"/>
        <w:ind w:left="0"/>
        <w:jc w:val="left"/>
      </w:pPr>
      <w:bookmarkStart w:id="2" w:name="bookmark2"/>
      <w:r>
        <w:t>PRO-BIO, obchodní společnost s r.o.</w:t>
      </w:r>
      <w:bookmarkEnd w:id="2"/>
    </w:p>
    <w:p w:rsidR="00423E04" w:rsidRDefault="00FB47BD">
      <w:pPr>
        <w:pStyle w:val="Zkladntext1"/>
        <w:shd w:val="clear" w:color="auto" w:fill="auto"/>
        <w:spacing w:after="0" w:line="233" w:lineRule="auto"/>
        <w:jc w:val="left"/>
      </w:pPr>
      <w:r>
        <w:t>se sídlem Lipová 40, 788 32 Staré Město</w:t>
      </w:r>
    </w:p>
    <w:p w:rsidR="00423E04" w:rsidRDefault="00FB47BD">
      <w:pPr>
        <w:pStyle w:val="Zkladntext1"/>
        <w:shd w:val="clear" w:color="auto" w:fill="auto"/>
        <w:spacing w:after="0"/>
        <w:jc w:val="left"/>
      </w:pPr>
      <w:r>
        <w:t>IČ: 465 81 863</w:t>
      </w:r>
    </w:p>
    <w:p w:rsidR="00423E04" w:rsidRDefault="00FB47BD">
      <w:pPr>
        <w:pStyle w:val="Zkladntext1"/>
        <w:shd w:val="clear" w:color="auto" w:fill="auto"/>
        <w:spacing w:after="0"/>
        <w:jc w:val="left"/>
      </w:pPr>
      <w:r>
        <w:t>DIČ: CZ46581863</w:t>
      </w:r>
    </w:p>
    <w:p w:rsidR="00423E04" w:rsidRDefault="00FB47BD">
      <w:pPr>
        <w:pStyle w:val="Zkladntext1"/>
        <w:shd w:val="clear" w:color="auto" w:fill="auto"/>
        <w:spacing w:after="140" w:line="360" w:lineRule="auto"/>
        <w:jc w:val="left"/>
      </w:pPr>
      <w:r>
        <w:t xml:space="preserve">zapsaná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3668 vedená u Krajského soudu v Ostravě zastoupená Ing. Martinem </w:t>
      </w:r>
      <w:proofErr w:type="spellStart"/>
      <w:r>
        <w:t>Hutařem</w:t>
      </w:r>
      <w:proofErr w:type="spellEnd"/>
      <w:r>
        <w:t xml:space="preserve">, jednatelem společnosti na straně druhé (dále jen </w:t>
      </w:r>
      <w:r>
        <w:rPr>
          <w:b/>
          <w:bCs/>
        </w:rPr>
        <w:t>„nabyvatel“)</w:t>
      </w:r>
    </w:p>
    <w:p w:rsidR="00423E04" w:rsidRDefault="00FB47BD">
      <w:pPr>
        <w:pStyle w:val="Nadpis20"/>
        <w:keepNext/>
        <w:keepLines/>
        <w:shd w:val="clear" w:color="auto" w:fill="auto"/>
        <w:ind w:left="0"/>
      </w:pPr>
      <w:bookmarkStart w:id="3" w:name="bookmark3"/>
      <w:r>
        <w:t>I.</w:t>
      </w:r>
      <w:bookmarkEnd w:id="3"/>
    </w:p>
    <w:p w:rsidR="00423E04" w:rsidRDefault="00FB47BD">
      <w:pPr>
        <w:pStyle w:val="Nadpis20"/>
        <w:keepNext/>
        <w:keepLines/>
        <w:shd w:val="clear" w:color="auto" w:fill="auto"/>
        <w:spacing w:after="260"/>
        <w:ind w:left="0"/>
      </w:pPr>
      <w:bookmarkStart w:id="4" w:name="bookmark4"/>
      <w:r>
        <w:t>Předmět smlouvy</w:t>
      </w:r>
      <w:bookmarkEnd w:id="4"/>
    </w:p>
    <w:p w:rsidR="00423E04" w:rsidRDefault="00FB47BD">
      <w:pPr>
        <w:pStyle w:val="Zkladntext1"/>
        <w:numPr>
          <w:ilvl w:val="0"/>
          <w:numId w:val="1"/>
        </w:numPr>
        <w:shd w:val="clear" w:color="auto" w:fill="auto"/>
        <w:tabs>
          <w:tab w:val="left" w:pos="643"/>
        </w:tabs>
        <w:spacing w:after="280"/>
        <w:jc w:val="left"/>
      </w:pPr>
      <w:r>
        <w:t>Poskytovatel je držitelem šlechtitelských práv k chráněné odrů</w:t>
      </w:r>
      <w:r>
        <w:t>dě: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920"/>
        <w:gridCol w:w="5890"/>
      </w:tblGrid>
      <w:tr w:rsidR="00423E0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586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1.1.1</w:t>
            </w:r>
          </w:p>
        </w:tc>
        <w:tc>
          <w:tcPr>
            <w:tcW w:w="192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Název odrůdy:</w:t>
            </w:r>
          </w:p>
        </w:tc>
        <w:tc>
          <w:tcPr>
            <w:tcW w:w="588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proofErr w:type="spellStart"/>
            <w:r>
              <w:rPr>
                <w:b/>
                <w:bCs/>
              </w:rPr>
              <w:t>Ruzrok</w:t>
            </w:r>
            <w:proofErr w:type="spellEnd"/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Číslo odrůdy:</w:t>
            </w:r>
          </w:p>
        </w:tc>
        <w:tc>
          <w:tcPr>
            <w:tcW w:w="5880" w:type="dxa"/>
            <w:shd w:val="clear" w:color="auto" w:fill="FFFFFF"/>
          </w:tcPr>
          <w:p w:rsidR="00423E04" w:rsidRDefault="00423E04" w:rsidP="00221DF5">
            <w:pPr>
              <w:pStyle w:val="Jin0"/>
              <w:shd w:val="clear" w:color="auto" w:fill="auto"/>
              <w:spacing w:after="0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Kód odrůdy:</w:t>
            </w:r>
          </w:p>
        </w:tc>
        <w:tc>
          <w:tcPr>
            <w:tcW w:w="5880" w:type="dxa"/>
            <w:shd w:val="clear" w:color="auto" w:fill="FFFFFF"/>
            <w:vAlign w:val="bottom"/>
          </w:tcPr>
          <w:p w:rsidR="00423E04" w:rsidRDefault="00423E04">
            <w:pPr>
              <w:pStyle w:val="Jin0"/>
              <w:shd w:val="clear" w:color="auto" w:fill="auto"/>
              <w:spacing w:after="0"/>
              <w:ind w:left="320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Druh (česky):</w:t>
            </w:r>
          </w:p>
        </w:tc>
        <w:tc>
          <w:tcPr>
            <w:tcW w:w="588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r>
              <w:t>Čirok zrnový</w:t>
            </w: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413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Druh (latinsky):</w:t>
            </w:r>
          </w:p>
        </w:tc>
        <w:tc>
          <w:tcPr>
            <w:tcW w:w="588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proofErr w:type="spellStart"/>
            <w:r>
              <w:t>Sorghum</w:t>
            </w:r>
            <w:proofErr w:type="spellEnd"/>
            <w:r>
              <w:t xml:space="preserve"> </w:t>
            </w:r>
            <w:proofErr w:type="spellStart"/>
            <w:r>
              <w:t>bicolor</w:t>
            </w:r>
            <w:proofErr w:type="spellEnd"/>
            <w:r>
              <w:t xml:space="preserve"> (L.) </w:t>
            </w:r>
            <w:proofErr w:type="spellStart"/>
            <w:r>
              <w:t>Moench</w:t>
            </w:r>
            <w:proofErr w:type="spellEnd"/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413"/>
          <w:jc w:val="right"/>
        </w:trPr>
        <w:tc>
          <w:tcPr>
            <w:tcW w:w="586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1.1.2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Název odrůdy:</w:t>
            </w:r>
          </w:p>
        </w:tc>
        <w:tc>
          <w:tcPr>
            <w:tcW w:w="588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proofErr w:type="spellStart"/>
            <w:r>
              <w:rPr>
                <w:b/>
                <w:bCs/>
              </w:rPr>
              <w:t>Rubiota</w:t>
            </w:r>
            <w:proofErr w:type="spellEnd"/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Číslo odrůdy:</w:t>
            </w:r>
          </w:p>
        </w:tc>
        <w:tc>
          <w:tcPr>
            <w:tcW w:w="5880" w:type="dxa"/>
            <w:shd w:val="clear" w:color="auto" w:fill="FFFFFF"/>
          </w:tcPr>
          <w:p w:rsidR="00423E04" w:rsidRDefault="00423E04">
            <w:pPr>
              <w:pStyle w:val="Jin0"/>
              <w:shd w:val="clear" w:color="auto" w:fill="auto"/>
              <w:spacing w:after="0"/>
              <w:ind w:left="320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Kód odrůdy:</w:t>
            </w:r>
          </w:p>
        </w:tc>
        <w:tc>
          <w:tcPr>
            <w:tcW w:w="5880" w:type="dxa"/>
            <w:shd w:val="clear" w:color="auto" w:fill="FFFFFF"/>
            <w:vAlign w:val="bottom"/>
          </w:tcPr>
          <w:p w:rsidR="00423E04" w:rsidRDefault="00423E04">
            <w:pPr>
              <w:pStyle w:val="Jin0"/>
              <w:shd w:val="clear" w:color="auto" w:fill="auto"/>
              <w:spacing w:after="0"/>
              <w:ind w:left="320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Druh (česky):</w:t>
            </w:r>
          </w:p>
        </w:tc>
        <w:tc>
          <w:tcPr>
            <w:tcW w:w="588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r>
              <w:t xml:space="preserve">Pšenice </w:t>
            </w:r>
            <w:r>
              <w:t>špalda ozimá</w:t>
            </w: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552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Druh (latinsky):</w:t>
            </w:r>
          </w:p>
        </w:tc>
        <w:tc>
          <w:tcPr>
            <w:tcW w:w="588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proofErr w:type="spellStart"/>
            <w:r>
              <w:t>Triticum</w:t>
            </w:r>
            <w:proofErr w:type="spellEnd"/>
            <w:r>
              <w:t xml:space="preserve"> </w:t>
            </w:r>
            <w:proofErr w:type="spellStart"/>
            <w:r>
              <w:t>spelta</w:t>
            </w:r>
            <w:proofErr w:type="spellEnd"/>
            <w:r>
              <w:t xml:space="preserve"> L.</w:t>
            </w: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547"/>
          <w:jc w:val="right"/>
        </w:trPr>
        <w:tc>
          <w:tcPr>
            <w:tcW w:w="586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1.1.3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Název odrůdy:</w:t>
            </w:r>
          </w:p>
        </w:tc>
        <w:tc>
          <w:tcPr>
            <w:tcW w:w="588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proofErr w:type="spellStart"/>
            <w:r>
              <w:rPr>
                <w:b/>
                <w:bCs/>
              </w:rPr>
              <w:t>Rudico</w:t>
            </w:r>
            <w:proofErr w:type="spellEnd"/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Číslo odrůdy:</w:t>
            </w:r>
          </w:p>
        </w:tc>
        <w:tc>
          <w:tcPr>
            <w:tcW w:w="5880" w:type="dxa"/>
            <w:shd w:val="clear" w:color="auto" w:fill="FFFFFF"/>
          </w:tcPr>
          <w:p w:rsidR="00423E04" w:rsidRDefault="00423E04">
            <w:pPr>
              <w:pStyle w:val="Jin0"/>
              <w:shd w:val="clear" w:color="auto" w:fill="auto"/>
              <w:spacing w:after="0"/>
              <w:ind w:left="320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Kód odrůdy:</w:t>
            </w:r>
          </w:p>
        </w:tc>
        <w:tc>
          <w:tcPr>
            <w:tcW w:w="5880" w:type="dxa"/>
            <w:shd w:val="clear" w:color="auto" w:fill="FFFFFF"/>
          </w:tcPr>
          <w:p w:rsidR="00423E04" w:rsidRDefault="00423E04">
            <w:pPr>
              <w:pStyle w:val="Jin0"/>
              <w:shd w:val="clear" w:color="auto" w:fill="auto"/>
              <w:spacing w:after="0"/>
              <w:ind w:left="320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Druh (česky):</w:t>
            </w:r>
          </w:p>
        </w:tc>
        <w:tc>
          <w:tcPr>
            <w:tcW w:w="588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r>
              <w:t xml:space="preserve">Pšenice </w:t>
            </w:r>
            <w:proofErr w:type="spellStart"/>
            <w:r>
              <w:t>dvouzmka</w:t>
            </w:r>
            <w:proofErr w:type="spellEnd"/>
            <w:r>
              <w:t xml:space="preserve"> jarní</w:t>
            </w: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557"/>
          <w:jc w:val="right"/>
        </w:trPr>
        <w:tc>
          <w:tcPr>
            <w:tcW w:w="586" w:type="dxa"/>
            <w:shd w:val="clear" w:color="auto" w:fill="FFFFFF"/>
          </w:tcPr>
          <w:p w:rsidR="00423E04" w:rsidRDefault="00423E04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Druh (latinsky):</w:t>
            </w:r>
          </w:p>
        </w:tc>
        <w:tc>
          <w:tcPr>
            <w:tcW w:w="588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proofErr w:type="spellStart"/>
            <w:r>
              <w:t>Triticum</w:t>
            </w:r>
            <w:proofErr w:type="spellEnd"/>
            <w:r>
              <w:t xml:space="preserve"> </w:t>
            </w:r>
            <w:proofErr w:type="spellStart"/>
            <w:r>
              <w:t>turgidum</w:t>
            </w:r>
            <w:proofErr w:type="spellEnd"/>
            <w:r>
              <w:t xml:space="preserve"> L. </w:t>
            </w:r>
            <w:proofErr w:type="spellStart"/>
            <w:r>
              <w:t>subsp</w:t>
            </w:r>
            <w:proofErr w:type="spellEnd"/>
            <w:r>
              <w:t xml:space="preserve">. </w:t>
            </w:r>
            <w:proofErr w:type="spellStart"/>
            <w:r>
              <w:t>dicoccum</w:t>
            </w:r>
            <w:proofErr w:type="spellEnd"/>
            <w:r>
              <w:t xml:space="preserve"> (Schraň ex </w:t>
            </w:r>
            <w:proofErr w:type="spellStart"/>
            <w:r>
              <w:t>Schůbl</w:t>
            </w:r>
            <w:proofErr w:type="spellEnd"/>
            <w:r>
              <w:t xml:space="preserve">.) </w:t>
            </w:r>
            <w:proofErr w:type="spellStart"/>
            <w:r>
              <w:t>Thell</w:t>
            </w:r>
            <w:proofErr w:type="spellEnd"/>
            <w:r>
              <w:t>.</w:t>
            </w: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1915"/>
          <w:jc w:val="right"/>
        </w:trPr>
        <w:tc>
          <w:tcPr>
            <w:tcW w:w="2501" w:type="dxa"/>
            <w:gridSpan w:val="2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ind w:left="700" w:hanging="700"/>
              <w:jc w:val="left"/>
            </w:pPr>
            <w:r>
              <w:lastRenderedPageBreak/>
              <w:t xml:space="preserve">1.1.4 </w:t>
            </w:r>
            <w:r>
              <w:t>Název odrůdy: Číslo odrůdy:</w:t>
            </w:r>
          </w:p>
          <w:p w:rsidR="00423E04" w:rsidRDefault="00FB47BD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Kód odrůdy:</w:t>
            </w:r>
          </w:p>
          <w:p w:rsidR="00423E04" w:rsidRDefault="00FB47BD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Druh (česky):</w:t>
            </w:r>
          </w:p>
          <w:p w:rsidR="00423E04" w:rsidRDefault="00FB47BD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Druh (latinsky):</w:t>
            </w:r>
          </w:p>
        </w:tc>
        <w:tc>
          <w:tcPr>
            <w:tcW w:w="589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proofErr w:type="spellStart"/>
            <w:r>
              <w:rPr>
                <w:b/>
                <w:bCs/>
              </w:rPr>
              <w:t>Tapiruz</w:t>
            </w:r>
            <w:proofErr w:type="spellEnd"/>
          </w:p>
          <w:p w:rsidR="00423E04" w:rsidRDefault="00423E04">
            <w:pPr>
              <w:pStyle w:val="Jin0"/>
              <w:shd w:val="clear" w:color="auto" w:fill="auto"/>
              <w:spacing w:after="0"/>
              <w:ind w:left="320"/>
            </w:pPr>
          </w:p>
          <w:p w:rsidR="00423E04" w:rsidRDefault="00423E04">
            <w:pPr>
              <w:pStyle w:val="Jin0"/>
              <w:shd w:val="clear" w:color="auto" w:fill="auto"/>
              <w:spacing w:after="0"/>
              <w:ind w:left="320"/>
            </w:pPr>
          </w:p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r>
              <w:t>Pšenice dvouzrnka jarní</w:t>
            </w:r>
          </w:p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proofErr w:type="spellStart"/>
            <w:r>
              <w:t>Triticum</w:t>
            </w:r>
            <w:proofErr w:type="spellEnd"/>
            <w:r>
              <w:t xml:space="preserve"> </w:t>
            </w:r>
            <w:proofErr w:type="spellStart"/>
            <w:r>
              <w:t>turgidum</w:t>
            </w:r>
            <w:proofErr w:type="spellEnd"/>
            <w:r>
              <w:t xml:space="preserve"> L. </w:t>
            </w:r>
            <w:proofErr w:type="spellStart"/>
            <w:r>
              <w:t>subsp</w:t>
            </w:r>
            <w:proofErr w:type="spellEnd"/>
            <w:r>
              <w:t xml:space="preserve">. </w:t>
            </w:r>
            <w:proofErr w:type="spellStart"/>
            <w:r>
              <w:t>dicoccum</w:t>
            </w:r>
            <w:proofErr w:type="spellEnd"/>
            <w:r>
              <w:t xml:space="preserve"> (Schraň ex </w:t>
            </w:r>
            <w:proofErr w:type="spellStart"/>
            <w:r>
              <w:t>Schůbl</w:t>
            </w:r>
            <w:proofErr w:type="spellEnd"/>
            <w:r>
              <w:t xml:space="preserve">.) </w:t>
            </w:r>
            <w:proofErr w:type="spellStart"/>
            <w:r>
              <w:t>Thell</w:t>
            </w:r>
            <w:proofErr w:type="spellEnd"/>
            <w:r>
              <w:t>.</w:t>
            </w: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2501" w:type="dxa"/>
            <w:gridSpan w:val="2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ind w:left="700" w:hanging="700"/>
              <w:jc w:val="left"/>
            </w:pPr>
            <w:r>
              <w:t>1.1.5 Název odrůdy:</w:t>
            </w:r>
          </w:p>
        </w:tc>
        <w:tc>
          <w:tcPr>
            <w:tcW w:w="589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proofErr w:type="spellStart"/>
            <w:r>
              <w:rPr>
                <w:b/>
                <w:bCs/>
              </w:rPr>
              <w:t>Rumona</w:t>
            </w:r>
            <w:proofErr w:type="spellEnd"/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501" w:type="dxa"/>
            <w:gridSpan w:val="2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Číslo odrůdy:</w:t>
            </w:r>
          </w:p>
        </w:tc>
        <w:tc>
          <w:tcPr>
            <w:tcW w:w="5890" w:type="dxa"/>
            <w:shd w:val="clear" w:color="auto" w:fill="FFFFFF"/>
          </w:tcPr>
          <w:p w:rsidR="00423E04" w:rsidRDefault="00423E04">
            <w:pPr>
              <w:pStyle w:val="Jin0"/>
              <w:shd w:val="clear" w:color="auto" w:fill="auto"/>
              <w:spacing w:after="0"/>
              <w:ind w:left="320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2501" w:type="dxa"/>
            <w:gridSpan w:val="2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Kód odrůdy:</w:t>
            </w:r>
          </w:p>
        </w:tc>
        <w:tc>
          <w:tcPr>
            <w:tcW w:w="5890" w:type="dxa"/>
            <w:shd w:val="clear" w:color="auto" w:fill="FFFFFF"/>
            <w:vAlign w:val="bottom"/>
          </w:tcPr>
          <w:p w:rsidR="00423E04" w:rsidRDefault="00423E04" w:rsidP="00221DF5">
            <w:pPr>
              <w:pStyle w:val="Jin0"/>
              <w:shd w:val="clear" w:color="auto" w:fill="auto"/>
              <w:spacing w:after="0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2501" w:type="dxa"/>
            <w:gridSpan w:val="2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Druh (česky):</w:t>
            </w:r>
          </w:p>
        </w:tc>
        <w:tc>
          <w:tcPr>
            <w:tcW w:w="5890" w:type="dxa"/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r>
              <w:t xml:space="preserve">Pšenice </w:t>
            </w:r>
            <w:proofErr w:type="spellStart"/>
            <w:r>
              <w:t>jednozmka</w:t>
            </w:r>
            <w:proofErr w:type="spellEnd"/>
            <w:r>
              <w:t xml:space="preserve"> ozimá</w:t>
            </w: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2501" w:type="dxa"/>
            <w:gridSpan w:val="2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Druh (latinsky):</w:t>
            </w:r>
          </w:p>
        </w:tc>
        <w:tc>
          <w:tcPr>
            <w:tcW w:w="5890" w:type="dxa"/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ind w:left="320"/>
            </w:pPr>
            <w:proofErr w:type="spellStart"/>
            <w:r>
              <w:t>Triticum</w:t>
            </w:r>
            <w:proofErr w:type="spellEnd"/>
            <w:r>
              <w:t xml:space="preserve"> </w:t>
            </w:r>
            <w:proofErr w:type="spellStart"/>
            <w:r>
              <w:t>monococcum</w:t>
            </w:r>
            <w:proofErr w:type="spellEnd"/>
            <w:r>
              <w:t xml:space="preserve"> L.</w:t>
            </w:r>
          </w:p>
        </w:tc>
      </w:tr>
    </w:tbl>
    <w:p w:rsidR="00423E04" w:rsidRDefault="00423E04">
      <w:pPr>
        <w:spacing w:after="506" w:line="14" w:lineRule="exact"/>
      </w:pPr>
    </w:p>
    <w:p w:rsidR="00423E04" w:rsidRDefault="00FB47BD">
      <w:pPr>
        <w:pStyle w:val="Zkladntext1"/>
        <w:shd w:val="clear" w:color="auto" w:fill="auto"/>
        <w:spacing w:after="840"/>
        <w:ind w:left="700" w:firstLine="20"/>
        <w:jc w:val="left"/>
      </w:pPr>
      <w:r>
        <w:t xml:space="preserve">(dále jen </w:t>
      </w:r>
      <w:r>
        <w:rPr>
          <w:b/>
          <w:bCs/>
        </w:rPr>
        <w:t>„chráněná odrůda“)</w:t>
      </w:r>
    </w:p>
    <w:p w:rsidR="00423E04" w:rsidRDefault="00FB47BD">
      <w:pPr>
        <w:pStyle w:val="Nadpis20"/>
        <w:keepNext/>
        <w:keepLines/>
        <w:shd w:val="clear" w:color="auto" w:fill="auto"/>
        <w:ind w:left="100"/>
      </w:pPr>
      <w:bookmarkStart w:id="5" w:name="bookmark5"/>
      <w:r>
        <w:t>II.</w:t>
      </w:r>
      <w:bookmarkEnd w:id="5"/>
    </w:p>
    <w:p w:rsidR="00423E04" w:rsidRDefault="00FB47BD">
      <w:pPr>
        <w:pStyle w:val="Nadpis20"/>
        <w:keepNext/>
        <w:keepLines/>
        <w:shd w:val="clear" w:color="auto" w:fill="auto"/>
        <w:spacing w:after="260"/>
        <w:ind w:left="80"/>
      </w:pPr>
      <w:bookmarkStart w:id="6" w:name="bookmark6"/>
      <w:r>
        <w:t>Licence, rozsah licence a omezení licence</w:t>
      </w:r>
      <w:bookmarkEnd w:id="6"/>
    </w:p>
    <w:p w:rsidR="00423E04" w:rsidRDefault="00FB47BD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ind w:left="700" w:hanging="700"/>
      </w:pPr>
      <w:r>
        <w:t xml:space="preserve">Poskytovatel uděluje nabyvateli souhlas (licenci) k využívání chráněné odrůdy při hospodářské </w:t>
      </w:r>
      <w:r>
        <w:t>činnosti nabyvatele, a to pouze v následujícím rozsahu:</w:t>
      </w:r>
    </w:p>
    <w:p w:rsidR="00423E04" w:rsidRDefault="00FB47BD">
      <w:pPr>
        <w:pStyle w:val="Zkladntext1"/>
        <w:numPr>
          <w:ilvl w:val="0"/>
          <w:numId w:val="3"/>
        </w:numPr>
        <w:shd w:val="clear" w:color="auto" w:fill="auto"/>
        <w:tabs>
          <w:tab w:val="left" w:pos="1793"/>
        </w:tabs>
        <w:spacing w:after="0"/>
        <w:ind w:left="1420"/>
        <w:jc w:val="left"/>
      </w:pPr>
      <w:r>
        <w:t>výroba a množení osiva</w:t>
      </w:r>
    </w:p>
    <w:p w:rsidR="00423E04" w:rsidRDefault="00FB47BD">
      <w:pPr>
        <w:pStyle w:val="Zkladntext1"/>
        <w:numPr>
          <w:ilvl w:val="0"/>
          <w:numId w:val="3"/>
        </w:numPr>
        <w:shd w:val="clear" w:color="auto" w:fill="auto"/>
        <w:tabs>
          <w:tab w:val="left" w:pos="1802"/>
        </w:tabs>
        <w:spacing w:after="0"/>
        <w:ind w:left="1420"/>
        <w:jc w:val="left"/>
      </w:pPr>
      <w:r>
        <w:t>nabízení k prodeji</w:t>
      </w:r>
    </w:p>
    <w:p w:rsidR="00423E04" w:rsidRDefault="00FB47BD">
      <w:pPr>
        <w:pStyle w:val="Zkladntext1"/>
        <w:numPr>
          <w:ilvl w:val="0"/>
          <w:numId w:val="3"/>
        </w:numPr>
        <w:shd w:val="clear" w:color="auto" w:fill="auto"/>
        <w:tabs>
          <w:tab w:val="left" w:pos="1802"/>
        </w:tabs>
        <w:spacing w:after="0"/>
        <w:ind w:left="1420"/>
        <w:jc w:val="left"/>
      </w:pPr>
      <w:r>
        <w:t>prodej</w:t>
      </w:r>
    </w:p>
    <w:p w:rsidR="00423E04" w:rsidRDefault="00FB47BD">
      <w:pPr>
        <w:pStyle w:val="Zkladntext1"/>
        <w:numPr>
          <w:ilvl w:val="0"/>
          <w:numId w:val="3"/>
        </w:numPr>
        <w:shd w:val="clear" w:color="auto" w:fill="auto"/>
        <w:tabs>
          <w:tab w:val="left" w:pos="1802"/>
        </w:tabs>
        <w:ind w:left="1420"/>
        <w:jc w:val="left"/>
      </w:pPr>
      <w:r>
        <w:t>skladování pro účely uvedené v písmenech a) až c).</w:t>
      </w:r>
    </w:p>
    <w:p w:rsidR="00423E04" w:rsidRDefault="00FB47BD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ind w:left="700" w:hanging="700"/>
      </w:pPr>
      <w:r>
        <w:t>Licence je poskytnuta pouze pro licenční teritorium států patřících do Evropské unie. Výroba a množe</w:t>
      </w:r>
      <w:r>
        <w:t xml:space="preserve">ní </w:t>
      </w:r>
      <w:proofErr w:type="gramStart"/>
      <w:r>
        <w:t>osívaje</w:t>
      </w:r>
      <w:proofErr w:type="gramEnd"/>
      <w:r>
        <w:t xml:space="preserve"> omezena výhradně na území České republiky.</w:t>
      </w:r>
    </w:p>
    <w:p w:rsidR="00423E04" w:rsidRDefault="00FB47BD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spacing w:after="820"/>
        <w:ind w:left="700" w:hanging="700"/>
      </w:pPr>
      <w:r>
        <w:t>Nabyvatel není oprávněn udělit sublicenci. Nabyvatel není oprávněn přenechat výkon práva jiným osobám. Nabyvatel není oprávněn převést nebo postoupit práva z této smlouvy. Licence nepřechází na právní n</w:t>
      </w:r>
      <w:r>
        <w:t>ástupce nabyvatele.</w:t>
      </w:r>
    </w:p>
    <w:p w:rsidR="00423E04" w:rsidRDefault="00FB47BD">
      <w:pPr>
        <w:pStyle w:val="Nadpis20"/>
        <w:keepNext/>
        <w:keepLines/>
        <w:shd w:val="clear" w:color="auto" w:fill="auto"/>
        <w:ind w:left="100"/>
      </w:pPr>
      <w:bookmarkStart w:id="7" w:name="bookmark7"/>
      <w:r>
        <w:t>III.</w:t>
      </w:r>
      <w:bookmarkEnd w:id="7"/>
    </w:p>
    <w:p w:rsidR="00423E04" w:rsidRDefault="00FB47BD">
      <w:pPr>
        <w:pStyle w:val="Nadpis20"/>
        <w:keepNext/>
        <w:keepLines/>
        <w:shd w:val="clear" w:color="auto" w:fill="auto"/>
        <w:spacing w:after="260"/>
        <w:ind w:left="100"/>
      </w:pPr>
      <w:bookmarkStart w:id="8" w:name="bookmark8"/>
      <w:r>
        <w:t>Další práva a povinnosti</w:t>
      </w:r>
      <w:bookmarkEnd w:id="8"/>
    </w:p>
    <w:p w:rsidR="00423E04" w:rsidRDefault="00FB47BD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00" w:hanging="700"/>
      </w:pPr>
      <w:r>
        <w:t>Nabyvatel se zavazuje při svém využívání zajistit udržování chráněné odrůdy u osiva, kterým jakkoliv disponuje, po celou dobu trvání licence tak, aby znaky, jimiž je vymezena, zůstaly nezměněny.</w:t>
      </w:r>
    </w:p>
    <w:p w:rsidR="00423E04" w:rsidRDefault="00FB47BD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00" w:hanging="700"/>
      </w:pPr>
      <w:r>
        <w:t xml:space="preserve">Nabyvatel </w:t>
      </w:r>
      <w:r>
        <w:t>se zavazuje na každém balení osiva určeného k prodeji uvádět na viditelném místě logo poskytovatele o velikosti přiměřené velikosti balení.</w:t>
      </w:r>
    </w:p>
    <w:p w:rsidR="00423E04" w:rsidRDefault="00FB47BD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9" w:name="bookmark9"/>
      <w:r>
        <w:lastRenderedPageBreak/>
        <w:t>IV.</w:t>
      </w:r>
      <w:bookmarkEnd w:id="9"/>
    </w:p>
    <w:p w:rsidR="00423E04" w:rsidRDefault="00FB47BD">
      <w:pPr>
        <w:pStyle w:val="Nadpis20"/>
        <w:keepNext/>
        <w:keepLines/>
        <w:shd w:val="clear" w:color="auto" w:fill="auto"/>
        <w:spacing w:after="260"/>
        <w:ind w:left="60"/>
      </w:pPr>
      <w:bookmarkStart w:id="10" w:name="bookmark10"/>
      <w:r>
        <w:t>Cena licence</w:t>
      </w:r>
      <w:bookmarkEnd w:id="10"/>
    </w:p>
    <w:p w:rsidR="00423E04" w:rsidRDefault="00FB47BD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line="230" w:lineRule="auto"/>
        <w:ind w:left="720" w:hanging="720"/>
      </w:pPr>
      <w:r>
        <w:t>Licence je poskytována úplatně. Nabyvatel se zavazuje hradit poskytovateli úplatu ve výši</w:t>
      </w:r>
    </w:p>
    <w:p w:rsidR="00423E04" w:rsidRDefault="00FB47BD">
      <w:pPr>
        <w:pStyle w:val="Zkladntext1"/>
        <w:numPr>
          <w:ilvl w:val="0"/>
          <w:numId w:val="5"/>
        </w:numPr>
        <w:shd w:val="clear" w:color="auto" w:fill="auto"/>
        <w:tabs>
          <w:tab w:val="left" w:pos="928"/>
        </w:tabs>
        <w:spacing w:after="0"/>
        <w:ind w:left="720"/>
      </w:pPr>
      <w:r>
        <w:t>u chráněn</w:t>
      </w:r>
      <w:r w:rsidR="00DC14FF">
        <w:t xml:space="preserve">é odrůdy </w:t>
      </w:r>
      <w:proofErr w:type="spellStart"/>
      <w:r w:rsidR="00DC14FF">
        <w:t>ěirok</w:t>
      </w:r>
      <w:proofErr w:type="spellEnd"/>
      <w:r w:rsidR="00DC14FF">
        <w:t xml:space="preserve"> „</w:t>
      </w:r>
      <w:proofErr w:type="spellStart"/>
      <w:proofErr w:type="gramStart"/>
      <w:r w:rsidR="00DC14FF">
        <w:t>Ruzrok</w:t>
      </w:r>
      <w:proofErr w:type="spellEnd"/>
      <w:r w:rsidR="00DC14FF">
        <w:t xml:space="preserve">“      </w:t>
      </w:r>
      <w:r>
        <w:t>Kč</w:t>
      </w:r>
      <w:proofErr w:type="gramEnd"/>
      <w:r>
        <w:t xml:space="preserve"> bez DPH</w:t>
      </w:r>
    </w:p>
    <w:p w:rsidR="00423E04" w:rsidRDefault="00FB47BD">
      <w:pPr>
        <w:pStyle w:val="Zkladntext1"/>
        <w:numPr>
          <w:ilvl w:val="0"/>
          <w:numId w:val="5"/>
        </w:numPr>
        <w:shd w:val="clear" w:color="auto" w:fill="auto"/>
        <w:tabs>
          <w:tab w:val="left" w:pos="928"/>
        </w:tabs>
        <w:ind w:left="720"/>
      </w:pPr>
      <w:r>
        <w:t>u ostatních odrůd, které jsou předmětem této smlouvy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65"/>
        <w:gridCol w:w="2179"/>
        <w:gridCol w:w="2102"/>
      </w:tblGrid>
      <w:tr w:rsidR="00423E04">
        <w:tblPrEx>
          <w:tblCellMar>
            <w:top w:w="0" w:type="dxa"/>
            <w:bottom w:w="0" w:type="dxa"/>
          </w:tblCellMar>
        </w:tblPrEx>
        <w:trPr>
          <w:trHeight w:hRule="exact" w:val="312"/>
          <w:jc w:val="right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Druh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Odrůda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Licenční poplatek Kč/kg (kategorie osiva)</w:t>
            </w: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E04" w:rsidRDefault="00423E04"/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E04" w:rsidRDefault="00423E04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proofErr w:type="gramStart"/>
            <w:r>
              <w:t>SE</w:t>
            </w:r>
            <w:proofErr w:type="gramEnd"/>
            <w:r>
              <w:t>; 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proofErr w:type="gramStart"/>
            <w:r>
              <w:t>C1;C2</w:t>
            </w:r>
            <w:proofErr w:type="gramEnd"/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>Pšenice špalda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Rubiota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E04" w:rsidRDefault="00DC14FF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E04" w:rsidRDefault="00423E04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Pšenice </w:t>
            </w:r>
            <w:proofErr w:type="spellStart"/>
            <w:r>
              <w:t>dvouzmka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Rudico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E04" w:rsidRDefault="00423E04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E04" w:rsidRDefault="00423E04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Pšenice </w:t>
            </w:r>
            <w:proofErr w:type="spellStart"/>
            <w:r>
              <w:t>dvouzmka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Tapiruz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E04" w:rsidRDefault="00423E04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E04" w:rsidRDefault="00423E04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423E04">
        <w:tblPrEx>
          <w:tblCellMar>
            <w:top w:w="0" w:type="dxa"/>
            <w:bottom w:w="0" w:type="dxa"/>
          </w:tblCellMar>
        </w:tblPrEx>
        <w:trPr>
          <w:trHeight w:hRule="exact" w:val="307"/>
          <w:jc w:val="righ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Pšenice </w:t>
            </w:r>
            <w:proofErr w:type="spellStart"/>
            <w:r>
              <w:t>jednozmka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E04" w:rsidRDefault="00FB47BD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Rumona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E04" w:rsidRDefault="00423E04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E04" w:rsidRDefault="00423E04">
            <w:pPr>
              <w:pStyle w:val="Jin0"/>
              <w:shd w:val="clear" w:color="auto" w:fill="auto"/>
              <w:spacing w:after="0"/>
              <w:jc w:val="center"/>
            </w:pPr>
          </w:p>
        </w:tc>
      </w:tr>
    </w:tbl>
    <w:p w:rsidR="00423E04" w:rsidRDefault="00423E04">
      <w:pPr>
        <w:spacing w:after="246" w:line="14" w:lineRule="exact"/>
      </w:pPr>
    </w:p>
    <w:p w:rsidR="00423E04" w:rsidRDefault="00FB47BD">
      <w:pPr>
        <w:pStyle w:val="Zkladntext1"/>
        <w:shd w:val="clear" w:color="auto" w:fill="auto"/>
        <w:ind w:left="720"/>
      </w:pPr>
      <w:r>
        <w:t xml:space="preserve">bez DPH za každý prodaný nebo jinak zcizený kilogram osiva chráněné odrůdy nebo za každý kilogram osiva spotřebovaný pro vlastní účely nabyvatele. Nárok na zaplacení licenčního poplatku vzniká okamžikem </w:t>
      </w:r>
      <w:r>
        <w:t>prodeje, jiného zcizení, nebo využití pro vlastní účely nabyvatele.</w:t>
      </w:r>
    </w:p>
    <w:p w:rsidR="00423E04" w:rsidRDefault="00FB47BD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720" w:hanging="720"/>
      </w:pPr>
      <w:r>
        <w:t>Poplatek dle čl. 4.1 je splatný vždy za skončené kalendářní čtvrtletí, a to k30. dni prvního měsíce následujícího po kalendářním čtvrtletí, za které se poplatek platí.</w:t>
      </w:r>
    </w:p>
    <w:p w:rsidR="00423E04" w:rsidRDefault="00FB47BD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after="540"/>
        <w:ind w:left="720" w:hanging="720"/>
      </w:pPr>
      <w:r>
        <w:t>Nabyvatel je povinen</w:t>
      </w:r>
      <w:r>
        <w:t xml:space="preserve"> v termínu dle čl. 4.2 předložit poskytovateli informace v rozsahu nezbytném pro stanovení výše licenčních plateb za předcházející kalendářní čtvrtletí. Na písemnou výzvu poskytovatele je nabyvatel povinen ve lhůtě 14 dnů od doručení výzvy zpřístupnit posk</w:t>
      </w:r>
      <w:r>
        <w:t>ytovateli ke kontrole účetní a výrobní evidenci a další obchodní doklady týkající se množení a nakládání s osivem chráněné odrůdy, a to nejdéle za poslední 4 skončená kalendářní čtvrtletí. V případě, že nabyvatel nevyhoví výzvě k předložení evidence, je na</w:t>
      </w:r>
      <w:r>
        <w:t xml:space="preserve">byvatel povinen zaplatit poskytovateli smluvní pokutu ve výši 100 000,- Kč. V případě, že nabyvatel neuvede jakoukoliv část osiva chráněné odrůdy v přehledu dle tohoto článku, je nabyvatel povinen zaplatit poskytovateli smluvní pokutu ve výši 100 000,- Kč </w:t>
      </w:r>
      <w:r>
        <w:t>za každý jednotlivý případ takového porušení. Zaplacení smluvní pokuty nemá vliv na povinnost k náhradě škody.</w:t>
      </w:r>
    </w:p>
    <w:p w:rsidR="00423E04" w:rsidRDefault="00FB47BD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1" w:name="bookmark11"/>
      <w:r>
        <w:t>V.</w:t>
      </w:r>
      <w:bookmarkEnd w:id="11"/>
    </w:p>
    <w:p w:rsidR="00423E04" w:rsidRDefault="00FB47BD">
      <w:pPr>
        <w:pStyle w:val="Nadpis20"/>
        <w:keepNext/>
        <w:keepLines/>
        <w:shd w:val="clear" w:color="auto" w:fill="auto"/>
        <w:spacing w:after="260"/>
        <w:ind w:left="80"/>
      </w:pPr>
      <w:bookmarkStart w:id="12" w:name="bookmark12"/>
      <w:r>
        <w:t>Trvání licence</w:t>
      </w:r>
      <w:bookmarkEnd w:id="12"/>
    </w:p>
    <w:p w:rsidR="00423E04" w:rsidRDefault="00FB47BD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20" w:hanging="720"/>
      </w:pPr>
      <w:r>
        <w:t xml:space="preserve">Licence se uděluje na dobu neurčitou s výpovědní dobou 2 let. Výpovědní doba počíná běžet prvního dne kalendářního měsíce </w:t>
      </w:r>
      <w:r>
        <w:t>následujícího po měsíci, ve kterém byla výpověď doručena.</w:t>
      </w:r>
    </w:p>
    <w:p w:rsidR="00423E04" w:rsidRDefault="00FB47BD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spacing w:line="233" w:lineRule="auto"/>
        <w:ind w:left="720" w:hanging="720"/>
      </w:pPr>
      <w:r>
        <w:t>Poskytovatel je oprávněn od této smlouvy odstoupit v kterémkoliv z následujících případů:</w:t>
      </w:r>
    </w:p>
    <w:p w:rsidR="00423E04" w:rsidRDefault="00FB47BD">
      <w:pPr>
        <w:pStyle w:val="Zkladntext1"/>
        <w:numPr>
          <w:ilvl w:val="0"/>
          <w:numId w:val="7"/>
        </w:numPr>
        <w:shd w:val="clear" w:color="auto" w:fill="auto"/>
        <w:tabs>
          <w:tab w:val="left" w:pos="1421"/>
        </w:tabs>
        <w:ind w:left="720"/>
      </w:pPr>
      <w:r>
        <w:t>Nabyvatel je v prodlení s úhradou jakékoliv částky delším než 14 dnů.</w:t>
      </w:r>
    </w:p>
    <w:p w:rsidR="00423E04" w:rsidRDefault="00FB47BD">
      <w:pPr>
        <w:pStyle w:val="Zkladntext1"/>
        <w:numPr>
          <w:ilvl w:val="0"/>
          <w:numId w:val="7"/>
        </w:numPr>
        <w:shd w:val="clear" w:color="auto" w:fill="auto"/>
        <w:tabs>
          <w:tab w:val="left" w:pos="2277"/>
        </w:tabs>
        <w:ind w:left="2260" w:hanging="680"/>
        <w:jc w:val="left"/>
      </w:pPr>
      <w:r>
        <w:t xml:space="preserve">Nabyvatel je v prodlení s předložením </w:t>
      </w:r>
      <w:r>
        <w:t>přehledu dle čl. 4.3 této smlouvy delším než 14 dnů.</w:t>
      </w:r>
    </w:p>
    <w:p w:rsidR="00423E04" w:rsidRDefault="00FB47BD">
      <w:pPr>
        <w:pStyle w:val="Zkladntext1"/>
        <w:numPr>
          <w:ilvl w:val="0"/>
          <w:numId w:val="7"/>
        </w:numPr>
        <w:shd w:val="clear" w:color="auto" w:fill="auto"/>
        <w:tabs>
          <w:tab w:val="left" w:pos="2277"/>
        </w:tabs>
        <w:ind w:left="2260" w:hanging="680"/>
        <w:jc w:val="left"/>
      </w:pPr>
      <w:r>
        <w:t>Nabyvatel je v prodlení se zpřístupněním evidence dle čl. 4.3 této smlouvy delším než 14 dnů.</w:t>
      </w:r>
    </w:p>
    <w:p w:rsidR="00423E04" w:rsidRDefault="00FB47BD">
      <w:pPr>
        <w:pStyle w:val="Zkladntext1"/>
        <w:numPr>
          <w:ilvl w:val="0"/>
          <w:numId w:val="7"/>
        </w:numPr>
        <w:shd w:val="clear" w:color="auto" w:fill="auto"/>
        <w:tabs>
          <w:tab w:val="left" w:pos="2277"/>
        </w:tabs>
        <w:ind w:left="2260" w:hanging="680"/>
        <w:jc w:val="left"/>
      </w:pPr>
      <w:r>
        <w:lastRenderedPageBreak/>
        <w:t>Nabyvatel více než jednou uvedl nepravdivé nebo neúplné údaje v přehledu dle čl. 4.3 této smlouvy.</w:t>
      </w:r>
    </w:p>
    <w:p w:rsidR="00423E04" w:rsidRDefault="00FB47BD">
      <w:pPr>
        <w:pStyle w:val="Zkladntext1"/>
        <w:numPr>
          <w:ilvl w:val="0"/>
          <w:numId w:val="7"/>
        </w:numPr>
        <w:shd w:val="clear" w:color="auto" w:fill="auto"/>
        <w:tabs>
          <w:tab w:val="left" w:pos="2277"/>
        </w:tabs>
        <w:spacing w:after="560"/>
        <w:ind w:left="2260" w:hanging="680"/>
        <w:jc w:val="left"/>
      </w:pPr>
      <w:r>
        <w:t xml:space="preserve">Nabyvatel </w:t>
      </w:r>
      <w:r>
        <w:t>užil chráněnou odrůdu v rozporu s touto licenční smlouvou nebo jakkoliv překročil rozsah udělené licence.</w:t>
      </w:r>
    </w:p>
    <w:p w:rsidR="00423E04" w:rsidRDefault="00FB47BD">
      <w:pPr>
        <w:pStyle w:val="Nadpis20"/>
        <w:keepNext/>
        <w:keepLines/>
        <w:shd w:val="clear" w:color="auto" w:fill="auto"/>
        <w:ind w:left="5240"/>
        <w:jc w:val="left"/>
      </w:pPr>
      <w:bookmarkStart w:id="13" w:name="bookmark13"/>
      <w:r>
        <w:t>VI.</w:t>
      </w:r>
      <w:bookmarkEnd w:id="13"/>
    </w:p>
    <w:p w:rsidR="00423E04" w:rsidRDefault="00FB47BD">
      <w:pPr>
        <w:pStyle w:val="Nadpis20"/>
        <w:keepNext/>
        <w:keepLines/>
        <w:shd w:val="clear" w:color="auto" w:fill="auto"/>
        <w:spacing w:after="260"/>
        <w:ind w:left="4280"/>
        <w:jc w:val="left"/>
      </w:pPr>
      <w:bookmarkStart w:id="14" w:name="bookmark14"/>
      <w:r>
        <w:t>Závěrečná ustanovení</w:t>
      </w:r>
      <w:bookmarkEnd w:id="14"/>
    </w:p>
    <w:p w:rsidR="00423E04" w:rsidRDefault="00FB47BD">
      <w:pPr>
        <w:pStyle w:val="Zkladntext1"/>
        <w:numPr>
          <w:ilvl w:val="0"/>
          <w:numId w:val="8"/>
        </w:numPr>
        <w:shd w:val="clear" w:color="auto" w:fill="auto"/>
        <w:tabs>
          <w:tab w:val="left" w:pos="1582"/>
        </w:tabs>
        <w:ind w:left="1560" w:right="220" w:hanging="680"/>
      </w:pPr>
      <w:r>
        <w:t>Tato smlouva nabývá platnosti a účinnosti dnem jejího podpis poslední smluvní stranou. Přijetí této smlouvy kteroukoliv stran</w:t>
      </w:r>
      <w:r>
        <w:t>ou s výhradou, dodatkem nebo odchylkou, není přijetím smlouvy, ani pokud se podstatně nemění podmínky smlouvy.</w:t>
      </w:r>
    </w:p>
    <w:p w:rsidR="00423E04" w:rsidRDefault="00FB47BD">
      <w:pPr>
        <w:pStyle w:val="Zkladntext1"/>
        <w:numPr>
          <w:ilvl w:val="0"/>
          <w:numId w:val="8"/>
        </w:numPr>
        <w:shd w:val="clear" w:color="auto" w:fill="auto"/>
        <w:tabs>
          <w:tab w:val="left" w:pos="1582"/>
        </w:tabs>
        <w:ind w:left="1560" w:right="220" w:hanging="680"/>
      </w:pPr>
      <w:r>
        <w:t>Tato smlouva se řídí českým právním řádem. Případné spory z této smlouvy mají být rozhodovány obecnými soudy České republiky.</w:t>
      </w:r>
    </w:p>
    <w:p w:rsidR="00423E04" w:rsidRDefault="00FB47BD">
      <w:pPr>
        <w:pStyle w:val="Zkladntext1"/>
        <w:numPr>
          <w:ilvl w:val="0"/>
          <w:numId w:val="8"/>
        </w:numPr>
        <w:shd w:val="clear" w:color="auto" w:fill="auto"/>
        <w:tabs>
          <w:tab w:val="left" w:pos="1582"/>
        </w:tabs>
        <w:ind w:left="1560" w:hanging="680"/>
      </w:pPr>
      <w:r>
        <w:t>Strany sjednávají z</w:t>
      </w:r>
      <w:r>
        <w:t>ákaz postoupení smlouvy.</w:t>
      </w:r>
    </w:p>
    <w:p w:rsidR="00423E04" w:rsidRDefault="00FB47BD">
      <w:pPr>
        <w:pStyle w:val="Zkladntext1"/>
        <w:numPr>
          <w:ilvl w:val="0"/>
          <w:numId w:val="8"/>
        </w:numPr>
        <w:shd w:val="clear" w:color="auto" w:fill="auto"/>
        <w:tabs>
          <w:tab w:val="left" w:pos="1582"/>
        </w:tabs>
        <w:ind w:left="1560" w:hanging="680"/>
      </w:pPr>
      <w:r>
        <w:t>Nabyvatel nese nebezpečí změny okolností na své straně.</w:t>
      </w:r>
    </w:p>
    <w:p w:rsidR="00423E04" w:rsidRDefault="00FB47BD">
      <w:pPr>
        <w:pStyle w:val="Zkladntext1"/>
        <w:numPr>
          <w:ilvl w:val="0"/>
          <w:numId w:val="8"/>
        </w:numPr>
        <w:shd w:val="clear" w:color="auto" w:fill="auto"/>
        <w:tabs>
          <w:tab w:val="left" w:pos="1582"/>
        </w:tabs>
        <w:ind w:left="1560" w:right="220" w:hanging="680"/>
      </w:pPr>
      <w:r>
        <w:t xml:space="preserve">Tato smlouvaje úplným ujednáním o předmětu smlouvy a o všech náležitostech, které strany mínily smluvně upravit. Žádný projev stran při sjednávání této smlouvy a neobsažený v </w:t>
      </w:r>
      <w:r>
        <w:t>této nebo jiné písemné smlouvě nemá zakládat závazek kterékoliv ze stran.</w:t>
      </w:r>
    </w:p>
    <w:p w:rsidR="00423E04" w:rsidRDefault="00FB47BD">
      <w:pPr>
        <w:pStyle w:val="Zkladntext1"/>
        <w:numPr>
          <w:ilvl w:val="0"/>
          <w:numId w:val="8"/>
        </w:numPr>
        <w:shd w:val="clear" w:color="auto" w:fill="auto"/>
        <w:tabs>
          <w:tab w:val="left" w:pos="1582"/>
        </w:tabs>
        <w:ind w:left="1560" w:right="220" w:hanging="680"/>
      </w:pPr>
      <w:r>
        <w:t>Strany vylučují, aby vedle výslovných ustanovení smlouvy, byly práva a povinnosti dovozovány z dosavadní či budoucí praxe mezi stranami nebo ze zvyklostí ať obecných nebo odvětvových</w:t>
      </w:r>
      <w:r>
        <w:t>.</w:t>
      </w:r>
    </w:p>
    <w:p w:rsidR="00423E04" w:rsidRDefault="00FB47BD">
      <w:pPr>
        <w:pStyle w:val="Zkladntext1"/>
        <w:numPr>
          <w:ilvl w:val="0"/>
          <w:numId w:val="8"/>
        </w:numPr>
        <w:shd w:val="clear" w:color="auto" w:fill="auto"/>
        <w:tabs>
          <w:tab w:val="left" w:pos="1582"/>
        </w:tabs>
        <w:ind w:left="1560" w:right="220" w:hanging="680"/>
      </w:pPr>
      <w:r>
        <w:t xml:space="preserve">Nabyvatel potvrzuje, že je podnikatel a uzavírá tuto smlouvu v rámci svého podnikání. Na práva a povinnosti z této smlouvy se neužijí ustanovení §1793 a 1796 občanského zákoníku. Obě strany prohlašují, že práva a povinnosti přijaté touto smlouvou jsou a </w:t>
      </w:r>
      <w:r>
        <w:t>budou přiměřené jejich hospodářské situaci.</w:t>
      </w:r>
    </w:p>
    <w:p w:rsidR="00423E04" w:rsidRDefault="00FB47BD">
      <w:pPr>
        <w:pStyle w:val="Zkladntext1"/>
        <w:numPr>
          <w:ilvl w:val="0"/>
          <w:numId w:val="8"/>
        </w:numPr>
        <w:shd w:val="clear" w:color="auto" w:fill="auto"/>
        <w:tabs>
          <w:tab w:val="left" w:pos="1582"/>
        </w:tabs>
        <w:ind w:left="1560" w:right="220" w:hanging="68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</w:t>
      </w:r>
      <w:r>
        <w:t>lektronických zpráv.</w:t>
      </w:r>
    </w:p>
    <w:p w:rsidR="00423E04" w:rsidRDefault="00FB47BD">
      <w:pPr>
        <w:pStyle w:val="Zkladntext1"/>
        <w:numPr>
          <w:ilvl w:val="0"/>
          <w:numId w:val="8"/>
        </w:numPr>
        <w:shd w:val="clear" w:color="auto" w:fill="auto"/>
        <w:tabs>
          <w:tab w:val="left" w:pos="1582"/>
        </w:tabs>
        <w:ind w:left="1560" w:right="220" w:hanging="680"/>
        <w:sectPr w:rsidR="00423E04">
          <w:headerReference w:type="default" r:id="rId8"/>
          <w:footerReference w:type="default" r:id="rId9"/>
          <w:pgSz w:w="11900" w:h="16840"/>
          <w:pgMar w:top="1380" w:right="886" w:bottom="1526" w:left="828" w:header="0" w:footer="3" w:gutter="0"/>
          <w:pgNumType w:start="1"/>
          <w:cols w:space="720"/>
          <w:noEndnote/>
          <w:docGrid w:linePitch="360"/>
        </w:sectPr>
      </w:pPr>
      <w:r>
        <w:t xml:space="preserve">Tato smlouva zcela nahrazuje jakékoliv trvající licenční smlouvy mezi </w:t>
      </w:r>
      <w:r>
        <w:t>stranami týkající se odrůd, které jsou předmětem této smlouvy.</w:t>
      </w:r>
    </w:p>
    <w:p w:rsidR="00423E04" w:rsidRDefault="00FB47BD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63550" cy="49403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6355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04" w:rsidRDefault="00423E04">
      <w:pPr>
        <w:spacing w:after="526" w:line="14" w:lineRule="exact"/>
      </w:pPr>
    </w:p>
    <w:p w:rsidR="00423E04" w:rsidRDefault="00FB47BD">
      <w:pPr>
        <w:pStyle w:val="Zkladntext1"/>
        <w:numPr>
          <w:ilvl w:val="0"/>
          <w:numId w:val="8"/>
        </w:numPr>
        <w:shd w:val="clear" w:color="auto" w:fill="auto"/>
        <w:tabs>
          <w:tab w:val="left" w:pos="1626"/>
        </w:tabs>
        <w:spacing w:after="540"/>
        <w:ind w:left="1620" w:hanging="700"/>
        <w:jc w:val="left"/>
      </w:pPr>
      <w:r>
        <w:t>Tato smlouva je sepsána ve čtyřech vyhotoveních, přičemž každá smluvní strana obdrží dvě vyhotovení.</w:t>
      </w:r>
    </w:p>
    <w:p w:rsidR="00423E04" w:rsidRDefault="00FB47BD">
      <w:pPr>
        <w:pStyle w:val="Titulekobrzku0"/>
        <w:shd w:val="clear" w:color="auto" w:fill="auto"/>
        <w:tabs>
          <w:tab w:val="left" w:pos="4603"/>
        </w:tabs>
      </w:pPr>
      <w:r>
        <w:rPr>
          <w:rFonts w:ascii="Times New Roman" w:eastAsia="Times New Roman" w:hAnsi="Times New Roman" w:cs="Times New Roman"/>
        </w:rPr>
        <w:t xml:space="preserve">V Praze 2 </w:t>
      </w:r>
      <w:r>
        <w:t>0. 12 . 2019</w:t>
      </w:r>
      <w:r>
        <w:tab/>
      </w:r>
      <w:r>
        <w:rPr>
          <w:rFonts w:ascii="Times New Roman" w:eastAsia="Times New Roman" w:hAnsi="Times New Roman" w:cs="Times New Roman"/>
        </w:rPr>
        <w:t xml:space="preserve">V Praze </w:t>
      </w:r>
      <w:proofErr w:type="gramStart"/>
      <w:r>
        <w:rPr>
          <w:sz w:val="28"/>
          <w:szCs w:val="28"/>
        </w:rPr>
        <w:t xml:space="preserve">3 </w:t>
      </w:r>
      <w:r>
        <w:t>0.. 12</w:t>
      </w:r>
      <w:proofErr w:type="gramEnd"/>
      <w:r>
        <w:t>. 2019</w:t>
      </w:r>
    </w:p>
    <w:p w:rsidR="00423E04" w:rsidRDefault="00423E04">
      <w:pPr>
        <w:jc w:val="right"/>
        <w:rPr>
          <w:sz w:val="2"/>
          <w:szCs w:val="2"/>
        </w:rPr>
      </w:pPr>
      <w:bookmarkStart w:id="15" w:name="_GoBack"/>
      <w:bookmarkEnd w:id="15"/>
    </w:p>
    <w:p w:rsidR="00423E04" w:rsidRDefault="00423E04">
      <w:pPr>
        <w:spacing w:line="14" w:lineRule="exact"/>
      </w:pPr>
    </w:p>
    <w:sectPr w:rsidR="00423E04">
      <w:pgSz w:w="11900" w:h="16840"/>
      <w:pgMar w:top="154" w:right="1126" w:bottom="878" w:left="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BD" w:rsidRDefault="00FB47BD">
      <w:r>
        <w:separator/>
      </w:r>
    </w:p>
  </w:endnote>
  <w:endnote w:type="continuationSeparator" w:id="0">
    <w:p w:rsidR="00FB47BD" w:rsidRDefault="00F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04" w:rsidRDefault="00FB47B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5968365</wp:posOffset>
              </wp:positionH>
              <wp:positionV relativeFrom="page">
                <wp:posOffset>10148570</wp:posOffset>
              </wp:positionV>
              <wp:extent cx="66738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E04" w:rsidRDefault="00FB47B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12EE" w:rsidRPr="00B012EE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69.95pt;margin-top:799.1pt;width:52.5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" filled="f" stroked="f">
              <v:textbox style="mso-fit-shape-to-text:t" inset="0,0,0,0">
                <w:txbxContent>
                  <w:p w:rsidR="00423E04" w:rsidRDefault="00FB47B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12EE" w:rsidRPr="00B012EE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865505</wp:posOffset>
              </wp:positionH>
              <wp:positionV relativeFrom="page">
                <wp:posOffset>10081260</wp:posOffset>
              </wp:positionV>
              <wp:extent cx="57975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150000000000006pt;margin-top:793.79999999999995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BD" w:rsidRDefault="00FB47BD"/>
  </w:footnote>
  <w:footnote w:type="continuationSeparator" w:id="0">
    <w:p w:rsidR="00FB47BD" w:rsidRDefault="00FB47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04" w:rsidRDefault="00FB47B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458470</wp:posOffset>
              </wp:positionV>
              <wp:extent cx="96647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E04" w:rsidRDefault="00FB47B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Licenční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549999999999997pt;margin-top:36.100000000000001pt;width:76.099999999999994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Licenční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865505</wp:posOffset>
              </wp:positionH>
              <wp:positionV relativeFrom="page">
                <wp:posOffset>597535</wp:posOffset>
              </wp:positionV>
              <wp:extent cx="57975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150000000000006pt;margin-top:47.049999999999997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01B"/>
    <w:multiLevelType w:val="multilevel"/>
    <w:tmpl w:val="350A10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A1DB0"/>
    <w:multiLevelType w:val="multilevel"/>
    <w:tmpl w:val="252C6FB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04DF4"/>
    <w:multiLevelType w:val="multilevel"/>
    <w:tmpl w:val="AA2492F6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317DE"/>
    <w:multiLevelType w:val="multilevel"/>
    <w:tmpl w:val="C5EC9B0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11B79"/>
    <w:multiLevelType w:val="multilevel"/>
    <w:tmpl w:val="6D000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13883"/>
    <w:multiLevelType w:val="multilevel"/>
    <w:tmpl w:val="8C7628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AF206E"/>
    <w:multiLevelType w:val="multilevel"/>
    <w:tmpl w:val="BEBE15C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1544C3"/>
    <w:multiLevelType w:val="multilevel"/>
    <w:tmpl w:val="73F86A3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23E04"/>
    <w:rsid w:val="00221DF5"/>
    <w:rsid w:val="00423E04"/>
    <w:rsid w:val="00B012EE"/>
    <w:rsid w:val="00DC14FF"/>
    <w:rsid w:val="00FB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9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2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9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2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987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2020-01-17T10:57:00Z</dcterms:created>
  <dcterms:modified xsi:type="dcterms:W3CDTF">2020-01-17T10:59:00Z</dcterms:modified>
</cp:coreProperties>
</file>