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9A01" w14:textId="77777777" w:rsidR="00350C9F" w:rsidRPr="005C5901" w:rsidRDefault="00350C9F" w:rsidP="00515E06">
      <w:pPr>
        <w:rPr>
          <w:rFonts w:cs="Arial"/>
        </w:rPr>
      </w:pPr>
    </w:p>
    <w:p w14:paraId="7ED2CCA9" w14:textId="77777777" w:rsidR="0047017A" w:rsidRPr="00EB1AC2" w:rsidRDefault="00EB1AC2" w:rsidP="00515E06">
      <w:pPr>
        <w:jc w:val="center"/>
        <w:rPr>
          <w:rFonts w:cs="Arial"/>
          <w:b/>
          <w:sz w:val="28"/>
          <w:szCs w:val="28"/>
        </w:rPr>
      </w:pPr>
      <w:r w:rsidRPr="00EB1AC2">
        <w:rPr>
          <w:rFonts w:cs="Arial"/>
          <w:b/>
          <w:sz w:val="28"/>
          <w:szCs w:val="28"/>
        </w:rPr>
        <w:t>SMLOUVA O POSKYTNUTÍ OPRÁVNĚNÍ K UŽITÍ ZVUKOVĚ OBRAZOVÉHO ZÁZNAMU</w:t>
      </w:r>
    </w:p>
    <w:p w14:paraId="7802675A" w14:textId="77777777" w:rsidR="00CE6B6D" w:rsidRPr="005C5901" w:rsidRDefault="005D7D59" w:rsidP="00515E06">
      <w:pPr>
        <w:jc w:val="center"/>
        <w:rPr>
          <w:rFonts w:cs="Arial"/>
          <w:sz w:val="19"/>
          <w:szCs w:val="19"/>
        </w:rPr>
      </w:pPr>
      <w:r w:rsidRPr="005C5901">
        <w:rPr>
          <w:rFonts w:cs="Arial"/>
          <w:sz w:val="19"/>
          <w:szCs w:val="19"/>
        </w:rPr>
        <w:t xml:space="preserve">uzavřená </w:t>
      </w:r>
      <w:r w:rsidR="009E2A0B" w:rsidRPr="005C5901">
        <w:rPr>
          <w:rFonts w:cs="Arial"/>
          <w:sz w:val="19"/>
          <w:szCs w:val="19"/>
        </w:rPr>
        <w:t xml:space="preserve">podle § </w:t>
      </w:r>
      <w:r w:rsidR="00B25C77">
        <w:rPr>
          <w:rFonts w:cs="Arial"/>
          <w:sz w:val="19"/>
          <w:szCs w:val="19"/>
        </w:rPr>
        <w:t xml:space="preserve">2358 </w:t>
      </w:r>
      <w:r w:rsidR="009E2A0B" w:rsidRPr="005C5901">
        <w:rPr>
          <w:rFonts w:cs="Arial"/>
          <w:sz w:val="19"/>
          <w:szCs w:val="19"/>
        </w:rPr>
        <w:t>a násl. zákona č</w:t>
      </w:r>
      <w:r w:rsidRPr="005C5901">
        <w:rPr>
          <w:rFonts w:cs="Arial"/>
          <w:sz w:val="19"/>
          <w:szCs w:val="19"/>
        </w:rPr>
        <w:t>. 89/2012 Sb., občanský</w:t>
      </w:r>
    </w:p>
    <w:p w14:paraId="0F43E08F" w14:textId="77777777" w:rsidR="009E2A0B" w:rsidRPr="005C5901" w:rsidRDefault="005D7D59" w:rsidP="00515E06">
      <w:pPr>
        <w:spacing w:after="240"/>
        <w:jc w:val="center"/>
        <w:rPr>
          <w:rFonts w:cs="Arial"/>
          <w:sz w:val="19"/>
          <w:szCs w:val="19"/>
        </w:rPr>
      </w:pPr>
      <w:r w:rsidRPr="005C5901">
        <w:rPr>
          <w:rFonts w:cs="Arial"/>
          <w:sz w:val="19"/>
          <w:szCs w:val="19"/>
        </w:rPr>
        <w:t xml:space="preserve"> zákoník (dále jen „</w:t>
      </w:r>
      <w:r w:rsidRPr="005C5901">
        <w:rPr>
          <w:rFonts w:cs="Arial"/>
          <w:b/>
          <w:sz w:val="19"/>
          <w:szCs w:val="19"/>
        </w:rPr>
        <w:t>občanský zákoník</w:t>
      </w:r>
      <w:r w:rsidRPr="005C5901">
        <w:rPr>
          <w:rFonts w:cs="Arial"/>
          <w:sz w:val="19"/>
          <w:szCs w:val="19"/>
        </w:rPr>
        <w:t>“), mezi:</w:t>
      </w:r>
    </w:p>
    <w:p w14:paraId="3A0A80FA" w14:textId="77777777" w:rsidR="005D7D59" w:rsidRPr="005C5901" w:rsidRDefault="005D7D59" w:rsidP="00853CD0">
      <w:pPr>
        <w:tabs>
          <w:tab w:val="left" w:pos="1332"/>
        </w:tabs>
        <w:spacing w:before="480"/>
        <w:rPr>
          <w:rFonts w:cs="Arial"/>
          <w:sz w:val="22"/>
          <w:szCs w:val="22"/>
        </w:rPr>
      </w:pPr>
      <w:r w:rsidRPr="005C5901">
        <w:rPr>
          <w:rFonts w:cs="Arial"/>
          <w:b/>
          <w:sz w:val="22"/>
          <w:szCs w:val="22"/>
        </w:rPr>
        <w:t>Česká televize</w:t>
      </w:r>
    </w:p>
    <w:p w14:paraId="4002C50C" w14:textId="77777777" w:rsidR="005D7D59" w:rsidRPr="005C5901" w:rsidRDefault="005D7D59" w:rsidP="00853CD0">
      <w:pPr>
        <w:tabs>
          <w:tab w:val="left" w:pos="1332"/>
        </w:tabs>
        <w:rPr>
          <w:rFonts w:cs="Arial"/>
          <w:sz w:val="22"/>
          <w:szCs w:val="22"/>
        </w:rPr>
      </w:pPr>
      <w:r w:rsidRPr="005C5901">
        <w:rPr>
          <w:rFonts w:cs="Arial"/>
          <w:sz w:val="22"/>
          <w:szCs w:val="22"/>
        </w:rPr>
        <w:t>IČ</w:t>
      </w:r>
      <w:r w:rsidR="000D3939">
        <w:rPr>
          <w:rFonts w:cs="Arial"/>
          <w:sz w:val="22"/>
          <w:szCs w:val="22"/>
        </w:rPr>
        <w:t>O</w:t>
      </w:r>
      <w:r w:rsidRPr="005C5901">
        <w:rPr>
          <w:rFonts w:cs="Arial"/>
          <w:sz w:val="22"/>
          <w:szCs w:val="22"/>
        </w:rPr>
        <w:t>: 00027383, DIČ: CZ00027383</w:t>
      </w:r>
    </w:p>
    <w:p w14:paraId="454E291D" w14:textId="77777777" w:rsidR="005D7D59" w:rsidRPr="005C5901" w:rsidRDefault="008312E5" w:rsidP="00853CD0">
      <w:pPr>
        <w:tabs>
          <w:tab w:val="left" w:pos="1332"/>
        </w:tabs>
        <w:rPr>
          <w:rFonts w:cs="Arial"/>
          <w:sz w:val="22"/>
          <w:szCs w:val="22"/>
        </w:rPr>
      </w:pPr>
      <w:r>
        <w:rPr>
          <w:rFonts w:cs="Arial"/>
          <w:sz w:val="22"/>
          <w:szCs w:val="22"/>
        </w:rPr>
        <w:t xml:space="preserve">se sídlem: </w:t>
      </w:r>
      <w:r w:rsidR="005D7D59" w:rsidRPr="00904C13">
        <w:rPr>
          <w:rFonts w:cs="Arial"/>
          <w:sz w:val="22"/>
          <w:szCs w:val="22"/>
        </w:rPr>
        <w:t>Kavčí hory</w:t>
      </w:r>
      <w:r>
        <w:rPr>
          <w:rFonts w:cs="Arial"/>
          <w:sz w:val="22"/>
          <w:szCs w:val="22"/>
        </w:rPr>
        <w:t xml:space="preserve">, </w:t>
      </w:r>
      <w:r w:rsidR="00904C13" w:rsidRPr="00BC3B24">
        <w:rPr>
          <w:bCs/>
          <w:sz w:val="22"/>
          <w:szCs w:val="22"/>
        </w:rPr>
        <w:t>Na Hřebenech II 1132/4</w:t>
      </w:r>
      <w:r>
        <w:rPr>
          <w:bCs/>
          <w:sz w:val="22"/>
          <w:szCs w:val="22"/>
        </w:rPr>
        <w:t xml:space="preserve">, </w:t>
      </w:r>
      <w:r w:rsidR="005D7D59" w:rsidRPr="005C5901">
        <w:rPr>
          <w:rFonts w:cs="Arial"/>
          <w:sz w:val="22"/>
          <w:szCs w:val="22"/>
        </w:rPr>
        <w:t>140 70 Praha 4</w:t>
      </w:r>
    </w:p>
    <w:p w14:paraId="628C0983" w14:textId="77777777" w:rsidR="005D7D59" w:rsidRPr="005C5901" w:rsidRDefault="005D7D59" w:rsidP="00853CD0">
      <w:pPr>
        <w:tabs>
          <w:tab w:val="left" w:pos="1332"/>
        </w:tabs>
        <w:rPr>
          <w:rFonts w:cs="Arial"/>
          <w:sz w:val="22"/>
          <w:szCs w:val="22"/>
        </w:rPr>
      </w:pPr>
      <w:r w:rsidRPr="005C5901">
        <w:rPr>
          <w:rFonts w:cs="Arial"/>
          <w:sz w:val="22"/>
          <w:szCs w:val="22"/>
        </w:rPr>
        <w:t>zřízená zákonem č. 483/1991 Sb. o České televizi, nezapisuje se do obchodního rejstříku</w:t>
      </w:r>
    </w:p>
    <w:p w14:paraId="3155C779" w14:textId="77777777" w:rsidR="005D7D59" w:rsidRDefault="005348FD" w:rsidP="00853CD0">
      <w:pPr>
        <w:tabs>
          <w:tab w:val="left" w:pos="1332"/>
        </w:tabs>
        <w:rPr>
          <w:rFonts w:cs="Arial"/>
          <w:sz w:val="22"/>
          <w:szCs w:val="22"/>
        </w:rPr>
      </w:pPr>
      <w:r w:rsidRPr="005C5901">
        <w:rPr>
          <w:rFonts w:cs="Arial"/>
          <w:sz w:val="22"/>
          <w:szCs w:val="22"/>
        </w:rPr>
        <w:t>zastoupen</w:t>
      </w:r>
      <w:r>
        <w:rPr>
          <w:rFonts w:cs="Arial"/>
          <w:sz w:val="22"/>
          <w:szCs w:val="22"/>
        </w:rPr>
        <w:t>a</w:t>
      </w:r>
      <w:r w:rsidR="00B625F0">
        <w:rPr>
          <w:rFonts w:cs="Arial"/>
          <w:sz w:val="22"/>
          <w:szCs w:val="22"/>
        </w:rPr>
        <w:t>:</w:t>
      </w:r>
      <w:r w:rsidRPr="005C5901">
        <w:rPr>
          <w:rFonts w:cs="Arial"/>
          <w:sz w:val="22"/>
          <w:szCs w:val="22"/>
        </w:rPr>
        <w:t xml:space="preserve"> </w:t>
      </w:r>
      <w:r w:rsidR="00632DC1">
        <w:rPr>
          <w:rFonts w:cs="Arial"/>
          <w:sz w:val="22"/>
          <w:szCs w:val="22"/>
        </w:rPr>
        <w:t>Robertem Valicou, vedoucím Produkčních služeb</w:t>
      </w:r>
    </w:p>
    <w:p w14:paraId="42D2417A" w14:textId="58FBB6CA" w:rsidR="006149AE" w:rsidRDefault="005348FD" w:rsidP="00853CD0">
      <w:pPr>
        <w:tabs>
          <w:tab w:val="left" w:pos="1332"/>
        </w:tabs>
        <w:rPr>
          <w:rFonts w:cs="Arial"/>
          <w:sz w:val="22"/>
          <w:szCs w:val="22"/>
        </w:rPr>
      </w:pPr>
      <w:r>
        <w:rPr>
          <w:rFonts w:cs="Arial"/>
          <w:sz w:val="22"/>
          <w:szCs w:val="22"/>
        </w:rPr>
        <w:t>b</w:t>
      </w:r>
      <w:r w:rsidR="006149AE">
        <w:rPr>
          <w:rFonts w:cs="Arial"/>
          <w:sz w:val="22"/>
          <w:szCs w:val="22"/>
        </w:rPr>
        <w:t xml:space="preserve">ankovní spojení: </w:t>
      </w:r>
      <w:r w:rsidR="00A72707">
        <w:rPr>
          <w:rFonts w:cs="Arial"/>
          <w:sz w:val="22"/>
          <w:szCs w:val="22"/>
        </w:rPr>
        <w:t>xxxxxxxxxxxxxxxxx</w:t>
      </w:r>
    </w:p>
    <w:p w14:paraId="1726BAF7" w14:textId="61337905" w:rsidR="006149AE" w:rsidRDefault="005348FD" w:rsidP="00B07B73">
      <w:pPr>
        <w:tabs>
          <w:tab w:val="left" w:pos="1332"/>
        </w:tabs>
        <w:spacing w:after="240"/>
        <w:rPr>
          <w:rFonts w:cs="Arial"/>
          <w:sz w:val="22"/>
          <w:szCs w:val="22"/>
        </w:rPr>
      </w:pPr>
      <w:r>
        <w:rPr>
          <w:rFonts w:cs="Arial"/>
          <w:sz w:val="22"/>
          <w:szCs w:val="22"/>
        </w:rPr>
        <w:t>č</w:t>
      </w:r>
      <w:r w:rsidR="006149AE">
        <w:rPr>
          <w:rFonts w:cs="Arial"/>
          <w:sz w:val="22"/>
          <w:szCs w:val="22"/>
        </w:rPr>
        <w:t xml:space="preserve">íslo účtu: </w:t>
      </w:r>
      <w:r w:rsidR="00A72707">
        <w:rPr>
          <w:rFonts w:cs="Arial"/>
          <w:sz w:val="22"/>
          <w:szCs w:val="22"/>
        </w:rPr>
        <w:t>xxxxxxxxxxxxxxxxx</w:t>
      </w:r>
    </w:p>
    <w:p w14:paraId="43DF60CF" w14:textId="77777777" w:rsidR="005D7D59" w:rsidRPr="005C5901" w:rsidRDefault="00632DC1" w:rsidP="00515E06">
      <w:pPr>
        <w:spacing w:after="240"/>
        <w:rPr>
          <w:rFonts w:cs="Arial"/>
          <w:sz w:val="22"/>
          <w:szCs w:val="22"/>
        </w:rPr>
      </w:pPr>
      <w:r w:rsidRPr="005C5901">
        <w:rPr>
          <w:rFonts w:cs="Arial"/>
          <w:sz w:val="22"/>
          <w:szCs w:val="22"/>
        </w:rPr>
        <w:t xml:space="preserve"> </w:t>
      </w:r>
      <w:r w:rsidR="005D7D59" w:rsidRPr="005C5901">
        <w:rPr>
          <w:rFonts w:cs="Arial"/>
          <w:sz w:val="22"/>
          <w:szCs w:val="22"/>
        </w:rPr>
        <w:t xml:space="preserve">(dále jen </w:t>
      </w:r>
      <w:r w:rsidR="005D7D59" w:rsidRPr="00024E32">
        <w:rPr>
          <w:rFonts w:cs="Arial"/>
          <w:sz w:val="22"/>
          <w:szCs w:val="22"/>
        </w:rPr>
        <w:t>„</w:t>
      </w:r>
      <w:r w:rsidR="00024E32" w:rsidRPr="00EB1AC2">
        <w:rPr>
          <w:rFonts w:cs="Arial"/>
          <w:b/>
          <w:sz w:val="22"/>
          <w:szCs w:val="22"/>
        </w:rPr>
        <w:t>ČT</w:t>
      </w:r>
      <w:r w:rsidR="005D7D59" w:rsidRPr="00024E32">
        <w:rPr>
          <w:rFonts w:cs="Arial"/>
          <w:sz w:val="22"/>
          <w:szCs w:val="22"/>
        </w:rPr>
        <w:t>“)</w:t>
      </w:r>
    </w:p>
    <w:p w14:paraId="6B91BF30" w14:textId="77777777" w:rsidR="00632DC1" w:rsidRPr="005C5901" w:rsidRDefault="008312E5" w:rsidP="00853CD0">
      <w:pPr>
        <w:tabs>
          <w:tab w:val="left" w:pos="1332"/>
        </w:tabs>
        <w:spacing w:after="240"/>
        <w:rPr>
          <w:rFonts w:cs="Arial"/>
          <w:sz w:val="22"/>
          <w:szCs w:val="22"/>
        </w:rPr>
      </w:pPr>
      <w:r>
        <w:rPr>
          <w:rFonts w:cs="Arial"/>
          <w:sz w:val="22"/>
          <w:szCs w:val="22"/>
        </w:rPr>
        <w:t>a</w:t>
      </w:r>
    </w:p>
    <w:p w14:paraId="5160740C" w14:textId="1C392F35" w:rsidR="00A05100" w:rsidRPr="008312E5" w:rsidRDefault="00F42AFF" w:rsidP="00853CD0">
      <w:pPr>
        <w:tabs>
          <w:tab w:val="left" w:pos="1332"/>
        </w:tabs>
        <w:rPr>
          <w:rFonts w:cs="Arial"/>
          <w:b/>
          <w:bCs/>
          <w:sz w:val="22"/>
          <w:szCs w:val="20"/>
        </w:rPr>
      </w:pPr>
      <w:r>
        <w:rPr>
          <w:rFonts w:cs="Arial"/>
          <w:b/>
          <w:bCs/>
          <w:sz w:val="22"/>
          <w:szCs w:val="20"/>
        </w:rPr>
        <w:t>Národní muzeum</w:t>
      </w:r>
    </w:p>
    <w:p w14:paraId="7C50C181" w14:textId="55533153" w:rsidR="00632DC1" w:rsidRPr="008312E5" w:rsidRDefault="00C10A33" w:rsidP="00853CD0">
      <w:pPr>
        <w:tabs>
          <w:tab w:val="left" w:pos="1332"/>
        </w:tabs>
        <w:rPr>
          <w:rFonts w:cs="Arial"/>
          <w:sz w:val="22"/>
          <w:szCs w:val="22"/>
        </w:rPr>
      </w:pPr>
      <w:r w:rsidRPr="008312E5">
        <w:rPr>
          <w:rFonts w:cs="Arial"/>
          <w:color w:val="000000"/>
          <w:sz w:val="22"/>
          <w:szCs w:val="22"/>
        </w:rPr>
        <w:t>IČ</w:t>
      </w:r>
      <w:r w:rsidR="000D3939" w:rsidRPr="008312E5">
        <w:rPr>
          <w:rFonts w:cs="Arial"/>
          <w:color w:val="000000"/>
          <w:sz w:val="22"/>
          <w:szCs w:val="22"/>
        </w:rPr>
        <w:t>O</w:t>
      </w:r>
      <w:r w:rsidRPr="008312E5">
        <w:rPr>
          <w:rFonts w:cs="Arial"/>
          <w:color w:val="000000"/>
          <w:sz w:val="22"/>
          <w:szCs w:val="22"/>
        </w:rPr>
        <w:t>:</w:t>
      </w:r>
      <w:r w:rsidR="00F42AFF">
        <w:rPr>
          <w:rFonts w:cs="Arial"/>
          <w:sz w:val="22"/>
          <w:szCs w:val="22"/>
        </w:rPr>
        <w:t xml:space="preserve"> 00023272,</w:t>
      </w:r>
      <w:r w:rsidR="005348FD" w:rsidRPr="008312E5">
        <w:rPr>
          <w:rFonts w:cs="Arial"/>
          <w:sz w:val="22"/>
          <w:szCs w:val="22"/>
        </w:rPr>
        <w:t xml:space="preserve"> </w:t>
      </w:r>
      <w:r w:rsidR="00F42AFF">
        <w:rPr>
          <w:rFonts w:cs="Arial"/>
          <w:sz w:val="22"/>
          <w:szCs w:val="22"/>
        </w:rPr>
        <w:t>DIČ: CZ00023272</w:t>
      </w:r>
    </w:p>
    <w:p w14:paraId="411C6734" w14:textId="73981B1C" w:rsidR="00632DC1" w:rsidRPr="008312E5" w:rsidRDefault="005348FD" w:rsidP="00A05100">
      <w:pPr>
        <w:autoSpaceDE w:val="0"/>
        <w:autoSpaceDN w:val="0"/>
        <w:adjustRightInd w:val="0"/>
        <w:rPr>
          <w:rFonts w:cs="Arial"/>
          <w:bCs/>
          <w:sz w:val="22"/>
          <w:szCs w:val="22"/>
        </w:rPr>
      </w:pPr>
      <w:r w:rsidRPr="008312E5">
        <w:rPr>
          <w:rFonts w:cs="Arial"/>
          <w:sz w:val="22"/>
          <w:szCs w:val="22"/>
        </w:rPr>
        <w:t>se sídlem</w:t>
      </w:r>
      <w:r w:rsidR="00632DC1" w:rsidRPr="008312E5">
        <w:rPr>
          <w:rFonts w:cs="Arial"/>
          <w:sz w:val="22"/>
          <w:szCs w:val="22"/>
        </w:rPr>
        <w:t xml:space="preserve">: </w:t>
      </w:r>
      <w:r w:rsidR="00F42AFF">
        <w:rPr>
          <w:rFonts w:cs="Arial"/>
          <w:bCs/>
          <w:sz w:val="22"/>
          <w:szCs w:val="22"/>
        </w:rPr>
        <w:t>Václavské náměstí 1700/68, 110 00 Praha 1</w:t>
      </w:r>
    </w:p>
    <w:p w14:paraId="79AFFABF" w14:textId="2D54F8D5" w:rsidR="00292028" w:rsidRPr="008312E5" w:rsidRDefault="00292028" w:rsidP="00A05100">
      <w:pPr>
        <w:autoSpaceDE w:val="0"/>
        <w:autoSpaceDN w:val="0"/>
        <w:adjustRightInd w:val="0"/>
        <w:rPr>
          <w:rFonts w:cs="Arial"/>
          <w:bCs/>
          <w:sz w:val="22"/>
          <w:szCs w:val="22"/>
        </w:rPr>
      </w:pPr>
      <w:r w:rsidRPr="008312E5">
        <w:rPr>
          <w:sz w:val="22"/>
          <w:szCs w:val="22"/>
        </w:rPr>
        <w:t xml:space="preserve">zapsána: </w:t>
      </w:r>
      <w:r w:rsidR="00F42AFF">
        <w:rPr>
          <w:sz w:val="22"/>
          <w:szCs w:val="22"/>
        </w:rPr>
        <w:t>Ministerstvem kultury České republiky</w:t>
      </w:r>
    </w:p>
    <w:p w14:paraId="6F336ED0" w14:textId="5A6AA6C9" w:rsidR="00632DC1" w:rsidRPr="008312E5" w:rsidRDefault="00BC2D7D" w:rsidP="00853CD0">
      <w:pPr>
        <w:tabs>
          <w:tab w:val="left" w:pos="1332"/>
        </w:tabs>
        <w:rPr>
          <w:rFonts w:cs="Arial"/>
          <w:sz w:val="22"/>
          <w:szCs w:val="22"/>
        </w:rPr>
      </w:pPr>
      <w:r w:rsidRPr="008312E5">
        <w:rPr>
          <w:rFonts w:cs="Arial"/>
          <w:sz w:val="22"/>
          <w:szCs w:val="22"/>
        </w:rPr>
        <w:t>zastoupen</w:t>
      </w:r>
      <w:r w:rsidR="005348FD" w:rsidRPr="008312E5">
        <w:rPr>
          <w:rFonts w:cs="Arial"/>
          <w:sz w:val="22"/>
          <w:szCs w:val="22"/>
        </w:rPr>
        <w:t>a</w:t>
      </w:r>
      <w:r w:rsidRPr="008312E5">
        <w:rPr>
          <w:rFonts w:cs="Arial"/>
          <w:sz w:val="22"/>
          <w:szCs w:val="22"/>
        </w:rPr>
        <w:t>:</w:t>
      </w:r>
      <w:r w:rsidR="00F42AFF">
        <w:rPr>
          <w:rFonts w:cs="Arial"/>
          <w:sz w:val="22"/>
          <w:szCs w:val="22"/>
        </w:rPr>
        <w:t xml:space="preserve"> Mgr. Markem Junkem, Ph.D., ředitelem Historického muzea</w:t>
      </w:r>
    </w:p>
    <w:p w14:paraId="232F2477" w14:textId="0D5D6B44" w:rsidR="005348FD" w:rsidRPr="008312E5" w:rsidRDefault="005348FD" w:rsidP="00853CD0">
      <w:pPr>
        <w:tabs>
          <w:tab w:val="left" w:pos="1332"/>
        </w:tabs>
        <w:rPr>
          <w:rFonts w:cs="Arial"/>
          <w:sz w:val="22"/>
          <w:szCs w:val="22"/>
          <w:highlight w:val="yellow"/>
        </w:rPr>
      </w:pPr>
      <w:r w:rsidRPr="008312E5">
        <w:rPr>
          <w:rFonts w:cs="Arial"/>
          <w:sz w:val="22"/>
          <w:szCs w:val="22"/>
        </w:rPr>
        <w:t>bankovní spojení</w:t>
      </w:r>
      <w:r w:rsidR="00F42AFF" w:rsidRPr="00321B2E">
        <w:rPr>
          <w:rFonts w:cs="Arial"/>
          <w:sz w:val="22"/>
          <w:szCs w:val="22"/>
        </w:rPr>
        <w:t xml:space="preserve">: </w:t>
      </w:r>
      <w:r w:rsidR="00A72707">
        <w:rPr>
          <w:rFonts w:cs="Arial"/>
          <w:sz w:val="22"/>
          <w:szCs w:val="22"/>
        </w:rPr>
        <w:t>xxxxxxxxxxxx</w:t>
      </w:r>
    </w:p>
    <w:p w14:paraId="6296A94B" w14:textId="246C23AF" w:rsidR="00F42AFF" w:rsidRPr="00321B2E" w:rsidRDefault="00C10A33" w:rsidP="00853CD0">
      <w:pPr>
        <w:tabs>
          <w:tab w:val="left" w:pos="1332"/>
        </w:tabs>
        <w:spacing w:after="240"/>
        <w:rPr>
          <w:rFonts w:cs="Arial"/>
          <w:sz w:val="22"/>
          <w:szCs w:val="22"/>
        </w:rPr>
      </w:pPr>
      <w:r w:rsidRPr="00321B2E">
        <w:rPr>
          <w:rFonts w:cs="Arial"/>
          <w:sz w:val="22"/>
          <w:szCs w:val="22"/>
        </w:rPr>
        <w:t>č</w:t>
      </w:r>
      <w:r w:rsidR="005348FD" w:rsidRPr="00321B2E">
        <w:rPr>
          <w:rFonts w:cs="Arial"/>
          <w:sz w:val="22"/>
          <w:szCs w:val="22"/>
        </w:rPr>
        <w:t>íslo účtu:</w:t>
      </w:r>
      <w:r w:rsidRPr="00321B2E">
        <w:rPr>
          <w:rFonts w:cs="Arial"/>
          <w:sz w:val="22"/>
          <w:szCs w:val="22"/>
        </w:rPr>
        <w:t xml:space="preserve"> </w:t>
      </w:r>
      <w:r w:rsidR="00A72707">
        <w:rPr>
          <w:rFonts w:cs="Arial"/>
          <w:sz w:val="22"/>
          <w:szCs w:val="22"/>
        </w:rPr>
        <w:t>xxxxxxxxxxxxxxxxxxxxx</w:t>
      </w:r>
      <w:bookmarkStart w:id="0" w:name="_GoBack"/>
      <w:bookmarkEnd w:id="0"/>
    </w:p>
    <w:p w14:paraId="4207B59E" w14:textId="77777777" w:rsidR="009E2A0B" w:rsidRPr="005C5901" w:rsidRDefault="009E2A0B" w:rsidP="00853CD0">
      <w:pPr>
        <w:tabs>
          <w:tab w:val="left" w:pos="1332"/>
        </w:tabs>
        <w:spacing w:after="240"/>
        <w:rPr>
          <w:rFonts w:cs="Arial"/>
          <w:sz w:val="22"/>
          <w:szCs w:val="22"/>
        </w:rPr>
      </w:pPr>
      <w:r w:rsidRPr="00024E32">
        <w:rPr>
          <w:rFonts w:cs="Arial"/>
          <w:sz w:val="22"/>
          <w:szCs w:val="22"/>
        </w:rPr>
        <w:t>(dále jen „</w:t>
      </w:r>
      <w:r w:rsidR="00024E32" w:rsidRPr="00EB1AC2">
        <w:rPr>
          <w:rFonts w:cs="Arial"/>
          <w:b/>
          <w:sz w:val="22"/>
          <w:szCs w:val="22"/>
        </w:rPr>
        <w:t>nabyvatel</w:t>
      </w:r>
      <w:r w:rsidRPr="00024E32">
        <w:rPr>
          <w:rFonts w:cs="Arial"/>
          <w:sz w:val="22"/>
          <w:szCs w:val="22"/>
        </w:rPr>
        <w:t>“)</w:t>
      </w:r>
      <w:r w:rsidR="005D7D59" w:rsidRPr="003936E5">
        <w:rPr>
          <w:rFonts w:cs="Arial"/>
          <w:sz w:val="22"/>
          <w:szCs w:val="22"/>
        </w:rPr>
        <w:t>;</w:t>
      </w:r>
    </w:p>
    <w:p w14:paraId="3CCF5533" w14:textId="77777777" w:rsidR="002E6FC7" w:rsidRDefault="003936E5" w:rsidP="00515E06">
      <w:pPr>
        <w:spacing w:after="240"/>
        <w:jc w:val="both"/>
        <w:rPr>
          <w:rFonts w:cs="Arial"/>
          <w:sz w:val="22"/>
          <w:szCs w:val="22"/>
        </w:rPr>
      </w:pPr>
      <w:r w:rsidRPr="00632DC1">
        <w:rPr>
          <w:rFonts w:cs="Arial"/>
          <w:sz w:val="22"/>
          <w:szCs w:val="22"/>
        </w:rPr>
        <w:t>ČT</w:t>
      </w:r>
      <w:r w:rsidR="001251CB">
        <w:rPr>
          <w:rFonts w:ascii="Calibri" w:hAnsi="Calibri" w:cs="Arial"/>
          <w:sz w:val="22"/>
          <w:szCs w:val="22"/>
        </w:rPr>
        <w:t xml:space="preserve"> </w:t>
      </w:r>
      <w:r w:rsidR="005D7D59" w:rsidRPr="005C5901">
        <w:rPr>
          <w:rFonts w:cs="Arial"/>
          <w:sz w:val="22"/>
          <w:szCs w:val="22"/>
        </w:rPr>
        <w:t xml:space="preserve">a </w:t>
      </w:r>
      <w:r w:rsidR="00862D44">
        <w:rPr>
          <w:rFonts w:cs="Arial"/>
          <w:sz w:val="22"/>
          <w:szCs w:val="22"/>
        </w:rPr>
        <w:t>Národní muzeum</w:t>
      </w:r>
      <w:r w:rsidR="001251CB">
        <w:rPr>
          <w:rFonts w:ascii="Calibri" w:hAnsi="Calibri" w:cs="Arial"/>
          <w:sz w:val="22"/>
          <w:szCs w:val="22"/>
        </w:rPr>
        <w:t xml:space="preserve"> </w:t>
      </w:r>
      <w:r w:rsidR="00335D8E">
        <w:rPr>
          <w:rFonts w:cs="Arial"/>
          <w:sz w:val="22"/>
          <w:szCs w:val="22"/>
        </w:rPr>
        <w:t xml:space="preserve">se </w:t>
      </w:r>
      <w:r w:rsidR="005D7D59" w:rsidRPr="005C5901">
        <w:rPr>
          <w:rFonts w:cs="Arial"/>
          <w:sz w:val="22"/>
          <w:szCs w:val="22"/>
        </w:rPr>
        <w:t xml:space="preserve">dále společně </w:t>
      </w:r>
      <w:r w:rsidR="00335D8E">
        <w:rPr>
          <w:rFonts w:cs="Arial"/>
          <w:sz w:val="22"/>
          <w:szCs w:val="22"/>
        </w:rPr>
        <w:t xml:space="preserve">označují </w:t>
      </w:r>
      <w:r w:rsidR="005D7D59" w:rsidRPr="005C5901">
        <w:rPr>
          <w:rFonts w:cs="Arial"/>
          <w:sz w:val="22"/>
          <w:szCs w:val="22"/>
        </w:rPr>
        <w:t>také jako „</w:t>
      </w:r>
      <w:r w:rsidR="007514ED" w:rsidRPr="007514ED">
        <w:rPr>
          <w:rFonts w:cs="Arial"/>
          <w:b/>
          <w:sz w:val="22"/>
          <w:szCs w:val="22"/>
        </w:rPr>
        <w:t>smluvní</w:t>
      </w:r>
      <w:r w:rsidR="007514ED">
        <w:rPr>
          <w:rFonts w:cs="Arial"/>
          <w:sz w:val="22"/>
          <w:szCs w:val="22"/>
        </w:rPr>
        <w:t xml:space="preserve"> </w:t>
      </w:r>
      <w:r w:rsidR="005D7D59" w:rsidRPr="005C5901">
        <w:rPr>
          <w:rFonts w:cs="Arial"/>
          <w:b/>
          <w:sz w:val="22"/>
          <w:szCs w:val="22"/>
        </w:rPr>
        <w:t>strany</w:t>
      </w:r>
      <w:r w:rsidR="005D7D59" w:rsidRPr="005C5901">
        <w:rPr>
          <w:rFonts w:cs="Arial"/>
          <w:sz w:val="22"/>
          <w:szCs w:val="22"/>
        </w:rPr>
        <w:t>“ či jednotlivě jako</w:t>
      </w:r>
      <w:r w:rsidR="001251CB">
        <w:rPr>
          <w:rFonts w:cs="Arial"/>
          <w:sz w:val="22"/>
          <w:szCs w:val="22"/>
        </w:rPr>
        <w:t xml:space="preserve"> </w:t>
      </w:r>
      <w:r w:rsidR="005D7D59" w:rsidRPr="005C5901">
        <w:rPr>
          <w:rFonts w:cs="Arial"/>
          <w:sz w:val="22"/>
          <w:szCs w:val="22"/>
        </w:rPr>
        <w:t>„</w:t>
      </w:r>
      <w:r w:rsidR="005D7D59" w:rsidRPr="005C5901">
        <w:rPr>
          <w:rFonts w:cs="Arial"/>
          <w:b/>
          <w:sz w:val="22"/>
          <w:szCs w:val="22"/>
        </w:rPr>
        <w:t>s</w:t>
      </w:r>
      <w:r w:rsidR="007514ED">
        <w:rPr>
          <w:rFonts w:cs="Arial"/>
          <w:b/>
          <w:sz w:val="22"/>
          <w:szCs w:val="22"/>
        </w:rPr>
        <w:t>mluvní s</w:t>
      </w:r>
      <w:r w:rsidR="005D7D59" w:rsidRPr="005C5901">
        <w:rPr>
          <w:rFonts w:cs="Arial"/>
          <w:b/>
          <w:sz w:val="22"/>
          <w:szCs w:val="22"/>
        </w:rPr>
        <w:t>trana</w:t>
      </w:r>
      <w:r w:rsidR="005D7D59" w:rsidRPr="005C5901">
        <w:rPr>
          <w:rFonts w:cs="Arial"/>
          <w:sz w:val="22"/>
          <w:szCs w:val="22"/>
        </w:rPr>
        <w:t>“.</w:t>
      </w:r>
    </w:p>
    <w:p w14:paraId="79046775" w14:textId="77777777" w:rsidR="009E2A0B" w:rsidRPr="001419D5" w:rsidRDefault="00641094">
      <w:pPr>
        <w:pStyle w:val="Nadpis1"/>
      </w:pPr>
      <w:r>
        <w:t>Předmět smlouvy</w:t>
      </w:r>
    </w:p>
    <w:p w14:paraId="3901DCDB" w14:textId="77777777" w:rsidR="00641094" w:rsidRDefault="00B25C77">
      <w:pPr>
        <w:pStyle w:val="Odstavec1"/>
      </w:pPr>
      <w:r w:rsidRPr="004A2CAE">
        <w:t xml:space="preserve">Předmětem této smlouvy je poskytnutí </w:t>
      </w:r>
      <w:r>
        <w:t xml:space="preserve">nevýhradního oprávnění v rozsahu práv výrobce </w:t>
      </w:r>
      <w:r w:rsidRPr="00A234CA">
        <w:t>ČT jako výrobce</w:t>
      </w:r>
      <w:r>
        <w:t>m</w:t>
      </w:r>
      <w:r w:rsidRPr="00A234CA">
        <w:t xml:space="preserve"> zvukově obrazového záznamu</w:t>
      </w:r>
      <w:r w:rsidRPr="004A2CAE">
        <w:t xml:space="preserve"> </w:t>
      </w:r>
      <w:r>
        <w:t xml:space="preserve">nabyvateli </w:t>
      </w:r>
      <w:r w:rsidRPr="004A2CAE">
        <w:t xml:space="preserve">k užití zvukového </w:t>
      </w:r>
      <w:r>
        <w:t xml:space="preserve">obrazového </w:t>
      </w:r>
      <w:r w:rsidRPr="004A2CAE">
        <w:t xml:space="preserve">záznamu (dále jen </w:t>
      </w:r>
      <w:r>
        <w:t>„šot“</w:t>
      </w:r>
      <w:r w:rsidRPr="004A2CAE">
        <w:t>) s</w:t>
      </w:r>
      <w:r w:rsidR="00B279EB">
        <w:t> </w:t>
      </w:r>
      <w:r w:rsidRPr="004A2CAE">
        <w:t>názvem</w:t>
      </w:r>
      <w:r w:rsidR="00B279EB">
        <w:t xml:space="preserve"> „archivní materiály </w:t>
      </w:r>
      <w:r w:rsidR="00D63584">
        <w:t>z listopadu a prosince 1989</w:t>
      </w:r>
      <w:r w:rsidRPr="004A2CAE">
        <w:rPr>
          <w:bCs/>
        </w:rPr>
        <w:t>“</w:t>
      </w:r>
      <w:r w:rsidRPr="00B25C77">
        <w:rPr>
          <w:bCs/>
        </w:rPr>
        <w:t>, a to</w:t>
      </w:r>
      <w:r>
        <w:rPr>
          <w:bCs/>
        </w:rPr>
        <w:t xml:space="preserve"> za účelem zařazení šotu do </w:t>
      </w:r>
      <w:r>
        <w:t>audiovizuálního díla nabyvatele</w:t>
      </w:r>
      <w:r w:rsidRPr="00A234CA">
        <w:t xml:space="preserve"> </w:t>
      </w:r>
      <w:r w:rsidR="00991536">
        <w:t xml:space="preserve">uvedeného v odst. 2.1 písm. a) (dále jen „AVD“) </w:t>
      </w:r>
      <w:r w:rsidRPr="00A234CA">
        <w:t xml:space="preserve">a k jeho užití při užití AVD </w:t>
      </w:r>
      <w:r>
        <w:t>za podmínek stanovených v čl. 2.</w:t>
      </w:r>
    </w:p>
    <w:p w14:paraId="17828006" w14:textId="77777777" w:rsidR="00CE6B6D" w:rsidRPr="00F51196" w:rsidRDefault="00B25C77">
      <w:pPr>
        <w:pStyle w:val="Nadpis1"/>
      </w:pPr>
      <w:r>
        <w:t>LICENCE</w:t>
      </w:r>
      <w:r w:rsidR="00D16200">
        <w:t>, PŘEDÁNÍ ŠOTU</w:t>
      </w:r>
    </w:p>
    <w:p w14:paraId="04761E15" w14:textId="77777777" w:rsidR="009E2A0B" w:rsidRPr="001419D5" w:rsidRDefault="00B25C77">
      <w:pPr>
        <w:pStyle w:val="Odstavec1"/>
        <w:rPr>
          <w:color w:val="000000"/>
          <w:shd w:val="clear" w:color="auto" w:fill="FFFFFF"/>
        </w:rPr>
      </w:pPr>
      <w:r>
        <w:t>Rozsah oprávnění k užití šotu nabyvatelem:</w:t>
      </w:r>
    </w:p>
    <w:p w14:paraId="426CAC13" w14:textId="4C7A2179" w:rsidR="001251CB" w:rsidRPr="001251CB" w:rsidRDefault="00735414">
      <w:pPr>
        <w:pStyle w:val="Odrka1"/>
      </w:pPr>
      <w:r>
        <w:t>název</w:t>
      </w:r>
      <w:r w:rsidR="00B25C77">
        <w:t xml:space="preserve"> </w:t>
      </w:r>
      <w:r w:rsidR="00B25C77" w:rsidRPr="00321B2E">
        <w:t xml:space="preserve">AVD: </w:t>
      </w:r>
      <w:r w:rsidR="000D09D4">
        <w:rPr>
          <w:bCs/>
        </w:rPr>
        <w:t>Sametová revoluce - 1989</w:t>
      </w:r>
    </w:p>
    <w:p w14:paraId="5E122154" w14:textId="77777777" w:rsidR="009E2A0B" w:rsidRPr="001419D5" w:rsidRDefault="00735414">
      <w:pPr>
        <w:pStyle w:val="Odrka1"/>
      </w:pPr>
      <w:r>
        <w:t xml:space="preserve">údaje o šotu: </w:t>
      </w:r>
      <w:r w:rsidR="00B279EB">
        <w:rPr>
          <w:bCs/>
        </w:rPr>
        <w:t>pořady České televize, zpravodajství, publicistika a podobné</w:t>
      </w:r>
      <w:r w:rsidR="008312E5">
        <w:rPr>
          <w:bCs/>
        </w:rPr>
        <w:t>;</w:t>
      </w:r>
    </w:p>
    <w:p w14:paraId="789577D7" w14:textId="240247BF" w:rsidR="00735414" w:rsidRPr="00735414" w:rsidRDefault="00735414">
      <w:pPr>
        <w:pStyle w:val="Odrka1"/>
        <w:rPr>
          <w:color w:val="000000"/>
          <w:shd w:val="clear" w:color="auto" w:fill="FFFFFF"/>
        </w:rPr>
      </w:pPr>
      <w:r>
        <w:rPr>
          <w:color w:val="000000"/>
          <w:shd w:val="clear" w:color="auto" w:fill="FFFFFF"/>
        </w:rPr>
        <w:t xml:space="preserve">licenční </w:t>
      </w:r>
      <w:r w:rsidRPr="00321B2E">
        <w:rPr>
          <w:color w:val="000000"/>
          <w:shd w:val="clear" w:color="auto" w:fill="FFFFFF"/>
        </w:rPr>
        <w:t xml:space="preserve">doba: </w:t>
      </w:r>
      <w:r w:rsidR="002D5C2C" w:rsidRPr="00321B2E">
        <w:rPr>
          <w:color w:val="000000"/>
          <w:shd w:val="clear" w:color="auto" w:fill="FFFFFF"/>
        </w:rPr>
        <w:t>1. 9</w:t>
      </w:r>
      <w:r w:rsidR="00D63584" w:rsidRPr="00321B2E">
        <w:rPr>
          <w:color w:val="000000"/>
          <w:shd w:val="clear" w:color="auto" w:fill="FFFFFF"/>
        </w:rPr>
        <w:t>.</w:t>
      </w:r>
      <w:r w:rsidR="00AA4CAA" w:rsidRPr="00321B2E">
        <w:rPr>
          <w:color w:val="000000"/>
          <w:shd w:val="clear" w:color="auto" w:fill="FFFFFF"/>
        </w:rPr>
        <w:t xml:space="preserve"> </w:t>
      </w:r>
      <w:r w:rsidR="002D5C2C" w:rsidRPr="00321B2E">
        <w:rPr>
          <w:color w:val="000000"/>
          <w:shd w:val="clear" w:color="auto" w:fill="FFFFFF"/>
        </w:rPr>
        <w:t>2019 – 29</w:t>
      </w:r>
      <w:r w:rsidR="00D63584" w:rsidRPr="00321B2E">
        <w:rPr>
          <w:color w:val="000000"/>
          <w:shd w:val="clear" w:color="auto" w:fill="FFFFFF"/>
        </w:rPr>
        <w:t>.</w:t>
      </w:r>
      <w:r w:rsidR="00AA4CAA" w:rsidRPr="00321B2E">
        <w:rPr>
          <w:color w:val="000000"/>
          <w:shd w:val="clear" w:color="auto" w:fill="FFFFFF"/>
        </w:rPr>
        <w:t xml:space="preserve"> </w:t>
      </w:r>
      <w:r w:rsidR="00D63584" w:rsidRPr="00321B2E">
        <w:rPr>
          <w:color w:val="000000"/>
          <w:shd w:val="clear" w:color="auto" w:fill="FFFFFF"/>
        </w:rPr>
        <w:t>2.</w:t>
      </w:r>
      <w:r w:rsidR="00AA4CAA" w:rsidRPr="00321B2E">
        <w:rPr>
          <w:color w:val="000000"/>
          <w:shd w:val="clear" w:color="auto" w:fill="FFFFFF"/>
        </w:rPr>
        <w:t xml:space="preserve"> </w:t>
      </w:r>
      <w:r w:rsidR="00D63584" w:rsidRPr="00321B2E">
        <w:rPr>
          <w:color w:val="000000"/>
          <w:shd w:val="clear" w:color="auto" w:fill="FFFFFF"/>
        </w:rPr>
        <w:t>2020</w:t>
      </w:r>
    </w:p>
    <w:p w14:paraId="19237BA1" w14:textId="77777777" w:rsidR="00735414" w:rsidRPr="00735414" w:rsidRDefault="00735414">
      <w:pPr>
        <w:pStyle w:val="Odrka1"/>
        <w:rPr>
          <w:color w:val="000000"/>
          <w:shd w:val="clear" w:color="auto" w:fill="FFFFFF"/>
        </w:rPr>
      </w:pPr>
      <w:r>
        <w:rPr>
          <w:color w:val="000000"/>
          <w:shd w:val="clear" w:color="auto" w:fill="FFFFFF"/>
        </w:rPr>
        <w:t xml:space="preserve">licenční území: </w:t>
      </w:r>
      <w:r w:rsidR="00B279EB">
        <w:rPr>
          <w:bCs/>
        </w:rPr>
        <w:t>Česká republika</w:t>
      </w:r>
      <w:r w:rsidR="00862D44">
        <w:rPr>
          <w:bCs/>
        </w:rPr>
        <w:t xml:space="preserve"> + Slovenská republika</w:t>
      </w:r>
    </w:p>
    <w:p w14:paraId="014A812B" w14:textId="26E48C3C" w:rsidR="009E2A0B" w:rsidRPr="00A05100" w:rsidRDefault="00735414">
      <w:pPr>
        <w:pStyle w:val="Odrka1"/>
        <w:rPr>
          <w:shd w:val="clear" w:color="auto" w:fill="FFFFFF"/>
        </w:rPr>
      </w:pPr>
      <w:r w:rsidRPr="00A05100">
        <w:rPr>
          <w:bCs/>
        </w:rPr>
        <w:lastRenderedPageBreak/>
        <w:t>rozsah licence (způsoby užití)</w:t>
      </w:r>
      <w:r w:rsidR="00EB72AE" w:rsidRPr="00A05100">
        <w:rPr>
          <w:bCs/>
        </w:rPr>
        <w:t>:</w:t>
      </w:r>
      <w:r w:rsidRPr="00A05100">
        <w:rPr>
          <w:bCs/>
        </w:rPr>
        <w:t xml:space="preserve"> </w:t>
      </w:r>
      <w:r w:rsidR="00A05100" w:rsidRPr="00A05100">
        <w:t>zařazení šotu (části obrazové složky záznamu) do AVD</w:t>
      </w:r>
      <w:r w:rsidR="008312E5">
        <w:t xml:space="preserve"> </w:t>
      </w:r>
      <w:r w:rsidR="00F76D09">
        <w:t>–</w:t>
      </w:r>
      <w:r w:rsidR="00A05100" w:rsidRPr="00A05100">
        <w:t xml:space="preserve"> </w:t>
      </w:r>
      <w:r w:rsidR="00B279EB">
        <w:t>promítání na výstavě v Národním muzeu – výstava</w:t>
      </w:r>
      <w:r w:rsidR="002D5C2C">
        <w:t xml:space="preserve"> </w:t>
      </w:r>
      <w:r w:rsidR="000D09D4">
        <w:t>„Sametová revoluce – 1989“</w:t>
      </w:r>
      <w:r w:rsidR="00D63584">
        <w:t xml:space="preserve"> a </w:t>
      </w:r>
      <w:r w:rsidR="000D09D4">
        <w:t xml:space="preserve">na </w:t>
      </w:r>
      <w:r w:rsidR="00D63584">
        <w:t>promítání v Českých Centrech.</w:t>
      </w:r>
      <w:r w:rsidR="00B279EB">
        <w:t xml:space="preserve"> </w:t>
      </w:r>
    </w:p>
    <w:p w14:paraId="224A1282" w14:textId="50948B48" w:rsidR="009E2A0B" w:rsidRPr="00735414" w:rsidRDefault="00735414">
      <w:pPr>
        <w:pStyle w:val="Odstavec1"/>
        <w:rPr>
          <w:shd w:val="clear" w:color="auto" w:fill="FFFFFF"/>
        </w:rPr>
      </w:pPr>
      <w:r w:rsidRPr="00A234CA">
        <w:t xml:space="preserve">Nabyvatel se zavazuje uzavřít příslušné licenční smlouvy s autory, výkonnými umělci a s dalšími </w:t>
      </w:r>
      <w:r>
        <w:t>nositeli práv</w:t>
      </w:r>
      <w:r w:rsidRPr="00A234CA">
        <w:t xml:space="preserve"> o užití jejich děl a výkonů </w:t>
      </w:r>
      <w:r>
        <w:t>při</w:t>
      </w:r>
      <w:r w:rsidRPr="00A234CA">
        <w:t xml:space="preserve"> užití </w:t>
      </w:r>
      <w:r>
        <w:t>š</w:t>
      </w:r>
      <w:r w:rsidRPr="00A234CA">
        <w:t>otu ve smyslu této smlouvy a zaplatit jim sjednané odměny.</w:t>
      </w:r>
      <w:r w:rsidR="00973E87">
        <w:t xml:space="preserve"> ČT poskytne nabyvateli součinnost při uzavírání smluv, bude-li to možné.</w:t>
      </w:r>
    </w:p>
    <w:p w14:paraId="0EB4CE70" w14:textId="77777777" w:rsidR="00735414" w:rsidRPr="00735414" w:rsidRDefault="00735414">
      <w:pPr>
        <w:pStyle w:val="Odstavec1"/>
        <w:rPr>
          <w:shd w:val="clear" w:color="auto" w:fill="FFFFFF"/>
        </w:rPr>
      </w:pPr>
      <w:r w:rsidRPr="00A234CA">
        <w:t xml:space="preserve">Ustanovení o vypořádání odměn podle </w:t>
      </w:r>
      <w:r>
        <w:t>odst.</w:t>
      </w:r>
      <w:r w:rsidRPr="00A234CA">
        <w:t xml:space="preserve"> </w:t>
      </w:r>
      <w:r>
        <w:t>2.2</w:t>
      </w:r>
      <w:r w:rsidRPr="00A234CA">
        <w:t xml:space="preserve"> se vztahuje i na autory hudebních děl s textem i bez textu, ohledně nichž si nabyvatel musí opatřit licenci pro užití </w:t>
      </w:r>
      <w:r>
        <w:t>š</w:t>
      </w:r>
      <w:r w:rsidRPr="00A234CA">
        <w:t>otu sám od kolektivního správce autorských práv (OSA), nebo přímo od autora, není-li zastupován OSA. Dále je nabyvatel povinen sjednat s kolektivním správcem autorských práv (INTERGRAM) podmínky užití zvukových záznamů vydaných k obchodním účelům, resp. odměnu za užití uměleckých výkonů a práv výrobce snímku.  Za tím účelem ČT poskytne nabyvateli hudební sestavu, jména výkonných umělců nebo názvy uměleckých souborů a název výrobce obchodního snímku.</w:t>
      </w:r>
    </w:p>
    <w:p w14:paraId="4960490F" w14:textId="77777777" w:rsidR="00735414" w:rsidRPr="00735414" w:rsidRDefault="00735414">
      <w:pPr>
        <w:pStyle w:val="Odstavec1"/>
        <w:rPr>
          <w:shd w:val="clear" w:color="auto" w:fill="FFFFFF"/>
        </w:rPr>
      </w:pPr>
      <w:r>
        <w:t>Je-li šot</w:t>
      </w:r>
      <w:r w:rsidRPr="00A234CA">
        <w:t xml:space="preserve"> částí zpravodajsk</w:t>
      </w:r>
      <w:r>
        <w:t>é</w:t>
      </w:r>
      <w:r w:rsidRPr="00A234CA">
        <w:t xml:space="preserve"> </w:t>
      </w:r>
      <w:r w:rsidR="0035503E">
        <w:t xml:space="preserve">nebo sportovní </w:t>
      </w:r>
      <w:r w:rsidRPr="00A234CA">
        <w:t>relac</w:t>
      </w:r>
      <w:r>
        <w:t>e,</w:t>
      </w:r>
      <w:r w:rsidRPr="00A234CA">
        <w:t xml:space="preserve"> nabyvatel bere na vědomí, že ČT poskytuje licenci k jejich užití pouze jako výrobce zvukově obrazového záznamu, a že užitím </w:t>
      </w:r>
      <w:r>
        <w:t>š</w:t>
      </w:r>
      <w:r w:rsidRPr="00A234CA">
        <w:t>otu podle této smlouvy nesmí být ohrožena ani porušena osobnostní práva a práva na ochranu osobních údajů.</w:t>
      </w:r>
    </w:p>
    <w:p w14:paraId="0DDFA6A5" w14:textId="77777777" w:rsidR="00735414" w:rsidRPr="00735414" w:rsidRDefault="00735414">
      <w:pPr>
        <w:pStyle w:val="Odstavec1"/>
        <w:rPr>
          <w:shd w:val="clear" w:color="auto" w:fill="FFFFFF"/>
        </w:rPr>
      </w:pPr>
      <w:r w:rsidRPr="00A234CA">
        <w:t xml:space="preserve">Nabyvatel se zavazuje, že </w:t>
      </w:r>
      <w:r w:rsidR="00991536">
        <w:t>š</w:t>
      </w:r>
      <w:r w:rsidRPr="00A234CA">
        <w:t xml:space="preserve">ot užije jen způsobem a v rozsahu stanoveném v této smlouvě a zavazuje se uvést ČT jako výrobce </w:t>
      </w:r>
      <w:r w:rsidR="00991536">
        <w:t>š</w:t>
      </w:r>
      <w:r w:rsidRPr="00A234CA">
        <w:t>otu. Nabyvatel je oprávněn poskytnout oprávnění tvořící součást licence zcela nebo zčásti třetí osobě v rozsahu vymezeném touto smlouvou.</w:t>
      </w:r>
    </w:p>
    <w:p w14:paraId="5808D02C" w14:textId="77777777" w:rsidR="00735414" w:rsidRPr="00735414" w:rsidRDefault="00735414">
      <w:pPr>
        <w:pStyle w:val="Odstavec1"/>
        <w:rPr>
          <w:shd w:val="clear" w:color="auto" w:fill="FFFFFF"/>
        </w:rPr>
      </w:pPr>
      <w:r w:rsidRPr="00A234CA">
        <w:t xml:space="preserve">Nabyvatel se zavazuje, že v </w:t>
      </w:r>
      <w:r w:rsidR="00991536">
        <w:t>š</w:t>
      </w:r>
      <w:r w:rsidRPr="00A234CA">
        <w:t>otu nebude provádět takové úpravy, které by měnily jeho obsah a smysl</w:t>
      </w:r>
      <w:r w:rsidR="0035503E">
        <w:t>,</w:t>
      </w:r>
      <w:r w:rsidRPr="00A234CA">
        <w:t xml:space="preserve"> snižovaly jeho hodnotu</w:t>
      </w:r>
      <w:r w:rsidR="00F727E0">
        <w:t>.</w:t>
      </w:r>
    </w:p>
    <w:p w14:paraId="652705B8" w14:textId="77777777" w:rsidR="00735414" w:rsidRPr="00F727E0" w:rsidRDefault="00BE1DB1" w:rsidP="00F727E0">
      <w:pPr>
        <w:pStyle w:val="Odstavec1"/>
        <w:rPr>
          <w:shd w:val="clear" w:color="auto" w:fill="FFFFFF"/>
        </w:rPr>
      </w:pPr>
      <w:r w:rsidRPr="00F727E0">
        <w:t xml:space="preserve">ČT dodá nabyvateli záznam s přepisem šotu nejpozději do </w:t>
      </w:r>
      <w:r w:rsidR="00D63584">
        <w:rPr>
          <w:bCs/>
        </w:rPr>
        <w:t>15.</w:t>
      </w:r>
      <w:r w:rsidR="00AA4CAA">
        <w:rPr>
          <w:bCs/>
        </w:rPr>
        <w:t xml:space="preserve"> </w:t>
      </w:r>
      <w:r w:rsidR="00D63584">
        <w:rPr>
          <w:bCs/>
        </w:rPr>
        <w:t>7.</w:t>
      </w:r>
      <w:r w:rsidR="00AA4CAA">
        <w:rPr>
          <w:bCs/>
        </w:rPr>
        <w:t xml:space="preserve"> </w:t>
      </w:r>
      <w:r w:rsidR="00D63584">
        <w:rPr>
          <w:bCs/>
        </w:rPr>
        <w:t xml:space="preserve">2019 </w:t>
      </w:r>
      <w:r w:rsidRPr="00F727E0">
        <w:t xml:space="preserve">ve formátu </w:t>
      </w:r>
      <w:r w:rsidR="00F727E0">
        <w:rPr>
          <w:bCs/>
        </w:rPr>
        <w:t>dle požadavků nabyvatele</w:t>
      </w:r>
      <w:r w:rsidRPr="00F727E0">
        <w:t>. Nabyvatel je povinen nejpozději do deseti dnů ode dne převzetí oznámit ČT, pokud záznam nesplňuje technické požadavky podle této smlouvy včetně specifikace zjištěných vad. ČT je následně povinna do 10 dnů ode dne reklamace materiály opravit nebo dodat materiály náhradní. V případě, že nabyvatel ČT neoznámí své výhrady v uvedené lhůtě, platí, že záznam přijal a tento splňuje technické požadavky k užití podle této smlouvy</w:t>
      </w:r>
      <w:r w:rsidR="00F727E0">
        <w:t>.</w:t>
      </w:r>
    </w:p>
    <w:p w14:paraId="2513469A" w14:textId="77777777" w:rsidR="00735414" w:rsidRPr="001419D5" w:rsidRDefault="00BE1DB1">
      <w:pPr>
        <w:pStyle w:val="Odstavec1"/>
        <w:rPr>
          <w:shd w:val="clear" w:color="auto" w:fill="FFFFFF"/>
        </w:rPr>
      </w:pPr>
      <w:r w:rsidRPr="00A234CA">
        <w:t xml:space="preserve">Nabyvatel se zavazuje, že na vyžádání zašle ČT </w:t>
      </w:r>
      <w:r w:rsidR="00896239">
        <w:t>AVD</w:t>
      </w:r>
      <w:r w:rsidRPr="00A234CA">
        <w:t xml:space="preserve"> </w:t>
      </w:r>
      <w:r w:rsidR="00896239">
        <w:t xml:space="preserve">ve formátu a způsobem </w:t>
      </w:r>
      <w:r w:rsidRPr="00A234CA">
        <w:t xml:space="preserve">podle dohody </w:t>
      </w:r>
      <w:r w:rsidR="00896239">
        <w:t xml:space="preserve">smluvních </w:t>
      </w:r>
      <w:r w:rsidRPr="00A234CA">
        <w:t>stran pro archivní účely.</w:t>
      </w:r>
    </w:p>
    <w:p w14:paraId="6F8844DB" w14:textId="77777777" w:rsidR="006D17A4" w:rsidRDefault="00991536">
      <w:pPr>
        <w:pStyle w:val="Nadpis1"/>
      </w:pPr>
      <w:r>
        <w:t>CENA</w:t>
      </w:r>
    </w:p>
    <w:p w14:paraId="59C66744" w14:textId="77777777" w:rsidR="00F80126" w:rsidRPr="00A05100" w:rsidRDefault="005235D4" w:rsidP="00A05100">
      <w:pPr>
        <w:pStyle w:val="Odstavec1"/>
        <w:rPr>
          <w:shd w:val="clear" w:color="auto" w:fill="FFFFFF"/>
        </w:rPr>
      </w:pPr>
      <w:r>
        <w:t xml:space="preserve">Nabyvatel se zavazuje uhradit ČT </w:t>
      </w:r>
      <w:r w:rsidR="00862D44" w:rsidRPr="00A234CA">
        <w:t>za poskytnut</w:t>
      </w:r>
      <w:r w:rsidR="00862D44">
        <w:t>í oprávnění dle této smlouvy čl. 2 cenu</w:t>
      </w:r>
      <w:r w:rsidR="00AA4CAA">
        <w:t> </w:t>
      </w:r>
      <w:r w:rsidR="00D63584">
        <w:t>750 Kč za užitou minutu materiálu</w:t>
      </w:r>
      <w:r w:rsidR="00862D44">
        <w:t xml:space="preserve"> </w:t>
      </w:r>
      <w:r w:rsidR="00D63584">
        <w:t>(</w:t>
      </w:r>
      <w:r w:rsidR="00862D44">
        <w:rPr>
          <w:bCs/>
        </w:rPr>
        <w:t>bez DPH</w:t>
      </w:r>
      <w:r w:rsidR="00D63584">
        <w:rPr>
          <w:bCs/>
        </w:rPr>
        <w:t>)</w:t>
      </w:r>
      <w:r w:rsidR="00862D44">
        <w:rPr>
          <w:bCs/>
        </w:rPr>
        <w:t xml:space="preserve">, a </w:t>
      </w:r>
      <w:r w:rsidR="007B28D2">
        <w:rPr>
          <w:bCs/>
        </w:rPr>
        <w:t xml:space="preserve">za přepis šotu dle odst. 2.7 této smlouvy částku </w:t>
      </w:r>
      <w:r w:rsidR="00D63584">
        <w:rPr>
          <w:bCs/>
        </w:rPr>
        <w:t xml:space="preserve">2.500 </w:t>
      </w:r>
      <w:r w:rsidR="007B28D2">
        <w:rPr>
          <w:bCs/>
        </w:rPr>
        <w:t xml:space="preserve">Kč </w:t>
      </w:r>
      <w:r w:rsidR="00D63584">
        <w:rPr>
          <w:bCs/>
        </w:rPr>
        <w:t>(</w:t>
      </w:r>
      <w:r w:rsidR="007B28D2">
        <w:rPr>
          <w:bCs/>
        </w:rPr>
        <w:t>bez DPH</w:t>
      </w:r>
      <w:r w:rsidR="00D63584">
        <w:rPr>
          <w:bCs/>
        </w:rPr>
        <w:t>)</w:t>
      </w:r>
      <w:r w:rsidR="007B28D2">
        <w:rPr>
          <w:bCs/>
        </w:rPr>
        <w:t>. DPH bude připočtena ve výši dle platných právních předpisů</w:t>
      </w:r>
      <w:r w:rsidR="007B28D2" w:rsidRPr="005235D4">
        <w:t>.</w:t>
      </w:r>
      <w:r w:rsidR="00F727E0">
        <w:rPr>
          <w:bCs/>
        </w:rPr>
        <w:t xml:space="preserve"> </w:t>
      </w:r>
    </w:p>
    <w:p w14:paraId="2B747026" w14:textId="77777777" w:rsidR="006D17A4" w:rsidRPr="00F80126" w:rsidRDefault="00341AAC" w:rsidP="006D17A4">
      <w:pPr>
        <w:pStyle w:val="Odstavec1"/>
        <w:rPr>
          <w:shd w:val="clear" w:color="auto" w:fill="FFFFFF"/>
        </w:rPr>
      </w:pPr>
      <w:r>
        <w:t>C</w:t>
      </w:r>
      <w:r w:rsidR="006D17A4" w:rsidRPr="00A234CA">
        <w:t>en</w:t>
      </w:r>
      <w:r>
        <w:t>a</w:t>
      </w:r>
      <w:r w:rsidR="006D17A4" w:rsidRPr="00A234CA">
        <w:t xml:space="preserve"> podle </w:t>
      </w:r>
      <w:r w:rsidR="006D17A4">
        <w:t xml:space="preserve">odst. </w:t>
      </w:r>
      <w:r>
        <w:t>3.</w:t>
      </w:r>
      <w:r w:rsidR="006D17A4" w:rsidRPr="00A234CA">
        <w:t>1</w:t>
      </w:r>
      <w:r>
        <w:t xml:space="preserve"> bude uhrazena na základě </w:t>
      </w:r>
      <w:r w:rsidRPr="00A234CA">
        <w:t>faktur</w:t>
      </w:r>
      <w:r>
        <w:t>y</w:t>
      </w:r>
      <w:r w:rsidRPr="00A234CA">
        <w:t xml:space="preserve"> </w:t>
      </w:r>
      <w:r>
        <w:t>s náležitostmi daňového dokladu splatné do 15 dnů ode dne vystavení na bankovní účet ČT uvedený na faktuře.</w:t>
      </w:r>
      <w:r w:rsidR="006D17A4" w:rsidRPr="00A234CA">
        <w:t xml:space="preserve"> </w:t>
      </w:r>
      <w:r w:rsidR="00F80126" w:rsidRPr="00A234CA">
        <w:t>D</w:t>
      </w:r>
      <w:r w:rsidR="00F80126">
        <w:t>n</w:t>
      </w:r>
      <w:r w:rsidR="00F80126" w:rsidRPr="00A234CA">
        <w:t xml:space="preserve">em </w:t>
      </w:r>
      <w:r w:rsidR="006D17A4" w:rsidRPr="00A234CA">
        <w:t xml:space="preserve">uskutečnění </w:t>
      </w:r>
      <w:r>
        <w:t xml:space="preserve">zdanitelného </w:t>
      </w:r>
      <w:r w:rsidR="006D17A4" w:rsidRPr="00A234CA">
        <w:t xml:space="preserve">plnění je </w:t>
      </w:r>
      <w:r w:rsidR="00F80126" w:rsidRPr="00A234CA">
        <w:t>d</w:t>
      </w:r>
      <w:r w:rsidR="00F80126">
        <w:t>en</w:t>
      </w:r>
      <w:r w:rsidR="00F80126" w:rsidRPr="00A234CA">
        <w:t xml:space="preserve"> </w:t>
      </w:r>
      <w:r w:rsidR="00D63584">
        <w:t>nahlášení užité stopáže</w:t>
      </w:r>
      <w:r w:rsidR="00B279EB">
        <w:t xml:space="preserve"> materiálů</w:t>
      </w:r>
      <w:r w:rsidR="006D17A4" w:rsidRPr="00A234CA">
        <w:t xml:space="preserve">. </w:t>
      </w:r>
    </w:p>
    <w:p w14:paraId="2CFF307B" w14:textId="5A12A81C" w:rsidR="00F80126" w:rsidRPr="006D17A4" w:rsidRDefault="008718CC" w:rsidP="00F80126">
      <w:pPr>
        <w:pStyle w:val="Odstavec1"/>
        <w:numPr>
          <w:ilvl w:val="0"/>
          <w:numId w:val="0"/>
        </w:numPr>
        <w:ind w:left="709"/>
        <w:rPr>
          <w:shd w:val="clear" w:color="auto" w:fill="FFFFFF"/>
        </w:rPr>
      </w:pPr>
      <w:r w:rsidRPr="00A234CA">
        <w:t xml:space="preserve">Neuhradí-li nabyvatel fakturu </w:t>
      </w:r>
      <w:r>
        <w:t>do dne splatnosti</w:t>
      </w:r>
      <w:r w:rsidRPr="00A234CA">
        <w:t xml:space="preserve">, </w:t>
      </w:r>
      <w:r>
        <w:t xml:space="preserve">je </w:t>
      </w:r>
      <w:r w:rsidRPr="00A234CA">
        <w:t xml:space="preserve">ČT </w:t>
      </w:r>
      <w:r>
        <w:t xml:space="preserve">oprávněna požadovat po nabyvateli </w:t>
      </w:r>
      <w:r w:rsidRPr="00A234CA">
        <w:t xml:space="preserve">úrok z prodlení </w:t>
      </w:r>
      <w:r w:rsidR="009E5868">
        <w:t>v zákonné výši.</w:t>
      </w:r>
    </w:p>
    <w:p w14:paraId="54F3ADE2" w14:textId="77777777" w:rsidR="006D17A4" w:rsidRPr="00D94B49" w:rsidRDefault="001815C9" w:rsidP="001815C9">
      <w:pPr>
        <w:pStyle w:val="Odstavec1"/>
        <w:numPr>
          <w:ilvl w:val="0"/>
          <w:numId w:val="0"/>
        </w:numPr>
        <w:ind w:left="709" w:hanging="709"/>
        <w:rPr>
          <w:shd w:val="clear" w:color="auto" w:fill="FFFFFF"/>
        </w:rPr>
      </w:pPr>
      <w:r>
        <w:lastRenderedPageBreak/>
        <w:t>3.3</w:t>
      </w:r>
      <w:r>
        <w:tab/>
      </w:r>
      <w:r w:rsidR="006D17A4" w:rsidRPr="00A234CA">
        <w:t xml:space="preserve">V případě, že je odměna účtována podle užitých minut, zavazuje se </w:t>
      </w:r>
      <w:r w:rsidR="006D17A4">
        <w:t>n</w:t>
      </w:r>
      <w:r w:rsidR="006D17A4" w:rsidRPr="00A234CA">
        <w:t xml:space="preserve">abyvatel neprodleně po ukončení výroby </w:t>
      </w:r>
      <w:r w:rsidR="005235D4">
        <w:t>AVD</w:t>
      </w:r>
      <w:r w:rsidR="006D17A4" w:rsidRPr="00A234CA">
        <w:t xml:space="preserve">, nejpozději však </w:t>
      </w:r>
      <w:r w:rsidR="00E9299D">
        <w:t>do 30.</w:t>
      </w:r>
      <w:r w:rsidR="00AA4CAA">
        <w:t xml:space="preserve"> </w:t>
      </w:r>
      <w:r w:rsidR="00E9299D">
        <w:t>8.</w:t>
      </w:r>
      <w:r w:rsidR="00AA4CAA">
        <w:t xml:space="preserve"> </w:t>
      </w:r>
      <w:r w:rsidR="00E9299D">
        <w:t>2019</w:t>
      </w:r>
      <w:r w:rsidR="006D17A4" w:rsidRPr="00A234CA">
        <w:t xml:space="preserve"> nahlásit ČT počet skutečně užitých minut </w:t>
      </w:r>
      <w:r w:rsidR="005235D4">
        <w:t>šotu</w:t>
      </w:r>
      <w:r w:rsidR="006D17A4" w:rsidRPr="00A234CA">
        <w:t xml:space="preserve">. Smluvní strany sjednávají, že pokud do tohoto data nebude nahlášen počet skutečně užitých minut </w:t>
      </w:r>
      <w:r w:rsidR="005235D4">
        <w:t>š</w:t>
      </w:r>
      <w:r w:rsidR="006D17A4" w:rsidRPr="00A234CA">
        <w:t xml:space="preserve">otu, zavazuje se nabyvatel zaplatit </w:t>
      </w:r>
      <w:r w:rsidR="00EB72AE">
        <w:t>cenu</w:t>
      </w:r>
      <w:r w:rsidR="006D17A4" w:rsidRPr="00A234CA">
        <w:t xml:space="preserve"> podle </w:t>
      </w:r>
      <w:r w:rsidR="006D17A4">
        <w:t>odst.</w:t>
      </w:r>
      <w:r w:rsidR="006D17A4" w:rsidRPr="00A234CA">
        <w:t xml:space="preserve"> </w:t>
      </w:r>
      <w:r w:rsidR="005235D4">
        <w:t>3.</w:t>
      </w:r>
      <w:r w:rsidR="006D17A4" w:rsidRPr="00A234CA">
        <w:t xml:space="preserve">1 za všechny poskytnuté minuty </w:t>
      </w:r>
      <w:r w:rsidR="005235D4">
        <w:t>š</w:t>
      </w:r>
      <w:r w:rsidR="006D17A4" w:rsidRPr="00A234CA">
        <w:t>otu bez ohledu na to, zda byly skutečně využity.</w:t>
      </w:r>
    </w:p>
    <w:p w14:paraId="236290B8" w14:textId="77777777" w:rsidR="007C7FA3" w:rsidRDefault="007C7FA3">
      <w:pPr>
        <w:pStyle w:val="Nadpis1"/>
      </w:pPr>
      <w:r>
        <w:t>Ostatní ujednání</w:t>
      </w:r>
    </w:p>
    <w:p w14:paraId="17569F9D" w14:textId="77777777" w:rsidR="007C7FA3" w:rsidRPr="001815C9" w:rsidRDefault="005235D4" w:rsidP="007C7FA3">
      <w:pPr>
        <w:pStyle w:val="Odstavec1"/>
        <w:rPr>
          <w:shd w:val="clear" w:color="auto" w:fill="FFFFFF"/>
        </w:rPr>
      </w:pPr>
      <w:r w:rsidRPr="001815C9">
        <w:rPr>
          <w:color w:val="000000"/>
        </w:rPr>
        <w:t>Nabyvatel</w:t>
      </w:r>
      <w:r w:rsidR="007C7FA3" w:rsidRPr="001815C9">
        <w:rPr>
          <w:iCs/>
        </w:rPr>
        <w:t xml:space="preserve"> tímto prohlašuje, že ke dni podpisu této smlouvy plní veškeré povinnosti vyplývající ze zákona č. 348/2005 Sb., o rozhlasových a televizních poplatcích, ve znění pozdějších předpisů (dále jen „ZRTVP“), zejména § 7 a § 9 ZRTVP, a zavazuje se tyto povinnosti plnit po celou dobu účinnosti této smlouvy. </w:t>
      </w:r>
      <w:r w:rsidRPr="001815C9">
        <w:rPr>
          <w:color w:val="000000"/>
        </w:rPr>
        <w:t>Nabyvatel</w:t>
      </w:r>
      <w:r w:rsidR="007C7FA3" w:rsidRPr="001815C9">
        <w:rPr>
          <w:iCs/>
        </w:rPr>
        <w:t xml:space="preserve"> se zavazuje poskytnout ČT na vyžádání součinnost a informace k prokázání plnění povinnosti podle tohoto odstavce, a to zejména sdělením variabilního symbolu nebo jiného identifikátoru, pod nímž </w:t>
      </w:r>
      <w:r w:rsidRPr="001815C9">
        <w:rPr>
          <w:color w:val="000000"/>
        </w:rPr>
        <w:t>nabyvatel</w:t>
      </w:r>
      <w:r w:rsidR="007C7FA3" w:rsidRPr="001815C9">
        <w:rPr>
          <w:iCs/>
        </w:rPr>
        <w:t xml:space="preserve"> hradí televizní poplatek, či uvedením zákonného důvodu osvobození od úhrady televizního poplatku.</w:t>
      </w:r>
    </w:p>
    <w:p w14:paraId="7136096C" w14:textId="77777777" w:rsidR="005235D4" w:rsidRPr="001419D5" w:rsidRDefault="005235D4" w:rsidP="007C7FA3">
      <w:pPr>
        <w:pStyle w:val="Odstavec1"/>
        <w:rPr>
          <w:shd w:val="clear" w:color="auto" w:fill="FFFFFF"/>
        </w:rPr>
      </w:pPr>
      <w:r w:rsidRPr="00A234CA">
        <w:t xml:space="preserve">Smluvní strany sjednávají, že podmínkou účinnosti poskytnutí </w:t>
      </w:r>
      <w:r w:rsidR="00EB72AE">
        <w:t>oprávnění</w:t>
      </w:r>
      <w:r w:rsidRPr="00A234CA">
        <w:t xml:space="preserve"> dle této smlouvy je úhrada odměny v souladu s</w:t>
      </w:r>
      <w:r w:rsidR="00EB72AE">
        <w:t> čl.</w:t>
      </w:r>
      <w:r w:rsidRPr="00A234CA">
        <w:t xml:space="preserve"> </w:t>
      </w:r>
      <w:r w:rsidR="00EB72AE">
        <w:t>3</w:t>
      </w:r>
      <w:r w:rsidRPr="00A234CA">
        <w:t xml:space="preserve">. </w:t>
      </w:r>
      <w:r w:rsidR="00EB72AE">
        <w:t>ČT</w:t>
      </w:r>
      <w:r w:rsidRPr="00A234CA">
        <w:t xml:space="preserve"> je oprávněn</w:t>
      </w:r>
      <w:r w:rsidR="00EB72AE">
        <w:t>a</w:t>
      </w:r>
      <w:r w:rsidRPr="00A234CA">
        <w:t xml:space="preserve"> od této smlouvy odstoupit v případě, že </w:t>
      </w:r>
      <w:r>
        <w:t>n</w:t>
      </w:r>
      <w:r w:rsidRPr="00A234CA">
        <w:t xml:space="preserve">abyvatel neuhradí </w:t>
      </w:r>
      <w:r w:rsidR="00EB72AE">
        <w:t>c</w:t>
      </w:r>
      <w:r w:rsidRPr="00A234CA">
        <w:t xml:space="preserve">enu </w:t>
      </w:r>
      <w:r w:rsidR="00EB72AE">
        <w:t>dle odst. 3.1</w:t>
      </w:r>
      <w:r w:rsidRPr="00A234CA">
        <w:t xml:space="preserve"> a nezjedná nápravu do 10 (deseti) dnů od obdržení písemné výzvy</w:t>
      </w:r>
      <w:r w:rsidR="00EB72AE">
        <w:t xml:space="preserve"> k nápravě</w:t>
      </w:r>
      <w:r w:rsidRPr="00A234CA">
        <w:t>. Tím není dotčeno právo ČT na náhradu škody.</w:t>
      </w:r>
    </w:p>
    <w:p w14:paraId="411467B3" w14:textId="77777777" w:rsidR="00CE6B6D" w:rsidRPr="00D513C8" w:rsidRDefault="00E87C69">
      <w:pPr>
        <w:pStyle w:val="Nadpis1"/>
      </w:pPr>
      <w:r>
        <w:t>Závěrečná ujednání</w:t>
      </w:r>
    </w:p>
    <w:p w14:paraId="46DB146B" w14:textId="77777777" w:rsidR="002E3B6A" w:rsidRDefault="006B051D">
      <w:pPr>
        <w:pStyle w:val="Odstavec1"/>
      </w:pPr>
      <w:bookmarkStart w:id="1" w:name="_Ref451522572"/>
      <w:r w:rsidRPr="001F2048">
        <w:t>Tato smlouva nabývá platnosti a účinnosti dnem jejího podpisu oběma smluvními stranami.</w:t>
      </w:r>
      <w:r w:rsidRPr="00F65C25">
        <w:t xml:space="preserve"> </w:t>
      </w:r>
      <w:r>
        <w:t>Smluvní strany se dohodly, že práva a povinnosti případně vzniklé z plnění v rámci předmětu této smlouvy, k němuž došlo před nabytím účinnosti této smlouvy, nahrazují závazkem vzniklým z této smlouvy. Plnění v rámci předmětu této smlouvy před účinností této smlouvy se považuje za plnění podle této smlouvy a práva a povinnosti z něj vzniklé se řídí touto smlouvou.</w:t>
      </w:r>
    </w:p>
    <w:bookmarkEnd w:id="1"/>
    <w:p w14:paraId="5DAB3745" w14:textId="77777777" w:rsidR="009E2A0B" w:rsidRDefault="00A14358">
      <w:pPr>
        <w:pStyle w:val="Odstavec1"/>
      </w:pPr>
      <w:r>
        <w:t>Tato smlouva se řídí právním řádem České republiky</w:t>
      </w:r>
      <w:r w:rsidR="00121CCE" w:rsidRPr="00121CCE">
        <w:rPr>
          <w:bCs/>
        </w:rPr>
        <w:t xml:space="preserve">, zejména </w:t>
      </w:r>
      <w:r w:rsidR="00121CCE">
        <w:rPr>
          <w:bCs/>
        </w:rPr>
        <w:t>občanským zákoníkem</w:t>
      </w:r>
      <w:r w:rsidR="001815C9">
        <w:rPr>
          <w:bCs/>
        </w:rPr>
        <w:t xml:space="preserve">. </w:t>
      </w:r>
      <w:r w:rsidR="00121CCE" w:rsidRPr="00121CCE">
        <w:rPr>
          <w:bCs/>
        </w:rPr>
        <w:t>Případné spory mezi smluvními stranami budou řešeny především dohodou, přičemž nedojde-li k dohodě o řešení určitého sporu, budou k jeho řešení příslušné soudy České republiky.</w:t>
      </w:r>
    </w:p>
    <w:p w14:paraId="0C742936" w14:textId="77777777" w:rsidR="005A68A6" w:rsidRPr="005A68A6" w:rsidRDefault="00EF6AB1">
      <w:pPr>
        <w:pStyle w:val="Odstavec1"/>
      </w:pPr>
      <w:r w:rsidRPr="00EF6AB1">
        <w:rPr>
          <w:bCs/>
        </w:rPr>
        <w:t>Smluvní strany se dohodly, že</w:t>
      </w:r>
      <w:r w:rsidR="005A68A6">
        <w:rPr>
          <w:bCs/>
        </w:rPr>
        <w:t>:</w:t>
      </w:r>
    </w:p>
    <w:p w14:paraId="5F5DB99B" w14:textId="77777777" w:rsidR="00121CCE" w:rsidRPr="0048639C" w:rsidRDefault="00EF6AB1" w:rsidP="004646BF">
      <w:pPr>
        <w:pStyle w:val="Odrka1"/>
        <w:numPr>
          <w:ilvl w:val="0"/>
          <w:numId w:val="18"/>
        </w:numPr>
        <w:ind w:left="1418" w:hanging="567"/>
      </w:pPr>
      <w:r w:rsidRPr="00EF6AB1">
        <w:t>jakákoli změna této smlouvy může být sjednána výlučně a pouze písemným dodatkem podepsaným oběma smluvními stranami, a to s</w:t>
      </w:r>
      <w:r w:rsidR="005A68A6">
        <w:t> jejich podpisy na téže listině</w:t>
      </w:r>
      <w:r w:rsidR="00FA2904">
        <w:t>;</w:t>
      </w:r>
    </w:p>
    <w:p w14:paraId="29A669F8" w14:textId="77777777" w:rsidR="005A68A6" w:rsidRPr="0048639C" w:rsidRDefault="0075726B">
      <w:pPr>
        <w:pStyle w:val="Odrka1"/>
      </w:pPr>
      <w:r w:rsidRPr="00FF445E">
        <w:t>zvyklosti ani zavedená praxe stran nemají přednost před ustanoveními této smlouvy ani před ustanoveními zákona</w:t>
      </w:r>
      <w:r>
        <w:t>;</w:t>
      </w:r>
    </w:p>
    <w:p w14:paraId="703C0FD4" w14:textId="77777777" w:rsidR="0075726B" w:rsidRPr="0048639C" w:rsidRDefault="003844C5">
      <w:pPr>
        <w:pStyle w:val="Odrka1"/>
      </w:pPr>
      <w:r w:rsidRPr="00FF445E">
        <w:t>na sebe přebírají nebezpečí změny okolností a ponese jej každá smluvní strana sama za sebe; ustanovení § 1766 občanského zákoníku se nepoužije</w:t>
      </w:r>
      <w:r>
        <w:t>;</w:t>
      </w:r>
    </w:p>
    <w:p w14:paraId="4B3835D2" w14:textId="77777777" w:rsidR="003844C5" w:rsidRPr="006741F8" w:rsidRDefault="006741F8">
      <w:pPr>
        <w:pStyle w:val="Odrka1"/>
      </w:pPr>
      <w:r w:rsidRPr="00DE2128">
        <w:t>marné uplynutí dodatečné lhůty k plnění nemá za následek automatické odstoupení od této smlouvy</w:t>
      </w:r>
      <w:r>
        <w:t>;</w:t>
      </w:r>
    </w:p>
    <w:p w14:paraId="4675923B" w14:textId="77777777" w:rsidR="006741F8" w:rsidRPr="006741F8" w:rsidRDefault="006741F8">
      <w:pPr>
        <w:pStyle w:val="Odrka1"/>
      </w:pPr>
      <w:r w:rsidRPr="00DE2128">
        <w:lastRenderedPageBreak/>
        <w:t>poté, co byl návrh této smlouvy či jejího dodatku po podpisu jednou ze smluvních stran předložen k podpisu druhé smluvní straně, vylučuje se přijetí daného návrhu druhou smluvní stranou</w:t>
      </w:r>
      <w:r>
        <w:t xml:space="preserve"> s dodatkem nebo odchylkou;</w:t>
      </w:r>
    </w:p>
    <w:p w14:paraId="2777AC37" w14:textId="77777777" w:rsidR="006741F8" w:rsidRPr="006741F8" w:rsidRDefault="006741F8">
      <w:pPr>
        <w:pStyle w:val="Odrka1"/>
      </w:pPr>
      <w:r w:rsidRPr="00DE2128">
        <w:t xml:space="preserve">připouští-li výraz použitý v této smlouvě různý výklad, </w:t>
      </w:r>
      <w:r>
        <w:t>ne</w:t>
      </w:r>
      <w:r w:rsidRPr="00DE2128">
        <w:t>vyloží se v pochybnostech k tíži toho, kdo jej použil jako první</w:t>
      </w:r>
      <w:r>
        <w:t>;</w:t>
      </w:r>
    </w:p>
    <w:p w14:paraId="35167819" w14:textId="06873279" w:rsidR="006741F8" w:rsidRPr="004338CF" w:rsidRDefault="00ED67FB">
      <w:pPr>
        <w:pStyle w:val="Odrka1"/>
      </w:pPr>
      <w:r w:rsidRPr="004338CF">
        <w:t xml:space="preserve">uplatněním kterékoli smluvní pokuty dle této smlouvy není dotčeno právo dotčené smluvní strany na náhradu škody </w:t>
      </w:r>
      <w:r w:rsidR="002D31BD" w:rsidRPr="004338CF">
        <w:t>v plné výši</w:t>
      </w:r>
      <w:r w:rsidR="004338CF" w:rsidRPr="004338CF">
        <w:t>.</w:t>
      </w:r>
    </w:p>
    <w:p w14:paraId="3A0A20D0" w14:textId="77777777" w:rsidR="0029673D" w:rsidRDefault="0029673D">
      <w:pPr>
        <w:pStyle w:val="Odstavec1"/>
      </w:pPr>
      <w:r>
        <w:t>Veškeré odkazy na ustanovení, resp. ujednání, použité v této smlouvě představují odkazy na ustanovení, resp. ujednání, této smlouvy, není-li v daném odkazu výslovně stanoveno jinak.</w:t>
      </w:r>
    </w:p>
    <w:p w14:paraId="31999B36" w14:textId="77777777" w:rsidR="00804A21" w:rsidRDefault="00B92655">
      <w:pPr>
        <w:pStyle w:val="Odstavec1"/>
      </w:pPr>
      <w:r w:rsidRPr="00B92655">
        <w:t>V případě, že se ke kterémukoli ustanovení smlouvy či k jeho části podle zákona jako ke zdánlivému právnímu jednání nepřihlíží, nebo že kterékoli ustanovení smlouvy či jeho část je nebo se stane neplatným, neúčinným a/nebo nevymahatelným, oddělí se bez dalšího v příslušném rozsahu od ostatních ujednání smlouvy a nebude mít žádný vliv na platnost, účinnost a vymahatelnost ostatních ujednání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smlouvy zůstal zachován.</w:t>
      </w:r>
      <w:r w:rsidR="00B76F11">
        <w:t xml:space="preserve"> </w:t>
      </w:r>
      <w:r w:rsidR="00804A21" w:rsidRPr="00804A21">
        <w:t>Smluvní strany pro vyloučení všech pochybností výslovně vylučují aplikaci § 576 občanského zákoníku.</w:t>
      </w:r>
    </w:p>
    <w:p w14:paraId="6CE443AD" w14:textId="77777777" w:rsidR="00CE00C8" w:rsidRPr="004338CF" w:rsidRDefault="00CE00C8" w:rsidP="004338CF">
      <w:pPr>
        <w:pStyle w:val="Odstavec1"/>
      </w:pPr>
      <w:r w:rsidRPr="004338CF">
        <w:rPr>
          <w:color w:val="000000"/>
        </w:rPr>
        <w:t xml:space="preserve">Smluvní strany se dohodly, že informace, které jsou v této smlouvě, se považují za důvěrné (např. z důvodu obchodního tajemství) a žádná ze smluvních stran není bez předchozího písemného souhlasu druhé smluvní strany oprávněna tyto informace sdělovat třetím osobám, a to ani po ukončení plnění této smlouvy či ukončení této smlouvy, s výjimkou informací: (i) které ČT sama v obvyklém rozsahu sděluje třetím osobám v souvislosti s přípravou, výrobou, distribucí a/nebo propagací svého programového obsahu, k němuž se vztahuje tato smlouva, a/nebo v souvislosti se svou propagací; (ii) které smluvní strana poskytne nebo uveřejní na základě právního předpisu (např. zákona č. 106/1999 Sb., o svobodném přístupu k informacím, ve znění pozdějších předpisů); a (iii) které smluvní strana poskytne svým odborným poradcům a/nebo jiným spolupracovníkům vázaným zákonnou a/nebo smluvní povinností mlčenlivosti. Smluvní strany souhlasně prohlašují, že tato smlouva nepodléhá zákonné povinnosti uveřejnění. </w:t>
      </w:r>
    </w:p>
    <w:p w14:paraId="0C05349E" w14:textId="77777777" w:rsidR="00CF4BDE" w:rsidRPr="001815C9" w:rsidRDefault="00CF4BDE">
      <w:pPr>
        <w:pStyle w:val="Odstavec1"/>
      </w:pPr>
      <w:r w:rsidRPr="001815C9">
        <w:t>Přílohy tvoří nedílnou součást této smlouvy.</w:t>
      </w:r>
    </w:p>
    <w:p w14:paraId="3EC0531C" w14:textId="0DCC0551" w:rsidR="00C63727" w:rsidRPr="00545154" w:rsidRDefault="00810F54">
      <w:pPr>
        <w:pStyle w:val="Odstavec1"/>
      </w:pPr>
      <w:r>
        <w:t xml:space="preserve">Tato smlouva je vyhotovena ve </w:t>
      </w:r>
      <w:r w:rsidR="007A58B1">
        <w:t xml:space="preserve">třech </w:t>
      </w:r>
      <w:r>
        <w:t>stejnop</w:t>
      </w:r>
      <w:r w:rsidR="007B28D2">
        <w:t>isech s platností originálu (jeden</w:t>
      </w:r>
      <w:r>
        <w:t xml:space="preserve"> pro ČT, </w:t>
      </w:r>
      <w:r w:rsidR="007A58B1">
        <w:t xml:space="preserve">dva </w:t>
      </w:r>
      <w:r>
        <w:t xml:space="preserve">pro </w:t>
      </w:r>
      <w:r w:rsidR="00E9299D">
        <w:rPr>
          <w:color w:val="000000"/>
        </w:rPr>
        <w:t>Národní muzeum</w:t>
      </w:r>
      <w:r w:rsidR="00A05100">
        <w:rPr>
          <w:color w:val="000000"/>
        </w:rPr>
        <w:t>.</w:t>
      </w:r>
      <w:r>
        <w:t>).</w:t>
      </w:r>
      <w:r w:rsidR="000021E4">
        <w:t xml:space="preserve"> </w:t>
      </w:r>
      <w:r w:rsidR="00E9299D">
        <w:t>Národní muzeum</w:t>
      </w:r>
      <w:r w:rsidR="009E4F2C">
        <w:rPr>
          <w:color w:val="000000"/>
        </w:rPr>
        <w:t xml:space="preserve"> se zavazuje odeslat (tj. předat provozovateli poštovních </w:t>
      </w:r>
      <w:r w:rsidR="007B28D2">
        <w:rPr>
          <w:color w:val="000000"/>
        </w:rPr>
        <w:t>služeb k přepravě) ČT stejnopis</w:t>
      </w:r>
      <w:r w:rsidR="009E4F2C">
        <w:rPr>
          <w:color w:val="000000"/>
        </w:rPr>
        <w:t xml:space="preserve"> této smlouvy, které </w:t>
      </w:r>
      <w:r w:rsidR="004338CF" w:rsidRPr="004338CF">
        <w:rPr>
          <w:color w:val="000000"/>
        </w:rPr>
        <w:t xml:space="preserve">podepsal </w:t>
      </w:r>
      <w:r w:rsidR="009E4F2C">
        <w:rPr>
          <w:color w:val="000000"/>
        </w:rPr>
        <w:t>a které jsou určeny pro ČT, a to nejpozději druhý pracovní den po svém podpisu.</w:t>
      </w:r>
    </w:p>
    <w:p w14:paraId="73413E79" w14:textId="77777777" w:rsidR="008312E5" w:rsidRDefault="008312E5">
      <w:pPr>
        <w:pStyle w:val="Zkladntext"/>
        <w:spacing w:before="480" w:after="240" w:line="276" w:lineRule="auto"/>
        <w:jc w:val="both"/>
        <w:rPr>
          <w:rFonts w:cs="Arial"/>
          <w:i/>
          <w:sz w:val="22"/>
          <w:szCs w:val="22"/>
        </w:rPr>
      </w:pPr>
    </w:p>
    <w:p w14:paraId="38602A79" w14:textId="77777777" w:rsidR="00886D24" w:rsidRDefault="00886D24">
      <w:pPr>
        <w:pStyle w:val="Zkladntext"/>
        <w:spacing w:before="480" w:after="240" w:line="276" w:lineRule="auto"/>
        <w:jc w:val="both"/>
        <w:rPr>
          <w:rFonts w:cs="Arial"/>
          <w:i/>
          <w:sz w:val="22"/>
          <w:szCs w:val="22"/>
        </w:rPr>
      </w:pPr>
    </w:p>
    <w:p w14:paraId="290697FA" w14:textId="77777777" w:rsidR="009E2A0B" w:rsidRPr="001419D5" w:rsidRDefault="005D7D59">
      <w:pPr>
        <w:pStyle w:val="Zkladntext"/>
        <w:spacing w:before="480" w:after="240" w:line="276" w:lineRule="auto"/>
        <w:jc w:val="both"/>
        <w:rPr>
          <w:rFonts w:cs="Arial"/>
          <w:i/>
          <w:sz w:val="22"/>
          <w:szCs w:val="22"/>
        </w:rPr>
      </w:pPr>
      <w:r w:rsidRPr="001419D5">
        <w:rPr>
          <w:rFonts w:cs="Arial"/>
          <w:i/>
          <w:sz w:val="22"/>
          <w:szCs w:val="22"/>
        </w:rPr>
        <w:lastRenderedPageBreak/>
        <w:t>S</w:t>
      </w:r>
      <w:r w:rsidR="00B22BC5">
        <w:rPr>
          <w:rFonts w:cs="Arial"/>
          <w:i/>
          <w:sz w:val="22"/>
          <w:szCs w:val="22"/>
        </w:rPr>
        <w:t>mluvní s</w:t>
      </w:r>
      <w:r w:rsidRPr="001419D5">
        <w:rPr>
          <w:rFonts w:cs="Arial"/>
          <w:i/>
          <w:sz w:val="22"/>
          <w:szCs w:val="22"/>
        </w:rPr>
        <w:t xml:space="preserve">trany souhlasně prohlašují, že si </w:t>
      </w:r>
      <w:r w:rsidR="001F6C21">
        <w:rPr>
          <w:rFonts w:cs="Arial"/>
          <w:i/>
          <w:sz w:val="22"/>
          <w:szCs w:val="22"/>
        </w:rPr>
        <w:t xml:space="preserve">tuto </w:t>
      </w:r>
      <w:r w:rsidRPr="001419D5">
        <w:rPr>
          <w:rFonts w:cs="Arial"/>
          <w:i/>
          <w:sz w:val="22"/>
          <w:szCs w:val="22"/>
        </w:rPr>
        <w:t xml:space="preserve">smlouvu pozorně přečetly, že její obsah je srozumitelný a určitý, a že jim nejsou známy žádné důvody, pro které by tato smlouva nemohla být </w:t>
      </w:r>
      <w:r w:rsidR="00B22BC5">
        <w:rPr>
          <w:rFonts w:cs="Arial"/>
          <w:i/>
          <w:sz w:val="22"/>
          <w:szCs w:val="22"/>
        </w:rPr>
        <w:t xml:space="preserve">smluvními </w:t>
      </w:r>
      <w:r w:rsidRPr="001419D5">
        <w:rPr>
          <w:rFonts w:cs="Arial"/>
          <w:i/>
          <w:sz w:val="22"/>
          <w:szCs w:val="22"/>
        </w:rPr>
        <w:t xml:space="preserve">stranami uzavřena a závazky z ní řádně plněny a nejsou jim známy žádné důvody, které by způsobovaly neplatnost této smlouvy. Na znamení toho, že s obsahem této smlouvy bez výhrad a ze své svobodné a vážné vůle souhlasí, a že </w:t>
      </w:r>
      <w:r w:rsidR="001F6C21">
        <w:rPr>
          <w:rFonts w:cs="Arial"/>
          <w:i/>
          <w:sz w:val="22"/>
          <w:szCs w:val="22"/>
        </w:rPr>
        <w:t xml:space="preserve">tato </w:t>
      </w:r>
      <w:r w:rsidRPr="001419D5">
        <w:rPr>
          <w:rFonts w:cs="Arial"/>
          <w:i/>
          <w:sz w:val="22"/>
          <w:szCs w:val="22"/>
        </w:rPr>
        <w:t>smlouva nebyla uzavřena v tísni ani za jinak jednostranně nevýhodných podmínek, připojují</w:t>
      </w:r>
      <w:r w:rsidR="00B22BC5">
        <w:rPr>
          <w:rFonts w:cs="Arial"/>
          <w:i/>
          <w:sz w:val="22"/>
          <w:szCs w:val="22"/>
        </w:rPr>
        <w:t xml:space="preserve"> smluvní</w:t>
      </w:r>
      <w:r w:rsidRPr="001419D5">
        <w:rPr>
          <w:rFonts w:cs="Arial"/>
          <w:i/>
          <w:sz w:val="22"/>
          <w:szCs w:val="22"/>
        </w:rPr>
        <w:t xml:space="preserve"> strany své podpisy níže.</w:t>
      </w:r>
    </w:p>
    <w:p w14:paraId="2E65618E" w14:textId="77777777" w:rsidR="008312E5" w:rsidRDefault="008312E5">
      <w:pPr>
        <w:pStyle w:val="Zkladntext"/>
        <w:tabs>
          <w:tab w:val="left" w:pos="709"/>
        </w:tabs>
        <w:spacing w:after="240"/>
        <w:jc w:val="both"/>
        <w:rPr>
          <w:rFonts w:cs="Arial"/>
          <w:sz w:val="22"/>
          <w:szCs w:val="22"/>
        </w:rPr>
      </w:pPr>
    </w:p>
    <w:p w14:paraId="025C4AA6" w14:textId="77777777" w:rsidR="008312E5" w:rsidRDefault="008312E5">
      <w:pPr>
        <w:pStyle w:val="Zkladntext"/>
        <w:tabs>
          <w:tab w:val="left" w:pos="709"/>
        </w:tabs>
        <w:spacing w:after="240"/>
        <w:jc w:val="both"/>
        <w:rPr>
          <w:rFonts w:cs="Arial"/>
          <w:sz w:val="22"/>
          <w:szCs w:val="22"/>
        </w:rPr>
      </w:pPr>
    </w:p>
    <w:p w14:paraId="29A86F6A" w14:textId="77777777" w:rsidR="008312E5" w:rsidRDefault="008312E5">
      <w:pPr>
        <w:pStyle w:val="Zkladntext"/>
        <w:tabs>
          <w:tab w:val="left" w:pos="709"/>
        </w:tabs>
        <w:spacing w:after="240"/>
        <w:jc w:val="both"/>
        <w:rPr>
          <w:rFonts w:cs="Arial"/>
          <w:sz w:val="22"/>
          <w:szCs w:val="22"/>
        </w:rPr>
      </w:pPr>
    </w:p>
    <w:p w14:paraId="14E49D34" w14:textId="0C0E5810" w:rsidR="009E2A0B" w:rsidRPr="00321B2E" w:rsidRDefault="00CE6B6D" w:rsidP="00321B2E">
      <w:pPr>
        <w:pStyle w:val="Zkladntext"/>
        <w:tabs>
          <w:tab w:val="left" w:pos="709"/>
        </w:tabs>
        <w:ind w:left="709" w:hanging="709"/>
        <w:jc w:val="both"/>
        <w:rPr>
          <w:rFonts w:cs="Arial"/>
          <w:sz w:val="22"/>
          <w:szCs w:val="22"/>
        </w:rPr>
      </w:pPr>
      <w:r w:rsidRPr="00321B2E">
        <w:rPr>
          <w:rFonts w:cs="Arial"/>
          <w:b/>
          <w:sz w:val="22"/>
          <w:szCs w:val="22"/>
        </w:rPr>
        <w:t>Česká televize</w:t>
      </w:r>
      <w:r w:rsidRPr="00321B2E">
        <w:rPr>
          <w:rFonts w:cs="Arial"/>
          <w:b/>
          <w:sz w:val="22"/>
          <w:szCs w:val="22"/>
        </w:rPr>
        <w:tab/>
      </w:r>
      <w:r w:rsidR="00992C28" w:rsidRPr="00321B2E">
        <w:rPr>
          <w:rFonts w:cs="Arial"/>
          <w:b/>
          <w:sz w:val="22"/>
          <w:szCs w:val="22"/>
        </w:rPr>
        <w:tab/>
      </w:r>
      <w:r w:rsidR="00992C28" w:rsidRPr="00321B2E">
        <w:rPr>
          <w:rFonts w:cs="Arial"/>
          <w:b/>
          <w:sz w:val="22"/>
          <w:szCs w:val="22"/>
        </w:rPr>
        <w:tab/>
      </w:r>
      <w:r w:rsidR="00992C28" w:rsidRPr="00321B2E">
        <w:rPr>
          <w:rFonts w:cs="Arial"/>
          <w:b/>
          <w:sz w:val="22"/>
          <w:szCs w:val="22"/>
        </w:rPr>
        <w:tab/>
      </w:r>
      <w:r w:rsidR="00992C28" w:rsidRPr="00321B2E">
        <w:rPr>
          <w:rFonts w:cs="Arial"/>
          <w:b/>
          <w:sz w:val="22"/>
          <w:szCs w:val="22"/>
        </w:rPr>
        <w:tab/>
      </w:r>
      <w:r w:rsidR="00B279EB" w:rsidRPr="00321B2E">
        <w:rPr>
          <w:rFonts w:cs="Arial"/>
          <w:b/>
          <w:bCs/>
          <w:sz w:val="23"/>
          <w:szCs w:val="23"/>
        </w:rPr>
        <w:t>Národní muzeum</w:t>
      </w:r>
    </w:p>
    <w:p w14:paraId="216F9F92" w14:textId="77777777" w:rsidR="00F42AFF" w:rsidRPr="00321B2E" w:rsidRDefault="00F42AFF" w:rsidP="00321B2E">
      <w:pPr>
        <w:pStyle w:val="Zkladntext"/>
        <w:tabs>
          <w:tab w:val="left" w:pos="709"/>
        </w:tabs>
        <w:ind w:left="709" w:hanging="709"/>
        <w:jc w:val="both"/>
        <w:rPr>
          <w:rFonts w:cs="Arial"/>
          <w:sz w:val="22"/>
          <w:szCs w:val="22"/>
        </w:rPr>
      </w:pPr>
    </w:p>
    <w:p w14:paraId="5249690C" w14:textId="5C82D2DE" w:rsidR="00F42AFF" w:rsidRPr="00321B2E" w:rsidRDefault="00F42AFF" w:rsidP="00321B2E">
      <w:pPr>
        <w:pStyle w:val="Zkladntext"/>
        <w:tabs>
          <w:tab w:val="left" w:pos="709"/>
        </w:tabs>
        <w:ind w:left="709" w:hanging="709"/>
        <w:jc w:val="both"/>
        <w:rPr>
          <w:rFonts w:cs="Arial"/>
          <w:sz w:val="22"/>
          <w:szCs w:val="22"/>
        </w:rPr>
      </w:pPr>
    </w:p>
    <w:p w14:paraId="654FD65C" w14:textId="77777777" w:rsidR="00F42AFF" w:rsidRPr="00321B2E" w:rsidRDefault="00F42AFF" w:rsidP="00321B2E">
      <w:pPr>
        <w:pStyle w:val="Zkladntext"/>
        <w:tabs>
          <w:tab w:val="left" w:pos="709"/>
        </w:tabs>
        <w:ind w:left="709" w:hanging="709"/>
        <w:jc w:val="both"/>
        <w:rPr>
          <w:rFonts w:cs="Arial"/>
          <w:sz w:val="22"/>
          <w:szCs w:val="22"/>
        </w:rPr>
      </w:pPr>
    </w:p>
    <w:p w14:paraId="728398B8" w14:textId="26CA4259" w:rsidR="00886D24" w:rsidRDefault="00886D24">
      <w:pPr>
        <w:pStyle w:val="Zkladntext"/>
        <w:jc w:val="both"/>
        <w:rPr>
          <w:rFonts w:cs="Arial"/>
          <w:sz w:val="22"/>
          <w:szCs w:val="22"/>
        </w:rPr>
      </w:pPr>
      <w:r>
        <w:rPr>
          <w:rFonts w:cs="Arial"/>
          <w:sz w:val="22"/>
          <w:szCs w:val="22"/>
        </w:rPr>
        <w:t>_________________________</w:t>
      </w:r>
      <w:r>
        <w:rPr>
          <w:rFonts w:cs="Arial"/>
          <w:sz w:val="22"/>
          <w:szCs w:val="22"/>
        </w:rPr>
        <w:tab/>
      </w:r>
      <w:r>
        <w:rPr>
          <w:rFonts w:cs="Arial"/>
          <w:sz w:val="22"/>
          <w:szCs w:val="22"/>
        </w:rPr>
        <w:tab/>
      </w:r>
      <w:r>
        <w:rPr>
          <w:rFonts w:cs="Arial"/>
          <w:sz w:val="22"/>
          <w:szCs w:val="22"/>
        </w:rPr>
        <w:tab/>
        <w:t>___________________________</w:t>
      </w:r>
    </w:p>
    <w:p w14:paraId="71EFB9CE" w14:textId="41BEE331" w:rsidR="00880F42" w:rsidRPr="00321B2E" w:rsidRDefault="00CE6B6D">
      <w:pPr>
        <w:pStyle w:val="Zkladntext"/>
        <w:jc w:val="both"/>
        <w:rPr>
          <w:rFonts w:cs="Arial"/>
          <w:sz w:val="22"/>
          <w:szCs w:val="22"/>
        </w:rPr>
      </w:pPr>
      <w:r w:rsidRPr="00321B2E">
        <w:rPr>
          <w:rFonts w:cs="Arial"/>
          <w:sz w:val="22"/>
          <w:szCs w:val="22"/>
        </w:rPr>
        <w:t xml:space="preserve">Jméno: </w:t>
      </w:r>
      <w:r w:rsidR="004338CF" w:rsidRPr="00321B2E">
        <w:rPr>
          <w:rFonts w:cs="Arial"/>
          <w:sz w:val="22"/>
          <w:szCs w:val="22"/>
        </w:rPr>
        <w:t>Robert Valica</w:t>
      </w:r>
      <w:r w:rsidR="00992C28" w:rsidRPr="00321B2E">
        <w:rPr>
          <w:rFonts w:cs="Arial"/>
          <w:sz w:val="22"/>
          <w:szCs w:val="22"/>
        </w:rPr>
        <w:tab/>
      </w:r>
      <w:r w:rsidR="00992C28" w:rsidRPr="00321B2E">
        <w:rPr>
          <w:rFonts w:cs="Arial"/>
          <w:sz w:val="22"/>
          <w:szCs w:val="22"/>
        </w:rPr>
        <w:tab/>
      </w:r>
      <w:r w:rsidR="00992C28" w:rsidRPr="00321B2E">
        <w:rPr>
          <w:rFonts w:cs="Arial"/>
          <w:sz w:val="22"/>
          <w:szCs w:val="22"/>
        </w:rPr>
        <w:tab/>
      </w:r>
      <w:r w:rsidR="004338CF" w:rsidRPr="00321B2E">
        <w:rPr>
          <w:rFonts w:cs="Arial"/>
          <w:sz w:val="22"/>
          <w:szCs w:val="22"/>
        </w:rPr>
        <w:tab/>
      </w:r>
      <w:r w:rsidR="004338CF" w:rsidRPr="00321B2E">
        <w:rPr>
          <w:rFonts w:cs="Arial"/>
          <w:sz w:val="22"/>
          <w:szCs w:val="22"/>
        </w:rPr>
        <w:tab/>
      </w:r>
      <w:r w:rsidR="00880F42" w:rsidRPr="00321B2E">
        <w:rPr>
          <w:rFonts w:cs="Arial"/>
          <w:sz w:val="22"/>
          <w:szCs w:val="22"/>
        </w:rPr>
        <w:t xml:space="preserve">Jméno: </w:t>
      </w:r>
      <w:r w:rsidR="00F42AFF" w:rsidRPr="00321B2E">
        <w:rPr>
          <w:rFonts w:cs="Arial"/>
          <w:sz w:val="22"/>
          <w:szCs w:val="22"/>
        </w:rPr>
        <w:t>Mgr. Marek Junek, Ph.D</w:t>
      </w:r>
    </w:p>
    <w:p w14:paraId="14B81251" w14:textId="531EB7ED" w:rsidR="00992C28" w:rsidRPr="00321B2E" w:rsidRDefault="00CE6B6D">
      <w:pPr>
        <w:pStyle w:val="Zkladntext"/>
        <w:jc w:val="both"/>
        <w:rPr>
          <w:rFonts w:cs="Arial"/>
          <w:sz w:val="22"/>
          <w:szCs w:val="22"/>
        </w:rPr>
      </w:pPr>
      <w:r w:rsidRPr="00321B2E">
        <w:rPr>
          <w:rFonts w:cs="Arial"/>
          <w:sz w:val="22"/>
          <w:szCs w:val="22"/>
        </w:rPr>
        <w:t xml:space="preserve">Funkce: </w:t>
      </w:r>
      <w:r w:rsidR="00AA4CAA" w:rsidRPr="00321B2E">
        <w:rPr>
          <w:rFonts w:cs="Arial"/>
          <w:sz w:val="22"/>
          <w:szCs w:val="22"/>
        </w:rPr>
        <w:t>v</w:t>
      </w:r>
      <w:r w:rsidR="004338CF" w:rsidRPr="00321B2E">
        <w:rPr>
          <w:rFonts w:cs="Arial"/>
          <w:sz w:val="22"/>
          <w:szCs w:val="22"/>
        </w:rPr>
        <w:t>edoucí Produkčních služeb</w:t>
      </w:r>
      <w:r w:rsidR="004338CF" w:rsidRPr="00321B2E">
        <w:rPr>
          <w:rFonts w:cs="Arial"/>
          <w:sz w:val="22"/>
          <w:szCs w:val="22"/>
        </w:rPr>
        <w:tab/>
      </w:r>
      <w:r w:rsidR="004338CF" w:rsidRPr="00321B2E">
        <w:rPr>
          <w:rFonts w:cs="Arial"/>
          <w:sz w:val="22"/>
          <w:szCs w:val="22"/>
        </w:rPr>
        <w:tab/>
      </w:r>
      <w:r w:rsidR="00880F42" w:rsidRPr="00321B2E">
        <w:rPr>
          <w:rFonts w:cs="Arial"/>
          <w:sz w:val="22"/>
          <w:szCs w:val="22"/>
        </w:rPr>
        <w:t xml:space="preserve">Funkce: </w:t>
      </w:r>
      <w:r w:rsidR="00F42AFF" w:rsidRPr="00321B2E">
        <w:rPr>
          <w:rFonts w:cs="Arial"/>
          <w:sz w:val="22"/>
          <w:szCs w:val="22"/>
        </w:rPr>
        <w:t>ředitel Historického muzea</w:t>
      </w:r>
      <w:r w:rsidR="00992C28" w:rsidRPr="00321B2E">
        <w:rPr>
          <w:rFonts w:cs="Arial"/>
          <w:sz w:val="22"/>
          <w:szCs w:val="22"/>
        </w:rPr>
        <w:tab/>
      </w:r>
    </w:p>
    <w:p w14:paraId="74A37847" w14:textId="77777777" w:rsidR="00992C28" w:rsidRPr="00321B2E" w:rsidRDefault="00992C28">
      <w:pPr>
        <w:pStyle w:val="Zkladntext"/>
        <w:tabs>
          <w:tab w:val="left" w:pos="709"/>
        </w:tabs>
        <w:ind w:left="709" w:hanging="709"/>
        <w:jc w:val="both"/>
        <w:rPr>
          <w:rFonts w:cs="Arial"/>
          <w:sz w:val="22"/>
          <w:szCs w:val="22"/>
        </w:rPr>
      </w:pPr>
      <w:r w:rsidRPr="00321B2E">
        <w:rPr>
          <w:rFonts w:cs="Arial"/>
          <w:sz w:val="22"/>
          <w:szCs w:val="22"/>
        </w:rPr>
        <w:t>Místo:</w:t>
      </w:r>
      <w:r w:rsidRPr="00321B2E">
        <w:rPr>
          <w:rFonts w:cs="Arial"/>
          <w:sz w:val="22"/>
          <w:szCs w:val="22"/>
        </w:rPr>
        <w:tab/>
      </w:r>
      <w:r w:rsidRPr="00321B2E">
        <w:rPr>
          <w:rFonts w:cs="Arial"/>
          <w:sz w:val="22"/>
          <w:szCs w:val="22"/>
        </w:rPr>
        <w:tab/>
      </w:r>
      <w:r w:rsidRPr="00321B2E">
        <w:rPr>
          <w:rFonts w:cs="Arial"/>
          <w:sz w:val="22"/>
          <w:szCs w:val="22"/>
        </w:rPr>
        <w:tab/>
      </w:r>
      <w:r w:rsidRPr="00321B2E">
        <w:rPr>
          <w:rFonts w:cs="Arial"/>
          <w:sz w:val="22"/>
          <w:szCs w:val="22"/>
        </w:rPr>
        <w:tab/>
      </w:r>
      <w:r w:rsidRPr="00321B2E">
        <w:rPr>
          <w:rFonts w:cs="Arial"/>
          <w:sz w:val="22"/>
          <w:szCs w:val="22"/>
        </w:rPr>
        <w:tab/>
      </w:r>
      <w:r w:rsidRPr="00321B2E">
        <w:rPr>
          <w:rFonts w:cs="Arial"/>
          <w:sz w:val="22"/>
          <w:szCs w:val="22"/>
        </w:rPr>
        <w:tab/>
      </w:r>
      <w:r w:rsidRPr="00321B2E">
        <w:rPr>
          <w:rFonts w:cs="Arial"/>
          <w:sz w:val="22"/>
          <w:szCs w:val="22"/>
        </w:rPr>
        <w:tab/>
        <w:t>Místo:</w:t>
      </w:r>
      <w:r w:rsidR="00F42AFF" w:rsidRPr="00321B2E">
        <w:rPr>
          <w:rFonts w:cs="Arial"/>
          <w:sz w:val="22"/>
          <w:szCs w:val="22"/>
        </w:rPr>
        <w:t xml:space="preserve"> v Praze</w:t>
      </w:r>
    </w:p>
    <w:p w14:paraId="3E4A273E" w14:textId="77777777" w:rsidR="009E2A0B" w:rsidRPr="001419D5" w:rsidRDefault="00992C28">
      <w:pPr>
        <w:pStyle w:val="Zkladntext"/>
        <w:tabs>
          <w:tab w:val="left" w:pos="709"/>
        </w:tabs>
        <w:ind w:left="709" w:hanging="709"/>
        <w:jc w:val="both"/>
        <w:rPr>
          <w:rFonts w:cs="Arial"/>
          <w:sz w:val="22"/>
          <w:szCs w:val="22"/>
        </w:rPr>
      </w:pPr>
      <w:r w:rsidRPr="00321B2E">
        <w:rPr>
          <w:rFonts w:cs="Arial"/>
          <w:sz w:val="22"/>
          <w:szCs w:val="22"/>
        </w:rPr>
        <w:t>Datum:</w:t>
      </w:r>
      <w:r w:rsidR="009E2A0B" w:rsidRPr="00321B2E">
        <w:rPr>
          <w:rFonts w:cs="Arial"/>
          <w:sz w:val="22"/>
          <w:szCs w:val="22"/>
        </w:rPr>
        <w:tab/>
      </w:r>
      <w:r w:rsidR="009E2A0B" w:rsidRPr="00321B2E">
        <w:rPr>
          <w:rFonts w:cs="Arial"/>
          <w:sz w:val="22"/>
          <w:szCs w:val="22"/>
        </w:rPr>
        <w:tab/>
      </w:r>
      <w:r w:rsidR="009E2A0B" w:rsidRPr="00321B2E">
        <w:rPr>
          <w:rFonts w:cs="Arial"/>
          <w:sz w:val="22"/>
          <w:szCs w:val="22"/>
        </w:rPr>
        <w:tab/>
      </w:r>
      <w:r w:rsidR="009E2A0B" w:rsidRPr="00321B2E">
        <w:rPr>
          <w:rFonts w:cs="Arial"/>
          <w:sz w:val="22"/>
          <w:szCs w:val="22"/>
        </w:rPr>
        <w:tab/>
      </w:r>
      <w:r w:rsidR="009E2A0B" w:rsidRPr="00321B2E">
        <w:rPr>
          <w:rFonts w:cs="Arial"/>
          <w:sz w:val="22"/>
          <w:szCs w:val="22"/>
        </w:rPr>
        <w:tab/>
      </w:r>
      <w:r w:rsidR="009E2A0B" w:rsidRPr="00321B2E">
        <w:rPr>
          <w:rFonts w:cs="Arial"/>
          <w:sz w:val="22"/>
          <w:szCs w:val="22"/>
        </w:rPr>
        <w:tab/>
      </w:r>
      <w:r w:rsidRPr="00321B2E">
        <w:rPr>
          <w:rFonts w:cs="Arial"/>
          <w:sz w:val="22"/>
          <w:szCs w:val="22"/>
        </w:rPr>
        <w:t>Datum:</w:t>
      </w:r>
    </w:p>
    <w:sectPr w:rsidR="009E2A0B" w:rsidRPr="001419D5" w:rsidSect="005523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BFAF" w14:textId="77777777" w:rsidR="001D02DB" w:rsidRDefault="001D02DB">
      <w:r>
        <w:separator/>
      </w:r>
    </w:p>
  </w:endnote>
  <w:endnote w:type="continuationSeparator" w:id="0">
    <w:p w14:paraId="3FE4D474" w14:textId="77777777" w:rsidR="001D02DB" w:rsidRDefault="001D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392" w14:textId="77777777" w:rsidR="002E6FC7" w:rsidRPr="00EF6BB7" w:rsidRDefault="007B0B54">
    <w:pPr>
      <w:pStyle w:val="Zpat"/>
      <w:jc w:val="center"/>
      <w:rPr>
        <w:sz w:val="16"/>
        <w:szCs w:val="16"/>
      </w:rPr>
    </w:pPr>
    <w:r w:rsidRPr="00EF6BB7">
      <w:rPr>
        <w:sz w:val="16"/>
        <w:szCs w:val="16"/>
      </w:rPr>
      <w:fldChar w:fldCharType="begin"/>
    </w:r>
    <w:r w:rsidR="00736625" w:rsidRPr="00EF6BB7">
      <w:rPr>
        <w:sz w:val="16"/>
        <w:szCs w:val="16"/>
      </w:rPr>
      <w:instrText>PAGE   \* MERGEFORMAT</w:instrText>
    </w:r>
    <w:r w:rsidRPr="00EF6BB7">
      <w:rPr>
        <w:sz w:val="16"/>
        <w:szCs w:val="16"/>
      </w:rPr>
      <w:fldChar w:fldCharType="separate"/>
    </w:r>
    <w:r w:rsidR="00A72707">
      <w:rPr>
        <w:noProof/>
        <w:sz w:val="16"/>
        <w:szCs w:val="16"/>
      </w:rPr>
      <w:t>1</w:t>
    </w:r>
    <w:r w:rsidRPr="00EF6BB7">
      <w:rPr>
        <w:sz w:val="16"/>
        <w:szCs w:val="16"/>
      </w:rPr>
      <w:fldChar w:fldCharType="end"/>
    </w:r>
  </w:p>
  <w:p w14:paraId="560CB43C" w14:textId="77777777" w:rsidR="002E6FC7" w:rsidRDefault="002E6F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1A731" w14:textId="77777777" w:rsidR="001D02DB" w:rsidRDefault="001D02DB">
      <w:r>
        <w:separator/>
      </w:r>
    </w:p>
  </w:footnote>
  <w:footnote w:type="continuationSeparator" w:id="0">
    <w:p w14:paraId="79BB2D2A" w14:textId="77777777" w:rsidR="001D02DB" w:rsidRDefault="001D0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E310" w14:textId="77777777" w:rsidR="00D63584" w:rsidRDefault="00D63584">
    <w:pPr>
      <w:pStyle w:val="Zhlav"/>
    </w:pPr>
    <w:r>
      <w:t xml:space="preserve">                                                                                              Číslo smlouvy: 2/19/781/85503/0033</w:t>
    </w:r>
  </w:p>
  <w:p w14:paraId="7CD2D9F0" w14:textId="77777777" w:rsidR="002E6FC7" w:rsidRDefault="002E6F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60A4632"/>
    <w:lvl w:ilvl="0">
      <w:start w:val="1"/>
      <w:numFmt w:val="decimal"/>
      <w:lvlText w:val="%1"/>
      <w:lvlJc w:val="left"/>
      <w:pPr>
        <w:tabs>
          <w:tab w:val="num" w:pos="432"/>
        </w:tabs>
        <w:ind w:left="432" w:hanging="432"/>
      </w:pPr>
      <w:rPr>
        <w:rFonts w:hint="default"/>
        <w:b/>
        <w:i w:val="0"/>
        <w:sz w:val="24"/>
        <w:szCs w:val="24"/>
      </w:rPr>
    </w:lvl>
    <w:lvl w:ilvl="1">
      <w:start w:val="1"/>
      <w:numFmt w:val="decimal"/>
      <w:pStyle w:val="Nadpis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val="0"/>
        <w:sz w:val="20"/>
        <w:szCs w:val="20"/>
      </w:rPr>
    </w:lvl>
    <w:lvl w:ilvl="3">
      <w:start w:val="1"/>
      <w:numFmt w:val="decimal"/>
      <w:pStyle w:val="Nadpis4"/>
      <w:lvlText w:val="%1.%2.%3.%4"/>
      <w:lvlJc w:val="left"/>
      <w:pPr>
        <w:tabs>
          <w:tab w:val="num" w:pos="864"/>
        </w:tabs>
        <w:ind w:left="864" w:hanging="864"/>
      </w:pPr>
      <w:rPr>
        <w:rFonts w:hint="default"/>
        <w:b/>
        <w:i w:val="0"/>
        <w:sz w:val="20"/>
        <w:szCs w:val="20"/>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1FD68C2"/>
    <w:multiLevelType w:val="hybridMultilevel"/>
    <w:tmpl w:val="0D1419D8"/>
    <w:lvl w:ilvl="0" w:tplc="3B5A78BA">
      <w:start w:val="1"/>
      <w:numFmt w:val="lowerLetter"/>
      <w:lvlText w:val="%1)"/>
      <w:lvlJc w:val="left"/>
      <w:pPr>
        <w:tabs>
          <w:tab w:val="num" w:pos="1233"/>
        </w:tabs>
        <w:ind w:left="1233" w:hanging="52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D4D6652"/>
    <w:multiLevelType w:val="hybridMultilevel"/>
    <w:tmpl w:val="540CD50C"/>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140A76C0"/>
    <w:multiLevelType w:val="multilevel"/>
    <w:tmpl w:val="D82492F0"/>
    <w:lvl w:ilvl="0">
      <w:start w:val="1"/>
      <w:numFmt w:val="decimal"/>
      <w:pStyle w:val="Nadpis1"/>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B9A7959"/>
    <w:multiLevelType w:val="hybridMultilevel"/>
    <w:tmpl w:val="D98EB1B6"/>
    <w:lvl w:ilvl="0" w:tplc="2B16584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B41733"/>
    <w:multiLevelType w:val="hybridMultilevel"/>
    <w:tmpl w:val="3014E164"/>
    <w:lvl w:ilvl="0" w:tplc="DC46F6A8">
      <w:start w:val="1"/>
      <w:numFmt w:val="upp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BC0744"/>
    <w:multiLevelType w:val="multilevel"/>
    <w:tmpl w:val="D9762B7C"/>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7" w15:restartNumberingAfterBreak="0">
    <w:nsid w:val="4C9773B2"/>
    <w:multiLevelType w:val="multilevel"/>
    <w:tmpl w:val="7FF66988"/>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8" w15:restartNumberingAfterBreak="0">
    <w:nsid w:val="4DE76A3B"/>
    <w:multiLevelType w:val="hybridMultilevel"/>
    <w:tmpl w:val="69CC45C0"/>
    <w:lvl w:ilvl="0" w:tplc="367460C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897200"/>
    <w:multiLevelType w:val="hybridMultilevel"/>
    <w:tmpl w:val="40B82BD4"/>
    <w:lvl w:ilvl="0" w:tplc="CC020BE0">
      <w:start w:val="1"/>
      <w:numFmt w:val="lowerLetter"/>
      <w:pStyle w:val="Odrka1"/>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9FB18AF"/>
    <w:multiLevelType w:val="hybridMultilevel"/>
    <w:tmpl w:val="6D52695A"/>
    <w:lvl w:ilvl="0" w:tplc="AB6E49CE">
      <w:start w:val="1"/>
      <w:numFmt w:val="bullet"/>
      <w:lvlText w:val=""/>
      <w:lvlJc w:val="left"/>
      <w:pPr>
        <w:tabs>
          <w:tab w:val="num" w:pos="357"/>
        </w:tabs>
        <w:ind w:left="357" w:hanging="35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D6DD1"/>
    <w:multiLevelType w:val="hybridMultilevel"/>
    <w:tmpl w:val="FA427A06"/>
    <w:lvl w:ilvl="0" w:tplc="93861AA8">
      <w:start w:val="1"/>
      <w:numFmt w:val="decimal"/>
      <w:lvlText w:val="3.%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320479"/>
    <w:multiLevelType w:val="hybridMultilevel"/>
    <w:tmpl w:val="09905234"/>
    <w:lvl w:ilvl="0" w:tplc="18F48E7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382DE6"/>
    <w:multiLevelType w:val="hybridMultilevel"/>
    <w:tmpl w:val="A03A57CE"/>
    <w:lvl w:ilvl="0" w:tplc="E9A02CE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2A2A40"/>
    <w:multiLevelType w:val="multilevel"/>
    <w:tmpl w:val="0B868B76"/>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15" w15:restartNumberingAfterBreak="0">
    <w:nsid w:val="788C5EA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025338"/>
    <w:multiLevelType w:val="hybridMultilevel"/>
    <w:tmpl w:val="8AF8D92C"/>
    <w:lvl w:ilvl="0" w:tplc="2026A32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4"/>
  </w:num>
  <w:num w:numId="6">
    <w:abstractNumId w:val="10"/>
  </w:num>
  <w:num w:numId="7">
    <w:abstractNumId w:val="1"/>
  </w:num>
  <w:num w:numId="8">
    <w:abstractNumId w:val="15"/>
  </w:num>
  <w:num w:numId="9">
    <w:abstractNumId w:val="13"/>
  </w:num>
  <w:num w:numId="10">
    <w:abstractNumId w:val="16"/>
  </w:num>
  <w:num w:numId="11">
    <w:abstractNumId w:val="12"/>
  </w:num>
  <w:num w:numId="12">
    <w:abstractNumId w:val="8"/>
  </w:num>
  <w:num w:numId="13">
    <w:abstractNumId w:val="4"/>
  </w:num>
  <w:num w:numId="14">
    <w:abstractNumId w:val="5"/>
  </w:num>
  <w:num w:numId="15">
    <w:abstractNumId w:val="3"/>
  </w:num>
  <w:num w:numId="16">
    <w:abstractNumId w:val="11"/>
  </w:num>
  <w:num w:numId="17">
    <w:abstractNumId w:val="9"/>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4"/>
    <w:rsid w:val="000006F7"/>
    <w:rsid w:val="00001379"/>
    <w:rsid w:val="000021E4"/>
    <w:rsid w:val="00005C05"/>
    <w:rsid w:val="000159D8"/>
    <w:rsid w:val="0002010D"/>
    <w:rsid w:val="00022923"/>
    <w:rsid w:val="00024E32"/>
    <w:rsid w:val="00044245"/>
    <w:rsid w:val="00093B55"/>
    <w:rsid w:val="00094A33"/>
    <w:rsid w:val="000B355F"/>
    <w:rsid w:val="000B3B9A"/>
    <w:rsid w:val="000C49CB"/>
    <w:rsid w:val="000D09D4"/>
    <w:rsid w:val="000D3939"/>
    <w:rsid w:val="000D6E2E"/>
    <w:rsid w:val="000E36B1"/>
    <w:rsid w:val="0010078F"/>
    <w:rsid w:val="00105007"/>
    <w:rsid w:val="001108D5"/>
    <w:rsid w:val="00111045"/>
    <w:rsid w:val="00114AD6"/>
    <w:rsid w:val="00114F91"/>
    <w:rsid w:val="0012026F"/>
    <w:rsid w:val="00121CCE"/>
    <w:rsid w:val="001251CB"/>
    <w:rsid w:val="00141282"/>
    <w:rsid w:val="001419D5"/>
    <w:rsid w:val="00143B9A"/>
    <w:rsid w:val="001565C4"/>
    <w:rsid w:val="001569C2"/>
    <w:rsid w:val="001815C9"/>
    <w:rsid w:val="00184631"/>
    <w:rsid w:val="001A29BC"/>
    <w:rsid w:val="001C5F60"/>
    <w:rsid w:val="001D02DB"/>
    <w:rsid w:val="001D6101"/>
    <w:rsid w:val="001E06BF"/>
    <w:rsid w:val="001F6046"/>
    <w:rsid w:val="001F6C21"/>
    <w:rsid w:val="002171A1"/>
    <w:rsid w:val="00234483"/>
    <w:rsid w:val="002356CD"/>
    <w:rsid w:val="00240029"/>
    <w:rsid w:val="00247F3F"/>
    <w:rsid w:val="00250968"/>
    <w:rsid w:val="00252FE2"/>
    <w:rsid w:val="00260D6C"/>
    <w:rsid w:val="00263D17"/>
    <w:rsid w:val="00265DA7"/>
    <w:rsid w:val="0027447A"/>
    <w:rsid w:val="00276B07"/>
    <w:rsid w:val="00285C30"/>
    <w:rsid w:val="00291CE3"/>
    <w:rsid w:val="00292028"/>
    <w:rsid w:val="0029673D"/>
    <w:rsid w:val="002A3860"/>
    <w:rsid w:val="002C4721"/>
    <w:rsid w:val="002D31BD"/>
    <w:rsid w:val="002D5C2C"/>
    <w:rsid w:val="002D600D"/>
    <w:rsid w:val="002D6ABC"/>
    <w:rsid w:val="002E1139"/>
    <w:rsid w:val="002E3B6A"/>
    <w:rsid w:val="002E6DF8"/>
    <w:rsid w:val="002E6FC7"/>
    <w:rsid w:val="00305029"/>
    <w:rsid w:val="00321B2E"/>
    <w:rsid w:val="00326955"/>
    <w:rsid w:val="00335D8E"/>
    <w:rsid w:val="00341AAC"/>
    <w:rsid w:val="0034223D"/>
    <w:rsid w:val="00350C9F"/>
    <w:rsid w:val="0035503E"/>
    <w:rsid w:val="0035701C"/>
    <w:rsid w:val="0037090E"/>
    <w:rsid w:val="00377620"/>
    <w:rsid w:val="003828F9"/>
    <w:rsid w:val="003844C5"/>
    <w:rsid w:val="003860DD"/>
    <w:rsid w:val="00386980"/>
    <w:rsid w:val="003936E5"/>
    <w:rsid w:val="003A6D7C"/>
    <w:rsid w:val="003B593D"/>
    <w:rsid w:val="003B7D9C"/>
    <w:rsid w:val="003C3679"/>
    <w:rsid w:val="003C6154"/>
    <w:rsid w:val="003E5F03"/>
    <w:rsid w:val="003F6BB0"/>
    <w:rsid w:val="003F75BF"/>
    <w:rsid w:val="004060C9"/>
    <w:rsid w:val="004065D4"/>
    <w:rsid w:val="00407769"/>
    <w:rsid w:val="004338CF"/>
    <w:rsid w:val="00433F35"/>
    <w:rsid w:val="00442577"/>
    <w:rsid w:val="00457E98"/>
    <w:rsid w:val="00462B68"/>
    <w:rsid w:val="004646BF"/>
    <w:rsid w:val="004646F6"/>
    <w:rsid w:val="0047017A"/>
    <w:rsid w:val="004706FA"/>
    <w:rsid w:val="00473EEB"/>
    <w:rsid w:val="00477984"/>
    <w:rsid w:val="0048639C"/>
    <w:rsid w:val="004956B6"/>
    <w:rsid w:val="00497A55"/>
    <w:rsid w:val="004C1A4F"/>
    <w:rsid w:val="004E0653"/>
    <w:rsid w:val="004E1294"/>
    <w:rsid w:val="004E366D"/>
    <w:rsid w:val="004F757D"/>
    <w:rsid w:val="004F79FC"/>
    <w:rsid w:val="00515681"/>
    <w:rsid w:val="00515E06"/>
    <w:rsid w:val="005235D4"/>
    <w:rsid w:val="005272DF"/>
    <w:rsid w:val="005348FD"/>
    <w:rsid w:val="005406DC"/>
    <w:rsid w:val="00542CCF"/>
    <w:rsid w:val="00545154"/>
    <w:rsid w:val="00552354"/>
    <w:rsid w:val="00552A4A"/>
    <w:rsid w:val="00557532"/>
    <w:rsid w:val="00560F1F"/>
    <w:rsid w:val="0056184F"/>
    <w:rsid w:val="00561924"/>
    <w:rsid w:val="00575D69"/>
    <w:rsid w:val="00576272"/>
    <w:rsid w:val="005773FA"/>
    <w:rsid w:val="00581CB5"/>
    <w:rsid w:val="00582D08"/>
    <w:rsid w:val="0058354A"/>
    <w:rsid w:val="00584B7E"/>
    <w:rsid w:val="00585470"/>
    <w:rsid w:val="005960AE"/>
    <w:rsid w:val="005A0914"/>
    <w:rsid w:val="005A3F3F"/>
    <w:rsid w:val="005A68A6"/>
    <w:rsid w:val="005C5901"/>
    <w:rsid w:val="005C7C95"/>
    <w:rsid w:val="005D065F"/>
    <w:rsid w:val="005D7D59"/>
    <w:rsid w:val="005E27F4"/>
    <w:rsid w:val="00604BA0"/>
    <w:rsid w:val="0060565F"/>
    <w:rsid w:val="0060762C"/>
    <w:rsid w:val="006149AE"/>
    <w:rsid w:val="00615373"/>
    <w:rsid w:val="0061696A"/>
    <w:rsid w:val="00632DC1"/>
    <w:rsid w:val="00641094"/>
    <w:rsid w:val="00656A54"/>
    <w:rsid w:val="0066252B"/>
    <w:rsid w:val="00663B90"/>
    <w:rsid w:val="00671AE0"/>
    <w:rsid w:val="00673559"/>
    <w:rsid w:val="006741F8"/>
    <w:rsid w:val="0067610E"/>
    <w:rsid w:val="00684231"/>
    <w:rsid w:val="00686B4A"/>
    <w:rsid w:val="00694BBF"/>
    <w:rsid w:val="00695936"/>
    <w:rsid w:val="00697E9B"/>
    <w:rsid w:val="006B051D"/>
    <w:rsid w:val="006B2AB9"/>
    <w:rsid w:val="006C004E"/>
    <w:rsid w:val="006D17A4"/>
    <w:rsid w:val="006D2F1B"/>
    <w:rsid w:val="006E2AAC"/>
    <w:rsid w:val="006E59F5"/>
    <w:rsid w:val="006E6616"/>
    <w:rsid w:val="006F21F2"/>
    <w:rsid w:val="0070097A"/>
    <w:rsid w:val="007054D2"/>
    <w:rsid w:val="0071538F"/>
    <w:rsid w:val="00716A75"/>
    <w:rsid w:val="00722F73"/>
    <w:rsid w:val="00734731"/>
    <w:rsid w:val="00734A99"/>
    <w:rsid w:val="00734B2C"/>
    <w:rsid w:val="00735414"/>
    <w:rsid w:val="00736625"/>
    <w:rsid w:val="00744831"/>
    <w:rsid w:val="00745F06"/>
    <w:rsid w:val="0074665F"/>
    <w:rsid w:val="007514ED"/>
    <w:rsid w:val="007560B1"/>
    <w:rsid w:val="0075726B"/>
    <w:rsid w:val="00770EBF"/>
    <w:rsid w:val="007A3D69"/>
    <w:rsid w:val="007A58B1"/>
    <w:rsid w:val="007A6DEA"/>
    <w:rsid w:val="007B0B54"/>
    <w:rsid w:val="007B28D2"/>
    <w:rsid w:val="007C7FA3"/>
    <w:rsid w:val="007D3682"/>
    <w:rsid w:val="007D3A40"/>
    <w:rsid w:val="007E3632"/>
    <w:rsid w:val="007F34EE"/>
    <w:rsid w:val="007F6E52"/>
    <w:rsid w:val="008013E5"/>
    <w:rsid w:val="008037BD"/>
    <w:rsid w:val="00804A21"/>
    <w:rsid w:val="00810F54"/>
    <w:rsid w:val="00811A31"/>
    <w:rsid w:val="00812A1C"/>
    <w:rsid w:val="008200F7"/>
    <w:rsid w:val="00820ED2"/>
    <w:rsid w:val="0082302F"/>
    <w:rsid w:val="008312E5"/>
    <w:rsid w:val="00831AA5"/>
    <w:rsid w:val="008321C8"/>
    <w:rsid w:val="00836BFD"/>
    <w:rsid w:val="00836D78"/>
    <w:rsid w:val="00842126"/>
    <w:rsid w:val="00853CD0"/>
    <w:rsid w:val="00862D44"/>
    <w:rsid w:val="00865818"/>
    <w:rsid w:val="008718CC"/>
    <w:rsid w:val="00872D61"/>
    <w:rsid w:val="00880F42"/>
    <w:rsid w:val="00882A13"/>
    <w:rsid w:val="00886040"/>
    <w:rsid w:val="00886C53"/>
    <w:rsid w:val="00886D24"/>
    <w:rsid w:val="00896239"/>
    <w:rsid w:val="008A4474"/>
    <w:rsid w:val="008B63EC"/>
    <w:rsid w:val="008C1D8F"/>
    <w:rsid w:val="008C1E80"/>
    <w:rsid w:val="008D0BAA"/>
    <w:rsid w:val="008F4AB8"/>
    <w:rsid w:val="008F4DA9"/>
    <w:rsid w:val="00904C13"/>
    <w:rsid w:val="009064C2"/>
    <w:rsid w:val="00914AD7"/>
    <w:rsid w:val="00924A58"/>
    <w:rsid w:val="00937EF7"/>
    <w:rsid w:val="009470DB"/>
    <w:rsid w:val="009479D5"/>
    <w:rsid w:val="00970F0A"/>
    <w:rsid w:val="0097220E"/>
    <w:rsid w:val="00973E87"/>
    <w:rsid w:val="0097468A"/>
    <w:rsid w:val="00983785"/>
    <w:rsid w:val="0098682A"/>
    <w:rsid w:val="00991536"/>
    <w:rsid w:val="00992C28"/>
    <w:rsid w:val="00993D1F"/>
    <w:rsid w:val="009940CC"/>
    <w:rsid w:val="009A6055"/>
    <w:rsid w:val="009A6661"/>
    <w:rsid w:val="009B7561"/>
    <w:rsid w:val="009E0FD1"/>
    <w:rsid w:val="009E2153"/>
    <w:rsid w:val="009E2A0B"/>
    <w:rsid w:val="009E4F2C"/>
    <w:rsid w:val="009E5868"/>
    <w:rsid w:val="009F2BEF"/>
    <w:rsid w:val="00A04866"/>
    <w:rsid w:val="00A05100"/>
    <w:rsid w:val="00A075F3"/>
    <w:rsid w:val="00A108D7"/>
    <w:rsid w:val="00A134D6"/>
    <w:rsid w:val="00A14358"/>
    <w:rsid w:val="00A34849"/>
    <w:rsid w:val="00A3752B"/>
    <w:rsid w:val="00A37A27"/>
    <w:rsid w:val="00A42C88"/>
    <w:rsid w:val="00A45221"/>
    <w:rsid w:val="00A53E81"/>
    <w:rsid w:val="00A615E6"/>
    <w:rsid w:val="00A657AD"/>
    <w:rsid w:val="00A67B53"/>
    <w:rsid w:val="00A72707"/>
    <w:rsid w:val="00A73B09"/>
    <w:rsid w:val="00A921B1"/>
    <w:rsid w:val="00A97B3F"/>
    <w:rsid w:val="00AA4CAA"/>
    <w:rsid w:val="00AB27B8"/>
    <w:rsid w:val="00AD0774"/>
    <w:rsid w:val="00AD0F5F"/>
    <w:rsid w:val="00AE17CC"/>
    <w:rsid w:val="00AE7590"/>
    <w:rsid w:val="00AF10AF"/>
    <w:rsid w:val="00AF3B6A"/>
    <w:rsid w:val="00AF3C9A"/>
    <w:rsid w:val="00B00DB3"/>
    <w:rsid w:val="00B06403"/>
    <w:rsid w:val="00B07B73"/>
    <w:rsid w:val="00B22BC5"/>
    <w:rsid w:val="00B25C77"/>
    <w:rsid w:val="00B279EB"/>
    <w:rsid w:val="00B32529"/>
    <w:rsid w:val="00B42142"/>
    <w:rsid w:val="00B625F0"/>
    <w:rsid w:val="00B73493"/>
    <w:rsid w:val="00B76F11"/>
    <w:rsid w:val="00B81B43"/>
    <w:rsid w:val="00B879E2"/>
    <w:rsid w:val="00B87EA6"/>
    <w:rsid w:val="00B92655"/>
    <w:rsid w:val="00BA312F"/>
    <w:rsid w:val="00BB5976"/>
    <w:rsid w:val="00BB6100"/>
    <w:rsid w:val="00BB7F09"/>
    <w:rsid w:val="00BC2D7D"/>
    <w:rsid w:val="00BC3B24"/>
    <w:rsid w:val="00BE1DB1"/>
    <w:rsid w:val="00BE2AAF"/>
    <w:rsid w:val="00BE7B02"/>
    <w:rsid w:val="00BF36FE"/>
    <w:rsid w:val="00BF55E6"/>
    <w:rsid w:val="00BF7F6A"/>
    <w:rsid w:val="00C013EF"/>
    <w:rsid w:val="00C10A33"/>
    <w:rsid w:val="00C13C07"/>
    <w:rsid w:val="00C27262"/>
    <w:rsid w:val="00C3468F"/>
    <w:rsid w:val="00C37EF2"/>
    <w:rsid w:val="00C4418F"/>
    <w:rsid w:val="00C45CC9"/>
    <w:rsid w:val="00C56A7D"/>
    <w:rsid w:val="00C63727"/>
    <w:rsid w:val="00C65501"/>
    <w:rsid w:val="00C66170"/>
    <w:rsid w:val="00C8100D"/>
    <w:rsid w:val="00C81E22"/>
    <w:rsid w:val="00C862FE"/>
    <w:rsid w:val="00C92E59"/>
    <w:rsid w:val="00C93545"/>
    <w:rsid w:val="00C93EA4"/>
    <w:rsid w:val="00C9461C"/>
    <w:rsid w:val="00CC6EC3"/>
    <w:rsid w:val="00CC7B7F"/>
    <w:rsid w:val="00CE00C8"/>
    <w:rsid w:val="00CE6B6D"/>
    <w:rsid w:val="00CF04BE"/>
    <w:rsid w:val="00CF4BDE"/>
    <w:rsid w:val="00D0254C"/>
    <w:rsid w:val="00D15CC9"/>
    <w:rsid w:val="00D16200"/>
    <w:rsid w:val="00D16B81"/>
    <w:rsid w:val="00D20CF7"/>
    <w:rsid w:val="00D5139B"/>
    <w:rsid w:val="00D513C8"/>
    <w:rsid w:val="00D51811"/>
    <w:rsid w:val="00D63584"/>
    <w:rsid w:val="00D659DC"/>
    <w:rsid w:val="00D72DE8"/>
    <w:rsid w:val="00D73F21"/>
    <w:rsid w:val="00D77167"/>
    <w:rsid w:val="00D811D7"/>
    <w:rsid w:val="00D94B49"/>
    <w:rsid w:val="00DA3E67"/>
    <w:rsid w:val="00DB30A3"/>
    <w:rsid w:val="00DB3219"/>
    <w:rsid w:val="00DB5FDA"/>
    <w:rsid w:val="00DB7002"/>
    <w:rsid w:val="00DC44E2"/>
    <w:rsid w:val="00DD1053"/>
    <w:rsid w:val="00DD26ED"/>
    <w:rsid w:val="00DD7D62"/>
    <w:rsid w:val="00DE3149"/>
    <w:rsid w:val="00DE3C5E"/>
    <w:rsid w:val="00E03082"/>
    <w:rsid w:val="00E16A79"/>
    <w:rsid w:val="00E1727A"/>
    <w:rsid w:val="00E43F5E"/>
    <w:rsid w:val="00E46372"/>
    <w:rsid w:val="00E66DA9"/>
    <w:rsid w:val="00E72B58"/>
    <w:rsid w:val="00E73781"/>
    <w:rsid w:val="00E804C3"/>
    <w:rsid w:val="00E844D0"/>
    <w:rsid w:val="00E87C69"/>
    <w:rsid w:val="00E909F7"/>
    <w:rsid w:val="00E9299D"/>
    <w:rsid w:val="00E97CF6"/>
    <w:rsid w:val="00EA7594"/>
    <w:rsid w:val="00EB1AC2"/>
    <w:rsid w:val="00EB72AE"/>
    <w:rsid w:val="00ED1BF6"/>
    <w:rsid w:val="00ED2F2F"/>
    <w:rsid w:val="00ED5053"/>
    <w:rsid w:val="00ED67FB"/>
    <w:rsid w:val="00EE3D86"/>
    <w:rsid w:val="00EF26B6"/>
    <w:rsid w:val="00EF3436"/>
    <w:rsid w:val="00EF6AB1"/>
    <w:rsid w:val="00F10123"/>
    <w:rsid w:val="00F15D62"/>
    <w:rsid w:val="00F17D8F"/>
    <w:rsid w:val="00F21D27"/>
    <w:rsid w:val="00F24F6C"/>
    <w:rsid w:val="00F42AFF"/>
    <w:rsid w:val="00F51196"/>
    <w:rsid w:val="00F54720"/>
    <w:rsid w:val="00F65C25"/>
    <w:rsid w:val="00F66A29"/>
    <w:rsid w:val="00F727E0"/>
    <w:rsid w:val="00F7305D"/>
    <w:rsid w:val="00F73272"/>
    <w:rsid w:val="00F76D09"/>
    <w:rsid w:val="00F80126"/>
    <w:rsid w:val="00F834BB"/>
    <w:rsid w:val="00F849A6"/>
    <w:rsid w:val="00F872D4"/>
    <w:rsid w:val="00F938BF"/>
    <w:rsid w:val="00F96C0E"/>
    <w:rsid w:val="00FA2904"/>
    <w:rsid w:val="00FA5253"/>
    <w:rsid w:val="00FB4D86"/>
    <w:rsid w:val="00FB5CDB"/>
    <w:rsid w:val="00FB7063"/>
    <w:rsid w:val="00FC23B9"/>
    <w:rsid w:val="00FC74A6"/>
    <w:rsid w:val="00FD708D"/>
    <w:rsid w:val="00FE312F"/>
    <w:rsid w:val="00FE495E"/>
    <w:rsid w:val="00FF4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41BDF"/>
  <w15:docId w15:val="{72DEFB9E-2AD5-4013-839B-0E6FA55E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BA0"/>
    <w:rPr>
      <w:rFonts w:ascii="Arial" w:hAnsi="Arial"/>
      <w:szCs w:val="24"/>
    </w:rPr>
  </w:style>
  <w:style w:type="paragraph" w:styleId="Nadpis10">
    <w:name w:val="heading 1"/>
    <w:aliases w:val="Nadpis - Paragraf,h1,H1,Kapitola,V_Head1,Záhlaví 1,ASAPHeading 1,F1,Základní kapitola,0Überschrift 1,1Überschrift 1,2Überschrift 1,3Überschrift 1,4Überschrift 1,5Überschrift 1,6Überschrift 1,7Überschrift 1,8Überschrift 1,9Überschrift 1,RIM"/>
    <w:basedOn w:val="Normln"/>
    <w:next w:val="Normln"/>
    <w:autoRedefine/>
    <w:qFormat/>
    <w:rsid w:val="00744831"/>
    <w:pPr>
      <w:keepNext/>
      <w:tabs>
        <w:tab w:val="left" w:pos="2160"/>
      </w:tabs>
      <w:spacing w:line="240" w:lineRule="atLeast"/>
      <w:jc w:val="center"/>
      <w:outlineLvl w:val="0"/>
    </w:pPr>
    <w:rPr>
      <w:b/>
      <w:caps/>
      <w:sz w:val="24"/>
      <w:szCs w:val="20"/>
    </w:rPr>
  </w:style>
  <w:style w:type="paragraph" w:styleId="Nadpis2">
    <w:name w:val="heading 2"/>
    <w:aliases w:val="Text kapitoly"/>
    <w:basedOn w:val="Normln"/>
    <w:next w:val="Normln"/>
    <w:autoRedefine/>
    <w:qFormat/>
    <w:rsid w:val="00604BA0"/>
    <w:pPr>
      <w:numPr>
        <w:ilvl w:val="1"/>
        <w:numId w:val="3"/>
      </w:numPr>
      <w:spacing w:after="180"/>
      <w:jc w:val="both"/>
      <w:outlineLvl w:val="1"/>
    </w:pPr>
    <w:rPr>
      <w:szCs w:val="20"/>
    </w:rPr>
  </w:style>
  <w:style w:type="paragraph" w:styleId="Nadpis3">
    <w:name w:val="heading 3"/>
    <w:aliases w:val="Text Podkapitoly"/>
    <w:basedOn w:val="Normln"/>
    <w:next w:val="Normln"/>
    <w:autoRedefine/>
    <w:qFormat/>
    <w:rsid w:val="00604BA0"/>
    <w:pPr>
      <w:tabs>
        <w:tab w:val="left" w:pos="1260"/>
      </w:tabs>
      <w:spacing w:after="180"/>
      <w:ind w:left="540"/>
      <w:jc w:val="both"/>
      <w:outlineLvl w:val="2"/>
    </w:pPr>
    <w:rPr>
      <w:szCs w:val="20"/>
    </w:rPr>
  </w:style>
  <w:style w:type="paragraph" w:styleId="Nadpis4">
    <w:name w:val="heading 4"/>
    <w:aliases w:val="Text Odstavce,V_Head4,ASAPHeading 4,Podkapitola3,Aufgabe,Nadpis 4T,nadpis4,MUS4"/>
    <w:basedOn w:val="Normln"/>
    <w:next w:val="Normln"/>
    <w:autoRedefine/>
    <w:qFormat/>
    <w:rsid w:val="00604BA0"/>
    <w:pPr>
      <w:numPr>
        <w:ilvl w:val="3"/>
        <w:numId w:val="3"/>
      </w:numPr>
      <w:spacing w:after="120"/>
      <w:outlineLvl w:val="3"/>
    </w:pPr>
    <w:rPr>
      <w:szCs w:val="20"/>
    </w:rPr>
  </w:style>
  <w:style w:type="paragraph" w:styleId="Nadpis5">
    <w:name w:val="heading 5"/>
    <w:aliases w:val="Nepoužívat,ASAPHeading 5,nadpis5"/>
    <w:basedOn w:val="Normln"/>
    <w:next w:val="Normln"/>
    <w:autoRedefine/>
    <w:qFormat/>
    <w:rsid w:val="00604BA0"/>
    <w:pPr>
      <w:numPr>
        <w:ilvl w:val="4"/>
        <w:numId w:val="3"/>
      </w:numPr>
      <w:spacing w:after="120"/>
      <w:outlineLvl w:val="4"/>
    </w:pPr>
    <w:rPr>
      <w:b/>
      <w:szCs w:val="20"/>
    </w:rPr>
  </w:style>
  <w:style w:type="paragraph" w:styleId="Nadpis6">
    <w:name w:val="heading 6"/>
    <w:aliases w:val="ASAPHeading 6,Heading 6  Appendix Y &amp; Z,Heading 6  Appendix Y &amp; Z1,Heading 6  Appendix Y &amp; Z2,Heading 6  Appendix Y &amp; Z11,MUS6,nadpis6"/>
    <w:basedOn w:val="Normln"/>
    <w:next w:val="Normln"/>
    <w:autoRedefine/>
    <w:qFormat/>
    <w:rsid w:val="00604BA0"/>
    <w:pPr>
      <w:numPr>
        <w:ilvl w:val="5"/>
        <w:numId w:val="3"/>
      </w:numPr>
      <w:spacing w:after="120"/>
      <w:outlineLvl w:val="5"/>
    </w:pPr>
    <w:rPr>
      <w:b/>
      <w:szCs w:val="20"/>
    </w:rPr>
  </w:style>
  <w:style w:type="paragraph" w:styleId="Nadpis7">
    <w:name w:val="heading 7"/>
    <w:aliases w:val="ASAPHeading 7,MUS7,nadpis7"/>
    <w:basedOn w:val="Normln"/>
    <w:next w:val="Normln"/>
    <w:autoRedefine/>
    <w:qFormat/>
    <w:rsid w:val="00604BA0"/>
    <w:pPr>
      <w:numPr>
        <w:ilvl w:val="6"/>
        <w:numId w:val="3"/>
      </w:numPr>
      <w:spacing w:after="120"/>
      <w:outlineLvl w:val="6"/>
    </w:pPr>
    <w:rPr>
      <w:b/>
      <w:szCs w:val="20"/>
    </w:rPr>
  </w:style>
  <w:style w:type="paragraph" w:styleId="Nadpis8">
    <w:name w:val="heading 8"/>
    <w:aliases w:val="ASAPHeading 8,MUS8,nadpis8"/>
    <w:basedOn w:val="Normln"/>
    <w:next w:val="Normln"/>
    <w:autoRedefine/>
    <w:qFormat/>
    <w:rsid w:val="00604BA0"/>
    <w:pPr>
      <w:numPr>
        <w:ilvl w:val="7"/>
        <w:numId w:val="3"/>
      </w:numPr>
      <w:spacing w:after="120"/>
      <w:outlineLvl w:val="7"/>
    </w:pPr>
    <w:rPr>
      <w:b/>
      <w:szCs w:val="20"/>
    </w:rPr>
  </w:style>
  <w:style w:type="paragraph" w:styleId="Nadpis9">
    <w:name w:val="heading 9"/>
    <w:aliases w:val="h9,heading9,ASAPHeading 9,App Heading,MUS9,nadpis9"/>
    <w:basedOn w:val="Normln"/>
    <w:next w:val="Normln"/>
    <w:autoRedefine/>
    <w:qFormat/>
    <w:rsid w:val="00604BA0"/>
    <w:pPr>
      <w:numPr>
        <w:ilvl w:val="8"/>
        <w:numId w:val="3"/>
      </w:numPr>
      <w:spacing w:after="120"/>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04BA0"/>
    <w:pPr>
      <w:tabs>
        <w:tab w:val="center" w:pos="4536"/>
        <w:tab w:val="right" w:pos="9072"/>
      </w:tabs>
    </w:pPr>
  </w:style>
  <w:style w:type="paragraph" w:customStyle="1" w:styleId="Normal-14">
    <w:name w:val="Normal - 14"/>
    <w:basedOn w:val="Normln"/>
    <w:rsid w:val="00604BA0"/>
    <w:pPr>
      <w:jc w:val="center"/>
    </w:pPr>
    <w:rPr>
      <w:b/>
      <w:bCs/>
      <w:sz w:val="28"/>
      <w:szCs w:val="20"/>
    </w:rPr>
  </w:style>
  <w:style w:type="paragraph" w:styleId="Zkladntextodsazen">
    <w:name w:val="Body Text Indent"/>
    <w:basedOn w:val="Normln"/>
    <w:rsid w:val="00604BA0"/>
    <w:pPr>
      <w:spacing w:after="120"/>
      <w:ind w:left="283"/>
    </w:pPr>
  </w:style>
  <w:style w:type="paragraph" w:customStyle="1" w:styleId="Smluvnstrana">
    <w:name w:val="Smluvní strana"/>
    <w:basedOn w:val="Normln"/>
    <w:rsid w:val="00604BA0"/>
    <w:pPr>
      <w:overflowPunct w:val="0"/>
      <w:autoSpaceDE w:val="0"/>
      <w:autoSpaceDN w:val="0"/>
      <w:adjustRightInd w:val="0"/>
      <w:spacing w:line="280" w:lineRule="atLeast"/>
      <w:jc w:val="both"/>
      <w:textAlignment w:val="baseline"/>
    </w:pPr>
    <w:rPr>
      <w:rFonts w:ascii="Times New Roman" w:hAnsi="Times New Roman"/>
      <w:b/>
      <w:sz w:val="28"/>
      <w:szCs w:val="20"/>
      <w:lang w:eastAsia="en-US"/>
    </w:rPr>
  </w:style>
  <w:style w:type="paragraph" w:customStyle="1" w:styleId="Ploha">
    <w:name w:val="Příloha"/>
    <w:basedOn w:val="Normln"/>
    <w:rsid w:val="00604BA0"/>
    <w:pPr>
      <w:spacing w:line="280" w:lineRule="atLeast"/>
      <w:jc w:val="center"/>
    </w:pPr>
    <w:rPr>
      <w:rFonts w:ascii="Garamond" w:hAnsi="Garamond"/>
      <w:b/>
      <w:sz w:val="36"/>
      <w:szCs w:val="20"/>
    </w:rPr>
  </w:style>
  <w:style w:type="paragraph" w:styleId="Textbubliny">
    <w:name w:val="Balloon Text"/>
    <w:basedOn w:val="Normln"/>
    <w:semiHidden/>
    <w:rsid w:val="00604BA0"/>
    <w:rPr>
      <w:rFonts w:ascii="Tahoma" w:hAnsi="Tahoma" w:cs="Tahoma"/>
      <w:sz w:val="16"/>
      <w:szCs w:val="16"/>
    </w:rPr>
  </w:style>
  <w:style w:type="paragraph" w:styleId="Zkladntext3">
    <w:name w:val="Body Text 3"/>
    <w:basedOn w:val="Normln"/>
    <w:rsid w:val="00604BA0"/>
    <w:pPr>
      <w:spacing w:after="120"/>
    </w:pPr>
    <w:rPr>
      <w:sz w:val="16"/>
      <w:szCs w:val="16"/>
    </w:rPr>
  </w:style>
  <w:style w:type="paragraph" w:styleId="Zhlav">
    <w:name w:val="header"/>
    <w:basedOn w:val="Normln"/>
    <w:link w:val="ZhlavChar"/>
    <w:uiPriority w:val="99"/>
    <w:rsid w:val="00AE7590"/>
    <w:pPr>
      <w:tabs>
        <w:tab w:val="center" w:pos="4536"/>
        <w:tab w:val="right" w:pos="9072"/>
      </w:tabs>
    </w:pPr>
  </w:style>
  <w:style w:type="paragraph" w:styleId="Zkladntext">
    <w:name w:val="Body Text"/>
    <w:basedOn w:val="Normln"/>
    <w:rsid w:val="00744831"/>
    <w:pPr>
      <w:spacing w:after="120"/>
    </w:pPr>
  </w:style>
  <w:style w:type="character" w:customStyle="1" w:styleId="ZhlavChar">
    <w:name w:val="Záhlaví Char"/>
    <w:link w:val="Zhlav"/>
    <w:uiPriority w:val="99"/>
    <w:rsid w:val="00BB7F09"/>
    <w:rPr>
      <w:rFonts w:ascii="Arial" w:hAnsi="Arial"/>
      <w:szCs w:val="24"/>
    </w:rPr>
  </w:style>
  <w:style w:type="paragraph" w:styleId="Zkladntextodsazen3">
    <w:name w:val="Body Text Indent 3"/>
    <w:basedOn w:val="Normln"/>
    <w:link w:val="Zkladntextodsazen3Char"/>
    <w:rsid w:val="00ED5053"/>
    <w:pPr>
      <w:spacing w:after="120"/>
      <w:ind w:left="283"/>
    </w:pPr>
    <w:rPr>
      <w:sz w:val="16"/>
      <w:szCs w:val="16"/>
    </w:rPr>
  </w:style>
  <w:style w:type="character" w:customStyle="1" w:styleId="Zkladntextodsazen3Char">
    <w:name w:val="Základní text odsazený 3 Char"/>
    <w:link w:val="Zkladntextodsazen3"/>
    <w:rsid w:val="00ED5053"/>
    <w:rPr>
      <w:rFonts w:ascii="Arial" w:hAnsi="Arial"/>
      <w:sz w:val="16"/>
      <w:szCs w:val="16"/>
    </w:rPr>
  </w:style>
  <w:style w:type="table" w:styleId="Mkatabulky">
    <w:name w:val="Table Grid"/>
    <w:basedOn w:val="Normlntabulka"/>
    <w:rsid w:val="0056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114F91"/>
    <w:rPr>
      <w:sz w:val="16"/>
      <w:szCs w:val="16"/>
    </w:rPr>
  </w:style>
  <w:style w:type="paragraph" w:styleId="Textkomente">
    <w:name w:val="annotation text"/>
    <w:basedOn w:val="Normln"/>
    <w:link w:val="TextkomenteChar"/>
    <w:rsid w:val="00114F91"/>
    <w:rPr>
      <w:szCs w:val="20"/>
    </w:rPr>
  </w:style>
  <w:style w:type="character" w:customStyle="1" w:styleId="TextkomenteChar">
    <w:name w:val="Text komentáře Char"/>
    <w:basedOn w:val="Standardnpsmoodstavce"/>
    <w:link w:val="Textkomente"/>
    <w:rsid w:val="00114F91"/>
    <w:rPr>
      <w:rFonts w:ascii="Arial" w:hAnsi="Arial"/>
    </w:rPr>
  </w:style>
  <w:style w:type="paragraph" w:styleId="Pedmtkomente">
    <w:name w:val="annotation subject"/>
    <w:basedOn w:val="Textkomente"/>
    <w:next w:val="Textkomente"/>
    <w:link w:val="PedmtkomenteChar"/>
    <w:rsid w:val="00114F91"/>
    <w:rPr>
      <w:b/>
      <w:bCs/>
    </w:rPr>
  </w:style>
  <w:style w:type="character" w:customStyle="1" w:styleId="PedmtkomenteChar">
    <w:name w:val="Předmět komentáře Char"/>
    <w:basedOn w:val="TextkomenteChar"/>
    <w:link w:val="Pedmtkomente"/>
    <w:rsid w:val="00114F91"/>
    <w:rPr>
      <w:rFonts w:ascii="Arial" w:hAnsi="Arial"/>
      <w:b/>
      <w:bCs/>
    </w:rPr>
  </w:style>
  <w:style w:type="paragraph" w:styleId="Odstavecseseznamem">
    <w:name w:val="List Paragraph"/>
    <w:basedOn w:val="Normln"/>
    <w:link w:val="OdstavecseseznamemChar"/>
    <w:uiPriority w:val="34"/>
    <w:qFormat/>
    <w:rsid w:val="009E2A0B"/>
    <w:pPr>
      <w:ind w:left="708"/>
    </w:pPr>
    <w:rPr>
      <w:rFonts w:eastAsia="Batang"/>
      <w:sz w:val="22"/>
    </w:rPr>
  </w:style>
  <w:style w:type="character" w:customStyle="1" w:styleId="ZpatChar">
    <w:name w:val="Zápatí Char"/>
    <w:link w:val="Zpat"/>
    <w:uiPriority w:val="99"/>
    <w:rsid w:val="009E2A0B"/>
    <w:rPr>
      <w:rFonts w:ascii="Arial" w:hAnsi="Arial"/>
      <w:szCs w:val="24"/>
    </w:rPr>
  </w:style>
  <w:style w:type="character" w:styleId="Zstupntext">
    <w:name w:val="Placeholder Text"/>
    <w:basedOn w:val="Standardnpsmoodstavce"/>
    <w:uiPriority w:val="99"/>
    <w:semiHidden/>
    <w:rsid w:val="00D513C8"/>
    <w:rPr>
      <w:color w:val="808080"/>
    </w:rPr>
  </w:style>
  <w:style w:type="paragraph" w:customStyle="1" w:styleId="Nadpis1">
    <w:name w:val="Nadpis1"/>
    <w:basedOn w:val="Odstavecseseznamem"/>
    <w:link w:val="Nadpis1Char"/>
    <w:qFormat/>
    <w:rsid w:val="00641094"/>
    <w:pPr>
      <w:numPr>
        <w:numId w:val="15"/>
      </w:numPr>
      <w:spacing w:before="240" w:after="240"/>
    </w:pPr>
    <w:rPr>
      <w:rFonts w:cs="Arial"/>
      <w:b/>
      <w:caps/>
      <w:szCs w:val="22"/>
    </w:rPr>
  </w:style>
  <w:style w:type="paragraph" w:customStyle="1" w:styleId="Odstavec1">
    <w:name w:val="Odstavec1"/>
    <w:basedOn w:val="Normln"/>
    <w:link w:val="Odstavec1Char"/>
    <w:qFormat/>
    <w:rsid w:val="00641094"/>
    <w:pPr>
      <w:numPr>
        <w:ilvl w:val="1"/>
        <w:numId w:val="15"/>
      </w:numPr>
      <w:spacing w:after="240"/>
      <w:jc w:val="both"/>
    </w:pPr>
    <w:rPr>
      <w:rFonts w:cs="Arial"/>
      <w:sz w:val="22"/>
      <w:szCs w:val="22"/>
    </w:rPr>
  </w:style>
  <w:style w:type="character" w:customStyle="1" w:styleId="OdstavecseseznamemChar">
    <w:name w:val="Odstavec se seznamem Char"/>
    <w:basedOn w:val="Standardnpsmoodstavce"/>
    <w:link w:val="Odstavecseseznamem"/>
    <w:uiPriority w:val="34"/>
    <w:rsid w:val="00641094"/>
    <w:rPr>
      <w:rFonts w:ascii="Arial" w:eastAsia="Batang" w:hAnsi="Arial"/>
      <w:sz w:val="22"/>
      <w:szCs w:val="24"/>
    </w:rPr>
  </w:style>
  <w:style w:type="character" w:customStyle="1" w:styleId="Nadpis1Char">
    <w:name w:val="Nadpis1 Char"/>
    <w:basedOn w:val="OdstavecseseznamemChar"/>
    <w:link w:val="Nadpis1"/>
    <w:rsid w:val="00641094"/>
    <w:rPr>
      <w:rFonts w:ascii="Arial" w:eastAsia="Batang" w:hAnsi="Arial"/>
      <w:sz w:val="22"/>
      <w:szCs w:val="24"/>
    </w:rPr>
  </w:style>
  <w:style w:type="paragraph" w:customStyle="1" w:styleId="Odrka1">
    <w:name w:val="Odrážka1"/>
    <w:basedOn w:val="Odstavecseseznamem"/>
    <w:link w:val="Odrka1Char"/>
    <w:qFormat/>
    <w:rsid w:val="00641094"/>
    <w:pPr>
      <w:numPr>
        <w:numId w:val="17"/>
      </w:numPr>
      <w:tabs>
        <w:tab w:val="left" w:pos="1418"/>
      </w:tabs>
      <w:spacing w:after="240"/>
      <w:ind w:left="1418" w:hanging="567"/>
      <w:jc w:val="both"/>
    </w:pPr>
    <w:rPr>
      <w:rFonts w:cs="Arial"/>
      <w:szCs w:val="22"/>
    </w:rPr>
  </w:style>
  <w:style w:type="character" w:customStyle="1" w:styleId="Odstavec1Char">
    <w:name w:val="Odstavec1 Char"/>
    <w:basedOn w:val="Standardnpsmoodstavce"/>
    <w:link w:val="Odstavec1"/>
    <w:rsid w:val="00641094"/>
    <w:rPr>
      <w:rFonts w:ascii="Arial" w:hAnsi="Arial" w:cs="Arial"/>
      <w:sz w:val="22"/>
      <w:szCs w:val="22"/>
    </w:rPr>
  </w:style>
  <w:style w:type="character" w:customStyle="1" w:styleId="Odrka1Char">
    <w:name w:val="Odrážka1 Char"/>
    <w:basedOn w:val="OdstavecseseznamemChar"/>
    <w:link w:val="Odrka1"/>
    <w:rsid w:val="00641094"/>
    <w:rPr>
      <w:rFonts w:ascii="Arial" w:eastAsia="Batang" w:hAnsi="Arial" w:cs="Arial"/>
      <w:sz w:val="22"/>
      <w:szCs w:val="22"/>
    </w:rPr>
  </w:style>
  <w:style w:type="character" w:styleId="Hypertextovodkaz">
    <w:name w:val="Hyperlink"/>
    <w:uiPriority w:val="99"/>
    <w:unhideWhenUsed/>
    <w:rsid w:val="008200F7"/>
    <w:rPr>
      <w:color w:val="0000FF"/>
      <w:u w:val="single"/>
    </w:rPr>
  </w:style>
  <w:style w:type="paragraph" w:styleId="Revize">
    <w:name w:val="Revision"/>
    <w:hidden/>
    <w:uiPriority w:val="99"/>
    <w:semiHidden/>
    <w:rsid w:val="00CE00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CBEDD-43AC-41C8-80BA-55E02B29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9431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Česká televize Praha</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hm230697</dc:creator>
  <cp:lastModifiedBy>Bronislava Dvořáková</cp:lastModifiedBy>
  <cp:revision>2</cp:revision>
  <cp:lastPrinted>2016-05-20T08:23:00Z</cp:lastPrinted>
  <dcterms:created xsi:type="dcterms:W3CDTF">2020-01-15T13:42:00Z</dcterms:created>
  <dcterms:modified xsi:type="dcterms:W3CDTF">2020-01-15T13:42:00Z</dcterms:modified>
</cp:coreProperties>
</file>