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/>
        <w:ind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KRA‘SK A SPiíAVA A ÚIJRŽ3A SILNIC VYSOČINY příspěvková organizace SM LO UVA REG</w:t>
      </w:r>
      <w:r>
        <w:rPr>
          <w:color w:val="000000"/>
          <w:spacing w:val="0"/>
          <w:w w:val="100"/>
          <w:position w:val="0"/>
          <w:shd w:val="clear" w:color="auto" w:fill="auto"/>
          <w:vertAlign w:val="superscript"/>
          <w:lang w:val="cs-CZ" w:eastAsia="cs-CZ" w:bidi="cs-CZ"/>
        </w:rPr>
        <w:footnoteReference w:id="2"/>
      </w:r>
      <w:r>
        <w:rPr>
          <w:color w:val="000000"/>
          <w:spacing w:val="0"/>
          <w:w w:val="100"/>
          <w:position w:val="0"/>
          <w:shd w:val="clear" w:color="auto" w:fill="auto"/>
          <w:vertAlign w:val="superscript"/>
          <w:lang w:val="cs-CZ" w:eastAsia="cs-CZ" w:bidi="cs-CZ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auto"/>
          <w:vertAlign w:val="superscript"/>
          <w:lang w:val="cs-CZ" w:eastAsia="cs-CZ" w:bidi="cs-CZ"/>
        </w:rPr>
        <w:footnoteReference w:id="3"/>
      </w:r>
      <w:r>
        <w:rPr>
          <w:color w:val="000000"/>
          <w:spacing w:val="0"/>
          <w:w w:val="100"/>
          <w:position w:val="0"/>
          <w:shd w:val="clear" w:color="auto" w:fill="auto"/>
          <w:vertAlign w:val="superscript"/>
          <w:lang w:val="cs-CZ" w:eastAsia="cs-CZ" w:bidi="cs-CZ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auto"/>
          <w:vertAlign w:val="superscript"/>
          <w:lang w:val="cs-CZ" w:eastAsia="cs-CZ" w:bidi="cs-CZ"/>
        </w:rPr>
        <w:footnoteReference w:id="4"/>
      </w:r>
      <w:r>
        <w:rPr>
          <w:color w:val="000000"/>
          <w:spacing w:val="0"/>
          <w:w w:val="100"/>
          <w:position w:val="0"/>
          <w:shd w:val="clear" w:color="auto" w:fill="auto"/>
          <w:vertAlign w:val="superscript"/>
          <w:lang w:val="cs-CZ" w:eastAsia="cs-CZ" w:bidi="cs-CZ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auto"/>
          <w:vertAlign w:val="superscript"/>
          <w:lang w:val="cs-CZ" w:eastAsia="cs-CZ" w:bidi="cs-CZ"/>
        </w:rPr>
        <w:footnoteReference w:id="5"/>
      </w:r>
      <w:r>
        <w:rPr>
          <w:color w:val="000000"/>
          <w:spacing w:val="0"/>
          <w:w w:val="100"/>
          <w:position w:val="0"/>
          <w:shd w:val="clear" w:color="auto" w:fill="auto"/>
          <w:vertAlign w:val="superscript"/>
          <w:lang w:val="cs-CZ" w:eastAsia="cs-CZ" w:bidi="cs-CZ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auto"/>
          <w:vertAlign w:val="superscript"/>
          <w:lang w:val="cs-CZ" w:eastAsia="cs-CZ" w:bidi="cs-CZ"/>
        </w:rPr>
        <w:footnoteReference w:id="6"/>
      </w:r>
      <w:r>
        <w:rPr>
          <w:color w:val="000000"/>
          <w:spacing w:val="0"/>
          <w:w w:val="100"/>
          <w:position w:val="0"/>
          <w:shd w:val="clear" w:color="auto" w:fill="auto"/>
          <w:vertAlign w:val="superscript"/>
          <w:lang w:val="cs-CZ" w:eastAsia="cs-CZ" w:bidi="cs-CZ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auto"/>
          <w:vertAlign w:val="superscript"/>
          <w:lang w:val="cs-CZ" w:eastAsia="cs-CZ" w:bidi="cs-CZ"/>
        </w:rPr>
        <w:footnoteReference w:id="7"/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</w:t>
      </w:r>
      <w:r>
        <w:rPr>
          <w:color w:val="000000"/>
          <w:spacing w:val="0"/>
          <w:w w:val="100"/>
          <w:position w:val="0"/>
          <w:shd w:val="clear" w:color="auto" w:fill="auto"/>
          <w:vertAlign w:val="superscript"/>
          <w:lang w:val="cs-CZ" w:eastAsia="cs-CZ" w:bidi="cs-CZ"/>
        </w:rPr>
        <w:t>T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 ROVÁN A</w:t>
      </w:r>
    </w:p>
    <w:p>
      <w:pPr>
        <w:pStyle w:val="Style5"/>
        <w:keepNext w:val="0"/>
        <w:keepLines w:val="0"/>
        <w:widowControl w:val="0"/>
        <w:shd w:val="clear" w:color="auto" w:fill="auto"/>
        <w:tabs>
          <w:tab w:pos="6377" w:val="left"/>
        </w:tabs>
        <w:bidi w:val="0"/>
        <w:spacing w:before="0" w:after="0" w:line="240" w:lineRule="auto"/>
        <w:ind w:left="3720" w:right="0" w:firstLine="0"/>
        <w:jc w:val="left"/>
        <w:rPr>
          <w:sz w:val="24"/>
          <w:szCs w:val="24"/>
        </w:rPr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Smluvní strany</w:t>
        <w:tab/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vertAlign w:val="subscript"/>
          <w:lang w:val="cs-CZ" w:eastAsia="cs-CZ" w:bidi="cs-CZ"/>
        </w:rPr>
        <w:t>nod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.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vertAlign w:val="subscript"/>
          <w:lang w:val="cs-CZ" w:eastAsia="cs-CZ" w:bidi="cs-CZ"/>
        </w:rPr>
        <w:t>v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,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vertAlign w:val="subscript"/>
          <w:lang w:val="cs-CZ" w:eastAsia="cs-CZ" w:bidi="cs-CZ"/>
        </w:rPr>
        <w:t>t&lt;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 xml:space="preserve"> 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>\10Kh</w:t>
      </w:r>
    </w:p>
    <w:p>
      <w:pPr>
        <w:pStyle w:val="Style5"/>
        <w:keepNext w:val="0"/>
        <w:keepLines w:val="0"/>
        <w:widowControl w:val="0"/>
        <w:shd w:val="clear" w:color="auto" w:fill="auto"/>
        <w:tabs>
          <w:tab w:pos="6377" w:val="left"/>
          <w:tab w:pos="7805" w:val="left"/>
        </w:tabs>
        <w:bidi w:val="0"/>
        <w:spacing w:before="0" w:after="0" w:line="240" w:lineRule="auto"/>
        <w:ind w:left="0" w:right="0" w:firstLine="0"/>
        <w:jc w:val="left"/>
        <w:rPr>
          <w:sz w:val="24"/>
          <w:szCs w:val="24"/>
        </w:rPr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AUDIT Jihlava, s.r.o.</w:t>
        <w:tab/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vertAlign w:val="superscript"/>
          <w:lang w:val="cs-CZ" w:eastAsia="cs-CZ" w:bidi="cs-CZ"/>
        </w:rPr>
        <w:t>L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—"—</w:t>
        <w:tab/>
        <w:t>\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24"/>
          <w:szCs w:val="24"/>
        </w:rPr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Holíkova 3836/79, 586 01 Jihlava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24"/>
          <w:szCs w:val="24"/>
        </w:rPr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IČ: 06994571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24"/>
          <w:szCs w:val="24"/>
        </w:rPr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DIČ: 06994571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24"/>
          <w:szCs w:val="24"/>
        </w:rPr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zapsána u Krajského soudu v Brně oddíl C, vložka 105548 dne 28.3.2018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24"/>
          <w:szCs w:val="24"/>
        </w:rPr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zastoupená jednatelkou společnosti paní Ing. Radkou Podhorskou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500" w:line="269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(dále jen „auditor")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24"/>
          <w:szCs w:val="24"/>
        </w:rPr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Krajská správa a údržba silnic Vysočiny, příspěvková organizace Kosovská 1122/16, 586 01 Jihlava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24"/>
          <w:szCs w:val="24"/>
        </w:rPr>
      </w:pPr>
      <w: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5448935</wp:posOffset>
                </wp:positionH>
                <wp:positionV relativeFrom="paragraph">
                  <wp:posOffset>63500</wp:posOffset>
                </wp:positionV>
                <wp:extent cx="1621790" cy="948055"/>
                <wp:wrapSquare wrapText="bothSides"/>
                <wp:docPr id="1" name="Shape 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621790" cy="94805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tabs>
                                <w:tab w:pos="1104" w:val="left"/>
                              </w:tabs>
                              <w:bidi w:val="0"/>
                              <w:spacing w:before="0" w:after="0" w:line="240" w:lineRule="auto"/>
                              <w:ind w:left="0" w:right="0" w:firstLine="24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lIMr</w:t>
                              <w:tab/>
                              <w:t>‘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vertAlign w:val="superscript"/>
                                <w:lang w:val="cs-CZ" w:eastAsia="cs-CZ" w:bidi="cs-CZ"/>
                              </w:rPr>
                              <w:t>P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'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vertAlign w:val="superscript"/>
                                <w:lang w:val="cs-CZ" w:eastAsia="cs-CZ" w:bidi="cs-CZ"/>
                              </w:rPr>
                              <w:t>á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‘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vertAlign w:val="superscript"/>
                                <w:lang w:val="cs-CZ" w:eastAsia="cs-CZ" w:bidi="cs-CZ"/>
                              </w:rPr>
                              <w:t>íl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 xml:space="preserve"> *</w:t>
                            </w:r>
                          </w:p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160" w:line="180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Pávkova</w:t>
                            </w:r>
                          </w:p>
                          <w:p>
                            <w:pPr>
                              <w:pStyle w:val="Style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100" w:line="240" w:lineRule="auto"/>
                              <w:ind w:left="0" w:right="0" w:firstLine="0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2"/>
                                <w:szCs w:val="22"/>
                                <w:shd w:val="clear" w:color="auto" w:fill="auto"/>
                                <w:lang w:val="cs-CZ" w:eastAsia="cs-CZ" w:bidi="cs-CZ"/>
                              </w:rPr>
                              <w:t xml:space="preserve">D«™ </w:t>
                            </w:r>
                            <w:r>
                              <w:rPr>
                                <w:i/>
                                <w:iCs/>
                                <w:color w:val="000000"/>
                                <w:spacing w:val="0"/>
                                <w:w w:val="100"/>
                                <w:position w:val="0"/>
                                <w:sz w:val="20"/>
                                <w:szCs w:val="20"/>
                                <w:shd w:val="clear" w:color="auto" w:fill="auto"/>
                                <w:lang w:val="cs-CZ" w:eastAsia="cs-CZ" w:bidi="cs-CZ"/>
                              </w:rPr>
                              <w:t>-2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2"/>
                                <w:szCs w:val="22"/>
                                <w:shd w:val="clear" w:color="auto" w:fill="auto"/>
                                <w:lang w:val="cs-CZ" w:eastAsia="cs-CZ" w:bidi="cs-CZ"/>
                              </w:rPr>
                              <w:t xml:space="preserve"> -QJ. </w:t>
                            </w:r>
                            <w:r>
                              <w:rPr>
                                <w:i/>
                                <w:iCs/>
                                <w:color w:val="000000"/>
                                <w:spacing w:val="0"/>
                                <w:w w:val="100"/>
                                <w:position w:val="0"/>
                                <w:sz w:val="20"/>
                                <w:szCs w:val="20"/>
                                <w:shd w:val="clear" w:color="auto" w:fill="auto"/>
                                <w:lang w:val="cs-CZ" w:eastAsia="cs-CZ" w:bidi="cs-CZ"/>
                              </w:rPr>
                              <w:t>2020 T/'"</w:t>
                            </w:r>
                          </w:p>
                          <w:p>
                            <w:pPr>
                              <w:pStyle w:val="Style10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line="240" w:lineRule="auto"/>
                              <w:ind w:left="0" w:right="0" w:firstLine="0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vertAlign w:val="superscript"/>
                                <w:lang w:val="cs-CZ" w:eastAsia="cs-CZ" w:bidi="cs-CZ"/>
                              </w:rPr>
                              <w:t>ČJ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cs-CZ" w:eastAsia="cs-CZ" w:bidi="cs-CZ"/>
                              </w:rPr>
                              <w:t>'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vertAlign w:val="superscript"/>
                                <w:lang w:val="cs-CZ" w:eastAsia="cs-CZ" w:bidi="cs-CZ"/>
                              </w:rPr>
                              <w:t>: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cs-CZ" w:eastAsia="cs-CZ" w:bidi="cs-CZ"/>
                              </w:rPr>
                              <w:t xml:space="preserve"> OoccaM</w:t>
                            </w:r>
                            <w:r>
                              <w:rPr>
                                <w:b/>
                                <w:bCs/>
                                <w:smallCaps w:val="0"/>
                                <w:color w:val="000000"/>
                                <w:spacing w:val="0"/>
                                <w:w w:val="100"/>
                                <w:position w:val="0"/>
                                <w:sz w:val="12"/>
                                <w:szCs w:val="12"/>
                                <w:shd w:val="clear" w:color="auto" w:fill="auto"/>
                                <w:lang w:val="cs-CZ" w:eastAsia="cs-CZ" w:bidi="cs-CZ"/>
                              </w:rPr>
                              <w:t xml:space="preserve"> iŽQ</w:t>
                            </w:r>
                            <w:r>
                              <w:rPr>
                                <w:b/>
                                <w:bCs/>
                                <w:smallCaps w:val="0"/>
                                <w:color w:val="000000"/>
                                <w:spacing w:val="0"/>
                                <w:w w:val="100"/>
                                <w:position w:val="0"/>
                                <w:sz w:val="12"/>
                                <w:szCs w:val="12"/>
                                <w:u w:val="none"/>
                                <w:shd w:val="clear" w:color="auto" w:fill="auto"/>
                                <w:lang w:val="cs-CZ" w:eastAsia="cs-CZ" w:bidi="cs-CZ"/>
                              </w:rPr>
                              <w:t>Zg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429.05000000000001pt;margin-top:5.pt;width:127.7pt;height:74.650000000000006pt;z-index:-125829375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pos="1104" w:val="left"/>
                        </w:tabs>
                        <w:bidi w:val="0"/>
                        <w:spacing w:before="0" w:after="0" w:line="240" w:lineRule="auto"/>
                        <w:ind w:left="0" w:right="0" w:firstLine="24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lIMr</w:t>
                        <w:tab/>
                        <w:t>‘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vertAlign w:val="superscript"/>
                          <w:lang w:val="cs-CZ" w:eastAsia="cs-CZ" w:bidi="cs-CZ"/>
                        </w:rPr>
                        <w:t>P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'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vertAlign w:val="superscript"/>
                          <w:lang w:val="cs-CZ" w:eastAsia="cs-CZ" w:bidi="cs-CZ"/>
                        </w:rPr>
                        <w:t>á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‘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vertAlign w:val="superscript"/>
                          <w:lang w:val="cs-CZ" w:eastAsia="cs-CZ" w:bidi="cs-CZ"/>
                        </w:rPr>
                        <w:t>íl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 xml:space="preserve"> *</w:t>
                      </w:r>
                    </w:p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160" w:line="180" w:lineRule="auto"/>
                        <w:ind w:left="0" w:right="0" w:firstLine="0"/>
                        <w:jc w:val="center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Pávkova</w:t>
                      </w:r>
                    </w:p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100" w:line="240" w:lineRule="auto"/>
                        <w:ind w:left="0" w:right="0" w:firstLine="0"/>
                        <w:jc w:val="lef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2"/>
                          <w:szCs w:val="22"/>
                          <w:shd w:val="clear" w:color="auto" w:fill="auto"/>
                          <w:lang w:val="cs-CZ" w:eastAsia="cs-CZ" w:bidi="cs-CZ"/>
                        </w:rPr>
                        <w:t xml:space="preserve">D«™ </w:t>
                      </w:r>
                      <w:r>
                        <w:rPr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sz w:val="20"/>
                          <w:szCs w:val="20"/>
                          <w:shd w:val="clear" w:color="auto" w:fill="auto"/>
                          <w:lang w:val="cs-CZ" w:eastAsia="cs-CZ" w:bidi="cs-CZ"/>
                        </w:rPr>
                        <w:t>-2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2"/>
                          <w:szCs w:val="22"/>
                          <w:shd w:val="clear" w:color="auto" w:fill="auto"/>
                          <w:lang w:val="cs-CZ" w:eastAsia="cs-CZ" w:bidi="cs-CZ"/>
                        </w:rPr>
                        <w:t xml:space="preserve"> -QJ. </w:t>
                      </w:r>
                      <w:r>
                        <w:rPr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sz w:val="20"/>
                          <w:szCs w:val="20"/>
                          <w:shd w:val="clear" w:color="auto" w:fill="auto"/>
                          <w:lang w:val="cs-CZ" w:eastAsia="cs-CZ" w:bidi="cs-CZ"/>
                        </w:rPr>
                        <w:t>2020 T/'"</w:t>
                      </w:r>
                    </w:p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line="240" w:lineRule="auto"/>
                        <w:ind w:left="0" w:right="0" w:firstLine="0"/>
                        <w:jc w:val="left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vertAlign w:val="superscript"/>
                          <w:lang w:val="cs-CZ" w:eastAsia="cs-CZ" w:bidi="cs-CZ"/>
                        </w:rPr>
                        <w:t>ČJ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cs-CZ" w:eastAsia="cs-CZ" w:bidi="cs-CZ"/>
                        </w:rPr>
                        <w:t>'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vertAlign w:val="superscript"/>
                          <w:lang w:val="cs-CZ" w:eastAsia="cs-CZ" w:bidi="cs-CZ"/>
                        </w:rPr>
                        <w:t>: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cs-CZ" w:eastAsia="cs-CZ" w:bidi="cs-CZ"/>
                        </w:rPr>
                        <w:t xml:space="preserve"> OoccaM</w:t>
                      </w:r>
                      <w:r>
                        <w:rPr>
                          <w:b/>
                          <w:bCs/>
                          <w:smallCaps w:val="0"/>
                          <w:color w:val="000000"/>
                          <w:spacing w:val="0"/>
                          <w:w w:val="100"/>
                          <w:position w:val="0"/>
                          <w:sz w:val="12"/>
                          <w:szCs w:val="12"/>
                          <w:shd w:val="clear" w:color="auto" w:fill="auto"/>
                          <w:lang w:val="cs-CZ" w:eastAsia="cs-CZ" w:bidi="cs-CZ"/>
                        </w:rPr>
                        <w:t xml:space="preserve"> iŽQ</w:t>
                      </w:r>
                      <w:r>
                        <w:rPr>
                          <w:b/>
                          <w:bCs/>
                          <w:smallCaps w:val="0"/>
                          <w:color w:val="000000"/>
                          <w:spacing w:val="0"/>
                          <w:w w:val="100"/>
                          <w:position w:val="0"/>
                          <w:sz w:val="12"/>
                          <w:szCs w:val="12"/>
                          <w:u w:val="none"/>
                          <w:shd w:val="clear" w:color="auto" w:fill="auto"/>
                          <w:lang w:val="cs-CZ" w:eastAsia="cs-CZ" w:bidi="cs-CZ"/>
                        </w:rPr>
                        <w:t>Zg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mc:AlternateContent>
          <mc:Choice Requires="wps">
            <w:drawing>
              <wp:anchor distT="194945" distB="600710" distL="242570" distR="285115" simplePos="0" relativeHeight="125829380" behindDoc="0" locked="0" layoutInCell="1" allowOverlap="1">
                <wp:simplePos x="0" y="0"/>
                <wp:positionH relativeFrom="page">
                  <wp:posOffset>5577205</wp:posOffset>
                </wp:positionH>
                <wp:positionV relativeFrom="paragraph">
                  <wp:posOffset>258445</wp:posOffset>
                </wp:positionV>
                <wp:extent cx="1322705" cy="152400"/>
                <wp:wrapSquare wrapText="bothSides"/>
                <wp:docPr id="3" name="Shape 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322705" cy="15240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tabs>
                                <w:tab w:leader="hyphen" w:pos="235" w:val="left"/>
                              </w:tabs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ab/>
                              <w:t>OIJÍHjva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margin-left:439.14999999999998pt;margin-top:20.350000000000001pt;width:104.15000000000001pt;height:12.pt;z-index:-125829373;mso-wrap-distance-left:19.100000000000001pt;mso-wrap-distance-top:15.35pt;mso-wrap-distance-right:22.449999999999999pt;mso-wrap-distance-bottom:47.299999999999997pt;mso-position-horizontal-relative:page" filled="f" stroked="f">
                <v:textbox inset="0,0,0,0">
                  <w:txbxContent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leader="hyphen" w:pos="235" w:val="left"/>
                        </w:tabs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ab/>
                        <w:t>OIJÍHjva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zápis v OR - ne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24"/>
          <w:szCs w:val="24"/>
        </w:rPr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zastoupená ředitelem organizace Ing. Radovanem Necidem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260" w:line="264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(dále jen „objednatel")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260" w:line="264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uzavírají tuto</w:t>
      </w:r>
    </w:p>
    <w:p>
      <w:pPr>
        <w:pStyle w:val="Style20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bookmarkStart w:id="0" w:name="bookmark0"/>
      <w:bookmarkStart w:id="1" w:name="bookmark1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Smlouvu</w:t>
      </w:r>
      <w:bookmarkEnd w:id="0"/>
      <w:bookmarkEnd w:id="1"/>
    </w:p>
    <w:p>
      <w:pPr>
        <w:pStyle w:val="Style20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bookmarkStart w:id="2" w:name="bookmark2"/>
      <w:bookmarkStart w:id="3" w:name="bookmark3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 provedení prověrky účetní závěrky</w:t>
      </w:r>
      <w:bookmarkEnd w:id="2"/>
      <w:bookmarkEnd w:id="3"/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podle § 1746, odst. 2 zákona č. 89/2012 Sb., občanský zákoník.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  <w:rPr>
          <w:sz w:val="24"/>
          <w:szCs w:val="24"/>
        </w:rPr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čl.l</w:t>
      </w:r>
    </w:p>
    <w:p>
      <w:pPr>
        <w:pStyle w:val="Style22"/>
        <w:keepNext/>
        <w:keepLines/>
        <w:widowControl w:val="0"/>
        <w:shd w:val="clear" w:color="auto" w:fill="auto"/>
        <w:bidi w:val="0"/>
        <w:spacing w:before="0" w:after="140" w:line="240" w:lineRule="auto"/>
        <w:ind w:left="0" w:right="0" w:firstLine="0"/>
        <w:jc w:val="center"/>
      </w:pPr>
      <w:bookmarkStart w:id="4" w:name="bookmark4"/>
      <w:bookmarkStart w:id="5" w:name="bookmark5"/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Předmět Smlouvy</w:t>
      </w:r>
      <w:bookmarkEnd w:id="4"/>
      <w:bookmarkEnd w:id="5"/>
    </w:p>
    <w:p>
      <w:pPr>
        <w:pStyle w:val="Style5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20" w:val="left"/>
        </w:tabs>
        <w:bidi w:val="0"/>
        <w:spacing w:before="0" w:after="24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Objednatel se zavazuje zaplatit auditorovi úplatu v penězích.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  <w:rPr>
          <w:sz w:val="24"/>
          <w:szCs w:val="24"/>
        </w:rPr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čl. 2</w:t>
      </w:r>
    </w:p>
    <w:p>
      <w:pPr>
        <w:pStyle w:val="Style22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bookmarkStart w:id="6" w:name="bookmark6"/>
      <w:bookmarkStart w:id="7" w:name="bookmark7"/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Práva a povinnosti auditora</w:t>
      </w:r>
      <w:bookmarkEnd w:id="6"/>
      <w:bookmarkEnd w:id="7"/>
    </w:p>
    <w:p>
      <w:pPr>
        <w:pStyle w:val="Style5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420" w:val="left"/>
        </w:tabs>
        <w:bidi w:val="0"/>
        <w:spacing w:before="0" w:after="0"/>
        <w:ind w:left="500" w:right="0" w:hanging="5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Prověrku provedeme v souladu s mezinárodním standardem pro prověrky ISRE 2400 (revidované znění), Prověrky historických účetních závěrek. V souladu s tímto standardem jsme povinni vyjádřit se k tomu, zda jsme nezjistili nějaké skutečnosti svědčící o tom, že účetní závěrka jako celek není ve všech významných (materiálních) ohledech sestavena v souladu s příslušným rámcem účetního výkaznictví. Dále jsme v souladu s tímto standardem povinni dodržovat příslušné etické požadavky.</w:t>
      </w:r>
    </w:p>
    <w:p>
      <w:pPr>
        <w:pStyle w:val="Style5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420" w:val="left"/>
        </w:tabs>
        <w:bidi w:val="0"/>
        <w:spacing w:before="0" w:after="0"/>
        <w:ind w:left="500" w:right="0" w:hanging="5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Prověrka účetní závěrky provedená v souladu s ISRE 2400 (revidované znění) je zakázkou poskytující omezenou jistotu. V jejím rámci budeme provádět především dotazování členů vedení a dalších relevantních pracovníku společnosti „Krajská správa a údržba silnic Vysočiny, příspěvková organizace" a analytické postupy a vyhodnocovat shromážděné důkazní informace. Pokud zjistíme nějaké skutečnosti svědčící o tom, že by účetní závěrka jako celek mohla být významně (materiálně) zkreslená, provedeme rovněž další postupy.</w:t>
      </w:r>
    </w:p>
    <w:p>
      <w:pPr>
        <w:pStyle w:val="Style5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420" w:val="left"/>
        </w:tabs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Smyslem těchto postupů je umožnit nám vyjádřit závěr o účetní závěrce v souladu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0"/>
        <w:ind w:left="500" w:right="0" w:firstLine="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 ISRE 2400 (revidované znění). Jejich rozsah a charakter bude záviset na tom, co podle svého odborného úsudku s ohledem na naše poznatky o společnosti „Krajská správa a údržba silnic Vysočiny, příspěvková organizace“, jejím prostředí, naše znalosti mezinárodních standardů účetního výkaznictví a jejich uplatňování v daném odvětví budeme považovat za nezbytné.</w:t>
      </w:r>
    </w:p>
    <w:p>
      <w:pPr>
        <w:pStyle w:val="Style5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420" w:val="left"/>
        </w:tabs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Prověrka nepředstavuje audit účetní závěrky, a tudíž:</w:t>
      </w:r>
    </w:p>
    <w:p>
      <w:pPr>
        <w:pStyle w:val="Style5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1506" w:val="left"/>
        </w:tabs>
        <w:bidi w:val="0"/>
        <w:spacing w:before="0" w:after="0"/>
        <w:ind w:left="500" w:right="0" w:firstLine="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ve srovnání s auditem je zde adekvátně vyšší riziko, že případné významné (materiální) nesprávnosti, které účetní závěrka obsahuje, nebudou odhaleny, a to přestože prověrka bude provedena náležitě a v souladu s ISRE 2400 (revidované znění).</w:t>
      </w:r>
    </w:p>
    <w:p>
      <w:pPr>
        <w:pStyle w:val="Style5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1506" w:val="left"/>
        </w:tabs>
        <w:bidi w:val="0"/>
        <w:spacing w:before="0" w:after="0"/>
        <w:ind w:left="500" w:right="0" w:firstLine="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ve zprávě, kterou na základě prověrky vydáme a ve které vyjádříme závěr o účetní závěrce, bude výslovně uvedeno, že nevydáváme výrok auditora k účetní závěrce.</w:t>
      </w:r>
    </w:p>
    <w:p>
      <w:pPr>
        <w:pStyle w:val="Style5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420" w:val="left"/>
        </w:tabs>
        <w:bidi w:val="0"/>
        <w:spacing w:before="0" w:after="0"/>
        <w:ind w:left="500" w:right="0" w:hanging="5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Prověrku bude provádět auditor zapsaný v Komoře auditorů, číslo oprávnění 2443, zaměstnanec auditorské společnosti AUDIT Jihlava, s.r.o., která je zapsána v Komoře auditorů ČR pod číslem oprávnění 581. Auditor má právo plnit předmět smlouvy i prostřednictvím jím určených pracovníků auditorské společnosti AUDIT Jihlava, s. r.o., případně prostřednictvím dalších spolupracujících osob, je-li to v souladu s komorovými a právními předpisy.</w:t>
      </w:r>
    </w:p>
    <w:p>
      <w:pPr>
        <w:pStyle w:val="Style5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420" w:val="left"/>
        </w:tabs>
        <w:bidi w:val="0"/>
        <w:spacing w:before="0" w:after="0"/>
        <w:ind w:left="500" w:right="0" w:hanging="5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Auditor a všichni jím pověření pracovníci (viz. odst. 5) jsou povinni zachovávat mlčenlivost o všech skutečnostech, o kterých se dovědí v souvislosti s výkonem své činnosti dle této smlouvy a nesmí jich zneužít ke svému prospěchu nebo prospěchu někoho jiného.</w:t>
      </w:r>
    </w:p>
    <w:p>
      <w:pPr>
        <w:pStyle w:val="Style5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420" w:val="left"/>
        </w:tabs>
        <w:bidi w:val="0"/>
        <w:spacing w:before="0" w:after="240"/>
        <w:ind w:left="500" w:right="0" w:hanging="5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Auditor je oprávněn sdílet informace o objednateli v potřebném rozsahu s případnými přizvanými experty. Auditor je povinen zavázat tyto experty mlčenlivostí.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  <w:rPr>
          <w:sz w:val="24"/>
          <w:szCs w:val="24"/>
        </w:rPr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čl.3</w:t>
      </w:r>
    </w:p>
    <w:p>
      <w:pPr>
        <w:pStyle w:val="Style22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bookmarkStart w:id="8" w:name="bookmark8"/>
      <w:bookmarkStart w:id="9" w:name="bookmark9"/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Práva a povinnosti objednatele</w:t>
      </w:r>
      <w:bookmarkEnd w:id="8"/>
      <w:bookmarkEnd w:id="9"/>
    </w:p>
    <w:p>
      <w:pPr>
        <w:pStyle w:val="Style5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420" w:val="left"/>
        </w:tabs>
        <w:bidi w:val="0"/>
        <w:spacing w:before="0" w:after="120" w:line="264" w:lineRule="auto"/>
        <w:ind w:left="500" w:right="0" w:hanging="5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Naše prověrka bude vycházet z předpokladu, že vedení a případně osoby pověřené správou a řízením uznávají a uvědomují si svou odpovědnost:</w:t>
      </w:r>
    </w:p>
    <w:p>
      <w:pPr>
        <w:pStyle w:val="Style5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1498" w:val="left"/>
        </w:tabs>
        <w:bidi w:val="0"/>
        <w:spacing w:before="0" w:after="0" w:line="264" w:lineRule="auto"/>
        <w:ind w:left="48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za sestavení účetní závěrky a za věrné zobrazení skutečností v ní v souladu s mezinárodními standardy účetního výkaznictví;</w:t>
      </w:r>
    </w:p>
    <w:p>
      <w:pPr>
        <w:pStyle w:val="Style5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1498" w:val="left"/>
        </w:tabs>
        <w:bidi w:val="0"/>
        <w:spacing w:before="0" w:after="0" w:line="264" w:lineRule="auto"/>
        <w:ind w:left="48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za takový vnitřní kontrolní systém, který je podle vedení nezbytný pro sestavení účetní závěrky neobsahující významnou (materiální) nesprávnost způsobenou podvodem nebo chybou;</w:t>
      </w:r>
    </w:p>
    <w:p>
      <w:pPr>
        <w:pStyle w:val="Style5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1498" w:val="left"/>
        </w:tabs>
        <w:bidi w:val="0"/>
        <w:spacing w:before="0" w:after="0" w:line="264" w:lineRule="auto"/>
        <w:ind w:left="0" w:right="0" w:firstLine="4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za to, že nám bude poskytnut (budou poskytnuty):</w:t>
      </w:r>
    </w:p>
    <w:p>
      <w:pPr>
        <w:pStyle w:val="Style5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2202" w:val="left"/>
        </w:tabs>
        <w:bidi w:val="0"/>
        <w:spacing w:before="0" w:after="0" w:line="264" w:lineRule="auto"/>
        <w:ind w:left="2200" w:right="0" w:hanging="7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přístup k veškerým informacím, o nichž je vedení známo, že jsou relevantní pro sestavení účetní závěrky a věrné zobrazení skutečností v ní, jako např. k záznamům, dokumentaci a dalším podkladům;</w:t>
      </w:r>
    </w:p>
    <w:p>
      <w:pPr>
        <w:pStyle w:val="Style5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2202" w:val="left"/>
        </w:tabs>
        <w:bidi w:val="0"/>
        <w:spacing w:before="0" w:after="0" w:line="264" w:lineRule="auto"/>
        <w:ind w:left="150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další informace, které si od vedení pro účely prověrky vyžádáme;</w:t>
      </w:r>
    </w:p>
    <w:p>
      <w:pPr>
        <w:pStyle w:val="Style5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2202" w:val="left"/>
        </w:tabs>
        <w:bidi w:val="0"/>
        <w:spacing w:before="0" w:after="0" w:line="264" w:lineRule="auto"/>
        <w:ind w:left="2200" w:right="0" w:hanging="7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neomezený přístup k zaměstnancům společnosti Krajská správa a údržba silnic Vysočiny, příspěvková organizace, od nichž bude podle našeho názoru nutné získat důkazní informace.</w:t>
      </w:r>
    </w:p>
    <w:p>
      <w:pPr>
        <w:pStyle w:val="Style5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420" w:val="left"/>
        </w:tabs>
        <w:bidi w:val="0"/>
        <w:spacing w:before="0" w:after="0" w:line="264" w:lineRule="auto"/>
        <w:ind w:left="480" w:right="0" w:hanging="4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 rámci prověrky si od vedení a případně od osob pověřených správou a řízením vyžádáme písemné prohlášení potvrzující informace, které nám budou v souvislosti s prověrkou poskytnuty.</w:t>
      </w:r>
    </w:p>
    <w:p>
      <w:pPr>
        <w:pStyle w:val="Style5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420" w:val="left"/>
        </w:tabs>
        <w:bidi w:val="0"/>
        <w:spacing w:before="0" w:after="0" w:line="264" w:lineRule="auto"/>
        <w:ind w:left="480" w:right="0" w:hanging="4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Objednatel bude auditora informovat o všech skutečnostech, které by mohly mít vliv na účetní závěrku a o nichž se dozví v období od data zprávy auditora do data zveřejnění účetní závěrky.</w:t>
      </w:r>
    </w:p>
    <w:p>
      <w:pPr>
        <w:pStyle w:val="Style5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420" w:val="left"/>
        </w:tabs>
        <w:bidi w:val="0"/>
        <w:spacing w:before="0" w:after="520" w:line="264" w:lineRule="auto"/>
        <w:ind w:left="480" w:right="0" w:hanging="4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Objednatel se zavazuje poskytnout auditorovi prostor pro provedení prověrky, který splňuje základní hygienické podmínky (světlo, teplo atp.) a je umístěn tak, aby nedocházelo k nežádoucímu vzájemnému vyrušování zaměstnanců obou smluvních stran.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  <w:rPr>
          <w:sz w:val="24"/>
          <w:szCs w:val="24"/>
        </w:rPr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čl. 4</w:t>
      </w:r>
    </w:p>
    <w:p>
      <w:pPr>
        <w:pStyle w:val="Style22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bookmarkStart w:id="10" w:name="bookmark10"/>
      <w:bookmarkStart w:id="11" w:name="bookmark11"/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Cena</w:t>
      </w:r>
      <w:bookmarkEnd w:id="10"/>
      <w:bookmarkEnd w:id="11"/>
    </w:p>
    <w:p>
      <w:pPr>
        <w:pStyle w:val="Style5"/>
        <w:keepNext w:val="0"/>
        <w:keepLines w:val="0"/>
        <w:widowControl w:val="0"/>
        <w:numPr>
          <w:ilvl w:val="0"/>
          <w:numId w:val="13"/>
        </w:numPr>
        <w:shd w:val="clear" w:color="auto" w:fill="auto"/>
        <w:tabs>
          <w:tab w:pos="420" w:val="left"/>
        </w:tabs>
        <w:bidi w:val="0"/>
        <w:spacing w:before="0" w:after="0" w:line="259" w:lineRule="auto"/>
        <w:ind w:left="480" w:right="0" w:hanging="4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Cena za prověrku je stanovena vzájemnou dohodou smluvních stran ve výši 50 000,- - Kč (slovy padesát tisíc korun českých) bez DPH + 21 % DPH.</w:t>
      </w:r>
    </w:p>
    <w:p>
      <w:pPr>
        <w:pStyle w:val="Style5"/>
        <w:keepNext w:val="0"/>
        <w:keepLines w:val="0"/>
        <w:widowControl w:val="0"/>
        <w:numPr>
          <w:ilvl w:val="0"/>
          <w:numId w:val="13"/>
        </w:numPr>
        <w:shd w:val="clear" w:color="auto" w:fill="auto"/>
        <w:tabs>
          <w:tab w:pos="420" w:val="left"/>
        </w:tabs>
        <w:bidi w:val="0"/>
        <w:spacing w:before="0" w:after="0" w:line="259" w:lineRule="auto"/>
        <w:ind w:left="480" w:right="0" w:hanging="4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Odměna bude objednatelem uhrazena na základě faktury vystavené auditorem po ukončení prověrky při předání zprávy. Splatnost faktury byla sjednána na 14 dnů od data vystavení. Auditor je oprávněn zasílat fakturu e-mailem v PDF podobě na adresu sdělenou objednatelem.</w:t>
      </w:r>
    </w:p>
    <w:p>
      <w:pPr>
        <w:pStyle w:val="Style5"/>
        <w:keepNext w:val="0"/>
        <w:keepLines w:val="0"/>
        <w:widowControl w:val="0"/>
        <w:numPr>
          <w:ilvl w:val="0"/>
          <w:numId w:val="13"/>
        </w:numPr>
        <w:shd w:val="clear" w:color="auto" w:fill="auto"/>
        <w:tabs>
          <w:tab w:pos="420" w:val="left"/>
        </w:tabs>
        <w:bidi w:val="0"/>
        <w:spacing w:before="0" w:after="0" w:line="259" w:lineRule="auto"/>
        <w:ind w:left="480" w:right="0" w:hanging="4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 případě prodlení s úhradou zálohy nebo ceny za prověrku je auditor oprávněn požadovat smluvní pokutu ve výši 0,1 % z dlužné částky za každý den prodlení.</w:t>
      </w:r>
    </w:p>
    <w:p>
      <w:pPr>
        <w:pStyle w:val="Style5"/>
        <w:keepNext w:val="0"/>
        <w:keepLines w:val="0"/>
        <w:widowControl w:val="0"/>
        <w:numPr>
          <w:ilvl w:val="0"/>
          <w:numId w:val="13"/>
        </w:numPr>
        <w:shd w:val="clear" w:color="auto" w:fill="auto"/>
        <w:tabs>
          <w:tab w:pos="420" w:val="left"/>
        </w:tabs>
        <w:bidi w:val="0"/>
        <w:spacing w:before="0" w:after="280" w:line="259" w:lineRule="auto"/>
        <w:ind w:left="480" w:right="0" w:hanging="4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Auditor má nárok na úhradu prokazatelných věcných nákladů (např. cestovní náhrady, překlady).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  <w:rPr>
          <w:sz w:val="24"/>
          <w:szCs w:val="24"/>
        </w:rPr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čl.5</w:t>
      </w:r>
    </w:p>
    <w:p>
      <w:pPr>
        <w:pStyle w:val="Style22"/>
        <w:keepNext/>
        <w:keepLines/>
        <w:widowControl w:val="0"/>
        <w:shd w:val="clear" w:color="auto" w:fill="auto"/>
        <w:bidi w:val="0"/>
        <w:spacing w:before="0" w:after="280" w:line="240" w:lineRule="auto"/>
        <w:ind w:left="0" w:right="0" w:firstLine="0"/>
        <w:jc w:val="center"/>
      </w:pPr>
      <w:bookmarkStart w:id="12" w:name="bookmark12"/>
      <w:bookmarkStart w:id="13" w:name="bookmark13"/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Termín plnění</w:t>
      </w:r>
      <w:bookmarkEnd w:id="12"/>
      <w:bookmarkEnd w:id="13"/>
    </w:p>
    <w:p>
      <w:pPr>
        <w:pStyle w:val="Style5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420" w:val="left"/>
        </w:tabs>
        <w:bidi w:val="0"/>
        <w:spacing w:before="0" w:after="0"/>
        <w:ind w:left="480" w:right="0" w:hanging="4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Auditor je povinen vyhotovit a předat objednateli zprávu o prověrce do 14 dnů po obdržení finální verze účetní závěrky a zároveň nejpozději do jednoho měsíce od poskytnutí všech potřebných informací a písemností ze strany objednatele. Auditor je povinen vyhotovit a předat objednateli zprávu o prověrce do 31. 3. 2020, nikoliv však dříve než do 5 dnů od obdržení finální verze účetní závěrky.</w:t>
      </w:r>
    </w:p>
    <w:p>
      <w:pPr>
        <w:pStyle w:val="Style5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420" w:val="left"/>
        </w:tabs>
        <w:bidi w:val="0"/>
        <w:spacing w:before="0" w:after="140" w:line="252" w:lineRule="auto"/>
        <w:ind w:left="480" w:right="0" w:hanging="480"/>
        <w:jc w:val="left"/>
        <w:rPr>
          <w:sz w:val="24"/>
          <w:szCs w:val="24"/>
        </w:rPr>
      </w:pPr>
      <w:r>
        <w:rPr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cs-CZ" w:eastAsia="cs-CZ" w:bidi="cs-CZ"/>
        </w:rPr>
        <w:t xml:space="preserve">Samostatná prověrka účetní závěrky objednatele bude probíhat po vzájemné dohodě tak, aby 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nejpozději do 31.3.2020 byla vydána zpráva o prověrce.</w:t>
      </w:r>
      <w:r>
        <w:br w:type="page"/>
      </w:r>
    </w:p>
    <w:p>
      <w:pPr>
        <w:pStyle w:val="Style5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421" w:val="left"/>
        </w:tabs>
        <w:bidi w:val="0"/>
        <w:spacing w:before="0" w:after="0" w:line="259" w:lineRule="auto"/>
        <w:ind w:left="500" w:right="0" w:hanging="5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Objednatel se zavazuje, že nejpozději do 31.3.2020 tuto zprávu převezme a projedná za přítomnosti statutárního a orgánu objednatele. Objednatel se zavazuje, že zpráva bude součástí Zprávy o činnosti a výsledku hospodaření za rok 2019, kterou předává k projednání svému zřizovateli.</w:t>
      </w:r>
    </w:p>
    <w:p>
      <w:pPr>
        <w:pStyle w:val="Style5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421" w:val="left"/>
        </w:tabs>
        <w:bidi w:val="0"/>
        <w:spacing w:before="0" w:after="260" w:line="259" w:lineRule="auto"/>
        <w:ind w:left="500" w:right="0" w:hanging="5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Objednatel je povinen předat nezávislému odborníkovi návrh předvahy, účetních výkazů, přílohy k účetní závěrce, a to jakmile bude mít návrhy k dispozici. Nejpozdější datum předání je 15. 2. 2020.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  <w:rPr>
          <w:sz w:val="24"/>
          <w:szCs w:val="24"/>
        </w:rPr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či. 6</w:t>
      </w:r>
    </w:p>
    <w:p>
      <w:pPr>
        <w:pStyle w:val="Style22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bookmarkStart w:id="14" w:name="bookmark14"/>
      <w:bookmarkStart w:id="15" w:name="bookmark15"/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Ukončení smlouvy</w:t>
      </w:r>
      <w:bookmarkEnd w:id="14"/>
      <w:bookmarkEnd w:id="15"/>
    </w:p>
    <w:p>
      <w:pPr>
        <w:pStyle w:val="Style5"/>
        <w:keepNext w:val="0"/>
        <w:keepLines w:val="0"/>
        <w:widowControl w:val="0"/>
        <w:numPr>
          <w:ilvl w:val="0"/>
          <w:numId w:val="17"/>
        </w:numPr>
        <w:shd w:val="clear" w:color="auto" w:fill="auto"/>
        <w:tabs>
          <w:tab w:pos="421" w:val="left"/>
        </w:tabs>
        <w:bidi w:val="0"/>
        <w:spacing w:before="0" w:after="260" w:line="259" w:lineRule="auto"/>
        <w:ind w:left="500" w:right="0" w:hanging="5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Obě strany mají právo smlouvu písemně vypovědět s měsíční výpovědní lhůtou. V průběhu prací na prověrce účetní závěrky je možné smlouvu vypovědět jen v případě vážného porušení povinností smluvních stran uvedených v této smlouvě, a to písemně předem. V tomto případě má vykonavatel nárok na úhradu již vynaložených nákladů a dosud provedené práce.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0" w:line="233" w:lineRule="auto"/>
        <w:ind w:left="0" w:right="0" w:firstLine="0"/>
        <w:jc w:val="center"/>
        <w:rPr>
          <w:sz w:val="24"/>
          <w:szCs w:val="24"/>
        </w:rPr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čl. 7</w:t>
      </w:r>
    </w:p>
    <w:p>
      <w:pPr>
        <w:pStyle w:val="Style22"/>
        <w:keepNext/>
        <w:keepLines/>
        <w:widowControl w:val="0"/>
        <w:shd w:val="clear" w:color="auto" w:fill="auto"/>
        <w:bidi w:val="0"/>
        <w:spacing w:before="0" w:after="0" w:line="233" w:lineRule="auto"/>
        <w:ind w:left="0" w:right="0" w:firstLine="0"/>
        <w:jc w:val="center"/>
      </w:pPr>
      <w:bookmarkStart w:id="16" w:name="bookmark16"/>
      <w:bookmarkStart w:id="17" w:name="bookmark17"/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Závěrečná ustanovení</w:t>
      </w:r>
      <w:bookmarkEnd w:id="16"/>
      <w:bookmarkEnd w:id="17"/>
    </w:p>
    <w:p>
      <w:pPr>
        <w:pStyle w:val="Style5"/>
        <w:keepNext w:val="0"/>
        <w:keepLines w:val="0"/>
        <w:widowControl w:val="0"/>
        <w:numPr>
          <w:ilvl w:val="0"/>
          <w:numId w:val="19"/>
        </w:numPr>
        <w:shd w:val="clear" w:color="auto" w:fill="auto"/>
        <w:tabs>
          <w:tab w:pos="421" w:val="left"/>
        </w:tabs>
        <w:bidi w:val="0"/>
        <w:spacing w:before="0" w:after="60" w:line="254" w:lineRule="auto"/>
        <w:ind w:left="500" w:right="0" w:hanging="5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Tato smlouva nabývá platnosti dnem podpisu oběma smluvními stranami a účinnosti dnem uveřejnění v informačním systému veřejné správy-Registru smluv. Účastníci se dohodli, že zákonnou povinnost dle § 5 odst. 2 zákona č. 340/2015 Sb., v platném znění (zákon o registru smluv) splní objednatel.</w:t>
      </w:r>
    </w:p>
    <w:p>
      <w:pPr>
        <w:pStyle w:val="Style5"/>
        <w:keepNext w:val="0"/>
        <w:keepLines w:val="0"/>
        <w:widowControl w:val="0"/>
        <w:numPr>
          <w:ilvl w:val="0"/>
          <w:numId w:val="19"/>
        </w:numPr>
        <w:shd w:val="clear" w:color="auto" w:fill="auto"/>
        <w:tabs>
          <w:tab w:pos="421" w:val="left"/>
        </w:tabs>
        <w:bidi w:val="0"/>
        <w:spacing w:before="0" w:after="0" w:line="259" w:lineRule="auto"/>
        <w:ind w:left="500" w:right="0" w:hanging="5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Smluvní strany jsou povinny se neprodleně informovat o všech skutečnostech, které by mohly znamenat ohrožení plnění ustanovení této smlouvy a stanovit další postup.</w:t>
      </w:r>
    </w:p>
    <w:p>
      <w:pPr>
        <w:pStyle w:val="Style5"/>
        <w:keepNext w:val="0"/>
        <w:keepLines w:val="0"/>
        <w:widowControl w:val="0"/>
        <w:numPr>
          <w:ilvl w:val="0"/>
          <w:numId w:val="19"/>
        </w:numPr>
        <w:shd w:val="clear" w:color="auto" w:fill="auto"/>
        <w:tabs>
          <w:tab w:pos="421" w:val="left"/>
        </w:tabs>
        <w:bidi w:val="0"/>
        <w:spacing w:before="0" w:after="0" w:line="259" w:lineRule="auto"/>
        <w:ind w:left="500" w:right="0" w:hanging="5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Vztahy mezi smluvními stranami touto smlouvou neupravené se řídí příslušnými ustanoveními občanského zákoníku.</w:t>
      </w:r>
    </w:p>
    <w:p>
      <w:pPr>
        <w:pStyle w:val="Style5"/>
        <w:keepNext w:val="0"/>
        <w:keepLines w:val="0"/>
        <w:widowControl w:val="0"/>
        <w:numPr>
          <w:ilvl w:val="0"/>
          <w:numId w:val="19"/>
        </w:numPr>
        <w:shd w:val="clear" w:color="auto" w:fill="auto"/>
        <w:tabs>
          <w:tab w:pos="421" w:val="left"/>
        </w:tabs>
        <w:bidi w:val="0"/>
        <w:spacing w:before="0" w:after="0" w:line="259" w:lineRule="auto"/>
        <w:ind w:left="500" w:right="0" w:hanging="5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Tato smlouva se vyhotovuje ve dvou stejnopisech, z nichž každý má platnost originálu. Smlouva může být změněna či doplněna pouze číslovanými písemnými dodatky podepsanými oběma smluvními stranami.</w:t>
      </w:r>
    </w:p>
    <w:p>
      <w:pPr>
        <w:pStyle w:val="Style5"/>
        <w:keepNext w:val="0"/>
        <w:keepLines w:val="0"/>
        <w:widowControl w:val="0"/>
        <w:numPr>
          <w:ilvl w:val="0"/>
          <w:numId w:val="19"/>
        </w:numPr>
        <w:shd w:val="clear" w:color="auto" w:fill="auto"/>
        <w:tabs>
          <w:tab w:pos="421" w:val="left"/>
        </w:tabs>
        <w:bidi w:val="0"/>
        <w:spacing w:before="0" w:after="1400" w:line="259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Tato smlouva se řídí českým právem a případné spory řeší příslušné české soudy.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820" w:line="240" w:lineRule="auto"/>
        <w:ind w:left="2720" w:right="0" w:firstLine="0"/>
        <w:jc w:val="left"/>
      </w:pPr>
      <w:r>
        <mc:AlternateContent>
          <mc:Choice Requires="wps">
            <w:drawing>
              <wp:anchor distT="0" distB="895985" distL="498475" distR="297180" simplePos="0" relativeHeight="125829382" behindDoc="0" locked="0" layoutInCell="1" allowOverlap="1">
                <wp:simplePos x="0" y="0"/>
                <wp:positionH relativeFrom="page">
                  <wp:posOffset>1565910</wp:posOffset>
                </wp:positionH>
                <wp:positionV relativeFrom="paragraph">
                  <wp:posOffset>12700</wp:posOffset>
                </wp:positionV>
                <wp:extent cx="518160" cy="189230"/>
                <wp:wrapSquare wrapText="right"/>
                <wp:docPr id="5" name="Shape 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518160" cy="18923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auditor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margin-left:123.3pt;margin-top:1.pt;width:40.799999999999997pt;height:14.9pt;z-index:-125829371;mso-wrap-distance-left:39.25pt;mso-wrap-distance-right:23.399999999999999pt;mso-wrap-distance-bottom:70.549999999999997pt;mso-position-horizontal-relative:page" filled="f" stroked="f">
                <v:textbox inset="0,0,0,0">
                  <w:txbxContent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auditor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mc:AlternateContent>
          <mc:Choice Requires="wps">
            <w:drawing>
              <wp:anchor distT="895985" distB="0" distL="114300" distR="114300" simplePos="0" relativeHeight="125829384" behindDoc="0" locked="0" layoutInCell="1" allowOverlap="1">
                <wp:simplePos x="0" y="0"/>
                <wp:positionH relativeFrom="page">
                  <wp:posOffset>1181735</wp:posOffset>
                </wp:positionH>
                <wp:positionV relativeFrom="paragraph">
                  <wp:posOffset>908685</wp:posOffset>
                </wp:positionV>
                <wp:extent cx="1085215" cy="189230"/>
                <wp:wrapSquare wrapText="right"/>
                <wp:docPr id="7" name="Shape 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085215" cy="18923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Dne 18.12.2019.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position:absolute;margin-left:93.049999999999997pt;margin-top:71.549999999999997pt;width:85.450000000000003pt;height:14.9pt;z-index:-125829369;mso-wrap-distance-left:9.pt;mso-wrap-distance-top:70.549999999999997pt;mso-wrap-distance-right:9.pt;mso-position-horizontal-relative:page" filled="f" stroked="f">
                <v:textbox inset="0,0,0,0">
                  <w:txbxContent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Dne 18.12.2019.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objednatel</w:t>
      </w:r>
    </w:p>
    <w:p>
      <w:pPr>
        <w:pStyle w:val="Style2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1 3. 01. 2020</w:t>
      </w:r>
    </w:p>
    <w:p>
      <w:pPr>
        <w:pStyle w:val="Style5"/>
        <w:keepNext w:val="0"/>
        <w:keepLines w:val="0"/>
        <w:widowControl w:val="0"/>
        <w:shd w:val="clear" w:color="auto" w:fill="auto"/>
        <w:tabs>
          <w:tab w:leader="dot" w:pos="5379" w:val="left"/>
        </w:tabs>
        <w:bidi w:val="0"/>
        <w:spacing w:before="0" w:after="0" w:line="240" w:lineRule="auto"/>
        <w:ind w:left="272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Dne</w:t>
        <w:tab/>
      </w:r>
    </w:p>
    <w:sectPr>
      <w:footerReference w:type="default" r:id="rId5"/>
      <w:footnotePr>
        <w:pos w:val="pageBottom"/>
        <w:numFmt w:val="decimal"/>
        <w:numStart w:val="1"/>
        <w:numRestart w:val="continuous"/>
        <w15:footnoteColumns w:val="1"/>
      </w:footnotePr>
      <w:pgSz w:w="11900" w:h="16840"/>
      <w:pgMar w:top="528" w:left="1342" w:right="924" w:bottom="1481" w:header="100" w:footer="3" w:gutter="0"/>
      <w:pgNumType w:start="1"/>
      <w:cols w:space="720"/>
      <w:noEndnote/>
      <w:rtlGutter w:val="0"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894715</wp:posOffset>
              </wp:positionH>
              <wp:positionV relativeFrom="page">
                <wp:posOffset>10034270</wp:posOffset>
              </wp:positionV>
              <wp:extent cx="5693410" cy="121920"/>
              <wp:wrapNone/>
              <wp:docPr id="9" name="Shape 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5693410" cy="12192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6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8966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z w:val="20"/>
                              <w:szCs w:val="20"/>
                              <w:shd w:val="clear" w:color="auto" w:fill="auto"/>
                              <w:lang w:val="cs-CZ" w:eastAsia="cs-CZ" w:bidi="cs-CZ"/>
                            </w:rPr>
                            <w:t>AUDIT Jihlava, s.r.o.</w:t>
                            <w:tab/>
                            <w:t xml:space="preserve">Strana </w:t>
                          </w:r>
                          <w:fldSimple w:instr=" PAGE \* MERGEFORMAT "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0"/>
                                <w:szCs w:val="20"/>
                                <w:shd w:val="clear" w:color="auto" w:fill="auto"/>
                                <w:lang w:val="cs-CZ" w:eastAsia="cs-CZ" w:bidi="cs-CZ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5" type="#_x0000_t202" style="position:absolute;margin-left:70.450000000000003pt;margin-top:790.10000000000002pt;width:448.30000000000001pt;height:9.5999999999999996pt;z-index:-188744063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6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8966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20"/>
                        <w:szCs w:val="20"/>
                        <w:shd w:val="clear" w:color="auto" w:fill="auto"/>
                        <w:lang w:val="cs-CZ" w:eastAsia="cs-CZ" w:bidi="cs-CZ"/>
                      </w:rPr>
                      <w:t>AUDIT Jihlava, s.r.o.</w:t>
                      <w:tab/>
                      <w:t xml:space="preserve">Strana </w:t>
                    </w: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0"/>
                          <w:szCs w:val="20"/>
                          <w:shd w:val="clear" w:color="auto" w:fill="auto"/>
                          <w:lang w:val="cs-CZ" w:eastAsia="cs-CZ" w:bidi="cs-CZ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  <w:footnote w:id="2">
    <w:p>
      <w:pPr>
        <w:pStyle w:val="Style2"/>
        <w:keepNext w:val="0"/>
        <w:keepLines w:val="0"/>
        <w:widowControl w:val="0"/>
        <w:shd w:val="clear" w:color="auto" w:fill="auto"/>
        <w:tabs>
          <w:tab w:pos="413" w:val="left"/>
        </w:tabs>
        <w:bidi w:val="0"/>
        <w:spacing w:before="0" w:after="0"/>
        <w:ind w:right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footnoteRef/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ab/>
        <w:t>Touto Smlouvou se auditor zavazuje pro objednatele provést prověrku účetní závěrky sestavené dle Českých účetních standardů.</w:t>
      </w:r>
    </w:p>
  </w:footnote>
  <w:footnote w:id="3">
    <w:p>
      <w:pPr>
        <w:pStyle w:val="Style2"/>
        <w:keepNext w:val="0"/>
        <w:keepLines w:val="0"/>
        <w:widowControl w:val="0"/>
        <w:shd w:val="clear" w:color="auto" w:fill="auto"/>
        <w:tabs>
          <w:tab w:pos="422" w:val="left"/>
        </w:tabs>
        <w:bidi w:val="0"/>
        <w:spacing w:before="0" w:after="0"/>
        <w:ind w:right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footnoteRef/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ab/>
        <w:t>Cílem prověrky je vyjádření názoru auditora na tuto účetní závěrku, který auditor uvede ve zprávě auditora jako svůj závěr (možné závěry: nemodifikovaný závěr, závěr s výhradou, záporný závěr a odmítnutí závěru).</w:t>
      </w:r>
    </w:p>
  </w:footnote>
  <w:footnote w:id="4">
    <w:p>
      <w:pPr>
        <w:pStyle w:val="Style2"/>
        <w:keepNext w:val="0"/>
        <w:keepLines w:val="0"/>
        <w:widowControl w:val="0"/>
        <w:shd w:val="clear" w:color="auto" w:fill="auto"/>
        <w:tabs>
          <w:tab w:pos="427" w:val="left"/>
        </w:tabs>
        <w:bidi w:val="0"/>
        <w:spacing w:before="0" w:after="0"/>
        <w:ind w:right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footnoteRef/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ab/>
        <w:t xml:space="preserve">Závěr o účetní závěrce společnosti v případě, že nebude modifikován, bude mít následující znění: „Na základě naší prověrky jsme nezjistili žádné skutečnosti svědčící o tom, že tato účetní závěrka ve všech významných (materiálních) ohledech věrně nezobrazuje (nebo nepodává věrný a poctivý obraz) finanční pozici (nebo finanční pozice) společnosti „Krajská správa a údržba silnic Vysočiny, příspěvková organizace" k 31.12.2019 a její finanční výkonnost a peněžní toky (nebo její finanční výkonnosti a peněžních toky) za rok končící 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 xml:space="preserve">k 31.12.2019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 souladu s mezinárodními standardy účetního výkaznictví."</w:t>
      </w:r>
    </w:p>
  </w:footnote>
  <w:footnote w:id="5">
    <w:p>
      <w:pPr>
        <w:pStyle w:val="Style2"/>
        <w:keepNext w:val="0"/>
        <w:keepLines w:val="0"/>
        <w:widowControl w:val="0"/>
        <w:shd w:val="clear" w:color="auto" w:fill="auto"/>
        <w:tabs>
          <w:tab w:pos="437" w:val="left"/>
        </w:tabs>
        <w:bidi w:val="0"/>
        <w:spacing w:before="0" w:after="0"/>
        <w:ind w:right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footnoteRef/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ab/>
        <w:t xml:space="preserve">Účetní závěrkou se rozumí účetní závěrka sestavená objednatelem v souladu s českými účetními předpisy 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 xml:space="preserve">k 31.12.2019,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která se skládá z rozvahy, výkazu zisků a ztráty, přehledu o změnách vlastního kapitálu, přehledu o peněžních tocích a přílohy popisující použité účetní metody a obsahující další popisné a vysvětlující informace.</w:t>
      </w:r>
    </w:p>
  </w:footnote>
  <w:footnote w:id="6">
    <w:p>
      <w:pPr>
        <w:pStyle w:val="Style2"/>
        <w:keepNext w:val="0"/>
        <w:keepLines w:val="0"/>
        <w:widowControl w:val="0"/>
        <w:shd w:val="clear" w:color="auto" w:fill="auto"/>
        <w:tabs>
          <w:tab w:pos="422" w:val="left"/>
        </w:tabs>
        <w:bidi w:val="0"/>
        <w:spacing w:before="0" w:after="0"/>
        <w:ind w:right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footnoteRef/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ab/>
        <w:t>Nelze vyloučit, že v důsledku zjištění, která naše prověrka přinese, bude nutné formu a obsah naší zprávy upravit.</w:t>
      </w:r>
    </w:p>
  </w:footnote>
  <w:footnote w:id="7">
    <w:p>
      <w:pPr>
        <w:pStyle w:val="Style2"/>
        <w:keepNext w:val="0"/>
        <w:keepLines w:val="0"/>
        <w:widowControl w:val="0"/>
        <w:shd w:val="clear" w:color="auto" w:fill="auto"/>
        <w:tabs>
          <w:tab w:pos="427" w:val="left"/>
        </w:tabs>
        <w:bidi w:val="0"/>
        <w:spacing w:before="0" w:after="0"/>
        <w:ind w:right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footnoteRef/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ab/>
        <w:t>Objednatel prohlašuje, že auditor byl jmenován nejvyšším orgánem objednatele, který o volbě auditora rozhodl dne 3.1. 2019.</w:t>
      </w:r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7"/>
      <w:numFmt w:val="decimal"/>
      <w:lvlText w:val="%1.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</w:abstractNum>
  <w:abstractNum w:abstractNumId="2">
    <w:multiLevelType w:val="multilevel"/>
    <w:lvl w:ilvl="0">
      <w:start w:val="1"/>
      <w:numFmt w:val="decimal"/>
      <w:lvlText w:val="%1.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</w:abstractNum>
  <w:abstractNum w:abstractNumId="4">
    <w:multiLevelType w:val="multilevel"/>
    <w:lvl w:ilvl="0">
      <w:start w:val="1"/>
      <w:numFmt w:val="lowerLetter"/>
      <w:lvlText w:val="(%1)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</w:abstractNum>
  <w:abstractNum w:abstractNumId="6">
    <w:multiLevelType w:val="multilevel"/>
    <w:lvl w:ilvl="0">
      <w:start w:val="1"/>
      <w:numFmt w:val="decimal"/>
      <w:lvlText w:val="%1.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</w:abstractNum>
  <w:abstractNum w:abstractNumId="8">
    <w:multiLevelType w:val="multilevel"/>
    <w:lvl w:ilvl="0">
      <w:start w:val="1"/>
      <w:numFmt w:val="lowerLetter"/>
      <w:lvlText w:val="(%1)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</w:abstractNum>
  <w:abstractNum w:abstractNumId="10">
    <w:multiLevelType w:val="multilevel"/>
    <w:lvl w:ilvl="0">
      <w:start w:val="1"/>
      <w:numFmt w:val="lowerRoman"/>
      <w:lvlText w:val="(%1)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</w:abstractNum>
  <w:abstractNum w:abstractNumId="12">
    <w:multiLevelType w:val="multilevel"/>
    <w:lvl w:ilvl="0">
      <w:start w:val="1"/>
      <w:numFmt w:val="decimal"/>
      <w:lvlText w:val="%1.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</w:abstractNum>
  <w:abstractNum w:abstractNumId="14">
    <w:multiLevelType w:val="multilevel"/>
    <w:lvl w:ilvl="0">
      <w:start w:val="1"/>
      <w:numFmt w:val="decimal"/>
      <w:lvlText w:val="%1.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</w:abstractNum>
  <w:abstractNum w:abstractNumId="16">
    <w:multiLevelType w:val="multilevel"/>
    <w:lvl w:ilvl="0">
      <w:start w:val="1"/>
      <w:numFmt w:val="decimal"/>
      <w:lvlText w:val="%1.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</w:abstractNum>
  <w:abstractNum w:abstractNumId="18">
    <w:multiLevelType w:val="multilevel"/>
    <w:lvl w:ilvl="0">
      <w:start w:val="1"/>
      <w:numFmt w:val="decimal"/>
      <w:lvlText w:val="%1.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</w:abstractNum>
  <w:num w:numId="1">
    <w:abstractNumId w:val="0"/>
  </w:num>
  <w:num w:numId="3">
    <w:abstractNumId w:val="2"/>
  </w:num>
  <w:num w:numId="5">
    <w:abstractNumId w:val="4"/>
  </w:num>
  <w:num w:numId="7">
    <w:abstractNumId w:val="6"/>
  </w:num>
  <w:num w:numId="9">
    <w:abstractNumId w:val="8"/>
  </w:num>
  <w:num w:numId="11">
    <w:abstractNumId w:val="10"/>
  </w:num>
  <w:num w:numId="13">
    <w:abstractNumId w:val="12"/>
  </w:num>
  <w:num w:numId="15">
    <w:abstractNumId w:val="14"/>
  </w:num>
  <w:num w:numId="17">
    <w:abstractNumId w:val="16"/>
  </w:num>
  <w:num w:numId="19">
    <w:abstractNumId w:val="18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customStyle="1" w:styleId="CharStyle3">
    <w:name w:val="Poznámka pod čarou_"/>
    <w:basedOn w:val="DefaultParagraphFont"/>
    <w:link w:val="Style2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6">
    <w:name w:val="Základní text_"/>
    <w:basedOn w:val="DefaultParagraphFont"/>
    <w:link w:val="Style5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8">
    <w:name w:val="Základní text (3)_"/>
    <w:basedOn w:val="DefaultParagraphFont"/>
    <w:link w:val="Style7"/>
    <w:rPr>
      <w:rFonts w:ascii="Arial" w:eastAsia="Arial" w:hAnsi="Arial" w:cs="Arial"/>
      <w:b/>
      <w:bCs/>
      <w:i w:val="0"/>
      <w:iCs w:val="0"/>
      <w:smallCaps w:val="0"/>
      <w:strike w:val="0"/>
      <w:sz w:val="12"/>
      <w:szCs w:val="12"/>
      <w:u w:val="none"/>
    </w:rPr>
  </w:style>
  <w:style w:type="character" w:customStyle="1" w:styleId="CharStyle11">
    <w:name w:val="Základní text (4)_"/>
    <w:basedOn w:val="DefaultParagraphFont"/>
    <w:link w:val="Style10"/>
    <w:rPr>
      <w:rFonts w:ascii="Arial" w:eastAsia="Arial" w:hAnsi="Arial" w:cs="Arial"/>
      <w:b w:val="0"/>
      <w:bCs w:val="0"/>
      <w:i w:val="0"/>
      <w:iCs w:val="0"/>
      <w:smallCaps/>
      <w:strike w:val="0"/>
      <w:sz w:val="24"/>
      <w:szCs w:val="24"/>
      <w:u w:val="single"/>
    </w:rPr>
  </w:style>
  <w:style w:type="character" w:customStyle="1" w:styleId="CharStyle15">
    <w:name w:val="Základní text (2)_"/>
    <w:basedOn w:val="DefaultParagraphFont"/>
    <w:link w:val="Style14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CharStyle17">
    <w:name w:val="Záhlaví nebo zápatí (2)_"/>
    <w:basedOn w:val="DefaultParagraphFont"/>
    <w:link w:val="Style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21">
    <w:name w:val="Nadpis #1_"/>
    <w:basedOn w:val="DefaultParagraphFont"/>
    <w:link w:val="Style20"/>
    <w:rPr>
      <w:rFonts w:ascii="Cambria" w:eastAsia="Cambria" w:hAnsi="Cambria" w:cs="Cambria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CharStyle23">
    <w:name w:val="Nadpis #2_"/>
    <w:basedOn w:val="DefaultParagraphFont"/>
    <w:link w:val="Style22"/>
    <w:rPr>
      <w:rFonts w:ascii="Cambria" w:eastAsia="Cambria" w:hAnsi="Cambria" w:cs="Cambria"/>
      <w:b/>
      <w:bCs/>
      <w:i w:val="0"/>
      <w:iCs w:val="0"/>
      <w:smallCaps w:val="0"/>
      <w:strike w:val="0"/>
      <w:u w:val="none"/>
    </w:rPr>
  </w:style>
  <w:style w:type="character" w:customStyle="1" w:styleId="CharStyle25">
    <w:name w:val="Základní text (5)_"/>
    <w:basedOn w:val="DefaultParagraphFont"/>
    <w:link w:val="Style24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Style2">
    <w:name w:val="Poznámka pod čarou"/>
    <w:basedOn w:val="Normal"/>
    <w:link w:val="CharStyle3"/>
    <w:pPr>
      <w:widowControl w:val="0"/>
      <w:shd w:val="clear" w:color="auto" w:fill="FFFFFF"/>
      <w:spacing w:line="264" w:lineRule="auto"/>
      <w:ind w:left="460" w:hanging="460"/>
    </w:pPr>
    <w:rPr>
      <w:rFonts w:ascii="Cambria" w:eastAsia="Cambria" w:hAnsi="Cambria" w:cs="Cambria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Style5">
    <w:name w:val="Základní text"/>
    <w:basedOn w:val="Normal"/>
    <w:link w:val="CharStyle6"/>
    <w:pPr>
      <w:widowControl w:val="0"/>
      <w:shd w:val="clear" w:color="auto" w:fill="FFFFFF"/>
      <w:spacing w:line="262" w:lineRule="auto"/>
    </w:pPr>
    <w:rPr>
      <w:rFonts w:ascii="Cambria" w:eastAsia="Cambria" w:hAnsi="Cambria" w:cs="Cambria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Style7">
    <w:name w:val="Základní text (3)"/>
    <w:basedOn w:val="Normal"/>
    <w:link w:val="CharStyle8"/>
    <w:pPr>
      <w:widowControl w:val="0"/>
      <w:shd w:val="clear" w:color="auto" w:fill="FFFFFF"/>
      <w:spacing w:after="80" w:line="209" w:lineRule="auto"/>
    </w:pPr>
    <w:rPr>
      <w:rFonts w:ascii="Arial" w:eastAsia="Arial" w:hAnsi="Arial" w:cs="Arial"/>
      <w:b/>
      <w:bCs/>
      <w:i w:val="0"/>
      <w:iCs w:val="0"/>
      <w:smallCaps w:val="0"/>
      <w:strike w:val="0"/>
      <w:sz w:val="12"/>
      <w:szCs w:val="12"/>
      <w:u w:val="none"/>
    </w:rPr>
  </w:style>
  <w:style w:type="paragraph" w:customStyle="1" w:styleId="Style10">
    <w:name w:val="Základní text (4)"/>
    <w:basedOn w:val="Normal"/>
    <w:link w:val="CharStyle11"/>
    <w:pPr>
      <w:widowControl w:val="0"/>
      <w:shd w:val="clear" w:color="auto" w:fill="FFFFFF"/>
      <w:spacing w:after="120"/>
    </w:pPr>
    <w:rPr>
      <w:rFonts w:ascii="Arial" w:eastAsia="Arial" w:hAnsi="Arial" w:cs="Arial"/>
      <w:b w:val="0"/>
      <w:bCs w:val="0"/>
      <w:i w:val="0"/>
      <w:iCs w:val="0"/>
      <w:smallCaps/>
      <w:strike w:val="0"/>
      <w:sz w:val="24"/>
      <w:szCs w:val="24"/>
      <w:u w:val="single"/>
    </w:rPr>
  </w:style>
  <w:style w:type="paragraph" w:customStyle="1" w:styleId="Style14">
    <w:name w:val="Základní text (2)"/>
    <w:basedOn w:val="Normal"/>
    <w:link w:val="CharStyle15"/>
    <w:pPr>
      <w:widowControl w:val="0"/>
      <w:shd w:val="clear" w:color="auto" w:fill="FFFFFF"/>
      <w:spacing w:line="300" w:lineRule="auto"/>
      <w:ind w:left="6440"/>
    </w:pPr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paragraph" w:customStyle="1" w:styleId="Style16">
    <w:name w:val="Záhlaví nebo zápatí (2)"/>
    <w:basedOn w:val="Normal"/>
    <w:link w:val="CharStyle17"/>
    <w:pPr>
      <w:widowControl w:val="0"/>
      <w:shd w:val="clear" w:color="auto" w:fill="FFFFFF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20">
    <w:name w:val="Nadpis #1"/>
    <w:basedOn w:val="Normal"/>
    <w:link w:val="CharStyle21"/>
    <w:pPr>
      <w:widowControl w:val="0"/>
      <w:shd w:val="clear" w:color="auto" w:fill="FFFFFF"/>
      <w:jc w:val="center"/>
      <w:outlineLvl w:val="0"/>
    </w:pPr>
    <w:rPr>
      <w:rFonts w:ascii="Cambria" w:eastAsia="Cambria" w:hAnsi="Cambria" w:cs="Cambria"/>
      <w:b/>
      <w:bCs/>
      <w:i w:val="0"/>
      <w:iCs w:val="0"/>
      <w:smallCaps w:val="0"/>
      <w:strike w:val="0"/>
      <w:sz w:val="40"/>
      <w:szCs w:val="40"/>
      <w:u w:val="none"/>
    </w:rPr>
  </w:style>
  <w:style w:type="paragraph" w:customStyle="1" w:styleId="Style22">
    <w:name w:val="Nadpis #2"/>
    <w:basedOn w:val="Normal"/>
    <w:link w:val="CharStyle23"/>
    <w:pPr>
      <w:widowControl w:val="0"/>
      <w:shd w:val="clear" w:color="auto" w:fill="FFFFFF"/>
      <w:jc w:val="center"/>
      <w:outlineLvl w:val="1"/>
    </w:pPr>
    <w:rPr>
      <w:rFonts w:ascii="Cambria" w:eastAsia="Cambria" w:hAnsi="Cambria" w:cs="Cambria"/>
      <w:b/>
      <w:bCs/>
      <w:i w:val="0"/>
      <w:iCs w:val="0"/>
      <w:smallCaps w:val="0"/>
      <w:strike w:val="0"/>
      <w:u w:val="none"/>
    </w:rPr>
  </w:style>
  <w:style w:type="paragraph" w:customStyle="1" w:styleId="Style24">
    <w:name w:val="Základní text (5)"/>
    <w:basedOn w:val="Normal"/>
    <w:link w:val="CharStyle25"/>
    <w:pPr>
      <w:widowControl w:val="0"/>
      <w:shd w:val="clear" w:color="auto" w:fill="FFFFFF"/>
      <w:ind w:left="3740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footer" Target="footer1.xml"/></Relationships>
</file>