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D3A" w:rsidRDefault="00E30649">
      <w:pPr>
        <w:pStyle w:val="Heading20"/>
        <w:framePr w:wrap="none" w:vAnchor="page" w:hAnchor="page" w:x="891" w:y="1006"/>
        <w:shd w:val="clear" w:color="auto" w:fill="auto"/>
        <w:spacing w:after="0"/>
        <w:ind w:left="3700" w:firstLine="0"/>
      </w:pPr>
      <w:bookmarkStart w:id="0" w:name="bookmark0"/>
      <w:r>
        <w:t>Smlouva o spolupořadatelství</w:t>
      </w:r>
      <w:bookmarkEnd w:id="0"/>
    </w:p>
    <w:p w:rsidR="00AD4D3A" w:rsidRDefault="00E30649">
      <w:pPr>
        <w:pStyle w:val="Bodytext20"/>
        <w:framePr w:w="9638" w:h="5394" w:hRule="exact" w:wrap="none" w:vAnchor="page" w:hAnchor="page" w:x="891" w:y="1538"/>
        <w:shd w:val="clear" w:color="auto" w:fill="auto"/>
        <w:spacing w:before="0" w:after="244"/>
        <w:ind w:left="500" w:firstLine="0"/>
      </w:pPr>
      <w:r>
        <w:t>uzavřená mezi:</w:t>
      </w:r>
    </w:p>
    <w:p w:rsidR="00AD4D3A" w:rsidRDefault="00E30649">
      <w:pPr>
        <w:pStyle w:val="Heading20"/>
        <w:framePr w:w="9638" w:h="5394" w:hRule="exact" w:wrap="none" w:vAnchor="page" w:hAnchor="page" w:x="891" w:y="1538"/>
        <w:shd w:val="clear" w:color="auto" w:fill="auto"/>
        <w:spacing w:after="0" w:line="269" w:lineRule="exact"/>
        <w:ind w:left="500" w:firstLine="0"/>
      </w:pPr>
      <w:bookmarkStart w:id="1" w:name="bookmark1"/>
      <w:r>
        <w:t>Hudební divadlo v Karl</w:t>
      </w:r>
      <w:r w:rsidR="00F1711A">
        <w:t>í</w:t>
      </w:r>
      <w:r>
        <w:t>ně</w:t>
      </w:r>
      <w:bookmarkEnd w:id="1"/>
    </w:p>
    <w:p w:rsidR="00AD4D3A" w:rsidRDefault="00E30649">
      <w:pPr>
        <w:pStyle w:val="Bodytext20"/>
        <w:framePr w:w="9638" w:h="5394" w:hRule="exact" w:wrap="none" w:vAnchor="page" w:hAnchor="page" w:x="891" w:y="1538"/>
        <w:shd w:val="clear" w:color="auto" w:fill="auto"/>
        <w:spacing w:before="0" w:after="316" w:line="269" w:lineRule="exact"/>
        <w:ind w:left="500" w:right="4100" w:firstLine="0"/>
      </w:pPr>
      <w:r>
        <w:t xml:space="preserve">se sídlem Křižíkova 10,186 00 Praha 8 - Karlín Zastoupené: panem Egonem Kulhánkem, ředitelem HDK IČ: 00064335, DIČ: CZ00064335 </w:t>
      </w:r>
      <w:r w:rsidR="00F1711A">
        <w:t xml:space="preserve">                                               </w:t>
      </w:r>
      <w:r>
        <w:t>bankovní spojení: KB, a.s., č.ú.: 431512190287/0100</w:t>
      </w:r>
    </w:p>
    <w:p w:rsidR="00AD4D3A" w:rsidRDefault="00E30649">
      <w:pPr>
        <w:pStyle w:val="Bodytext20"/>
        <w:framePr w:w="9638" w:h="5394" w:hRule="exact" w:wrap="none" w:vAnchor="page" w:hAnchor="page" w:x="891" w:y="1538"/>
        <w:shd w:val="clear" w:color="auto" w:fill="auto"/>
        <w:spacing w:before="0"/>
        <w:ind w:left="500" w:firstLine="0"/>
      </w:pPr>
      <w:r>
        <w:t>(dále jen „divadlo")</w:t>
      </w:r>
    </w:p>
    <w:p w:rsidR="00AD4D3A" w:rsidRDefault="00E30649">
      <w:pPr>
        <w:pStyle w:val="Bodytext20"/>
        <w:framePr w:w="9638" w:h="5394" w:hRule="exact" w:wrap="none" w:vAnchor="page" w:hAnchor="page" w:x="891" w:y="1538"/>
        <w:shd w:val="clear" w:color="auto" w:fill="auto"/>
        <w:spacing w:before="0" w:after="244"/>
        <w:ind w:left="500" w:firstLine="0"/>
      </w:pPr>
      <w:r>
        <w:t>a</w:t>
      </w:r>
    </w:p>
    <w:p w:rsidR="00AD4D3A" w:rsidRDefault="00E30649">
      <w:pPr>
        <w:pStyle w:val="Heading20"/>
        <w:framePr w:w="9638" w:h="5394" w:hRule="exact" w:wrap="none" w:vAnchor="page" w:hAnchor="page" w:x="891" w:y="1538"/>
        <w:shd w:val="clear" w:color="auto" w:fill="auto"/>
        <w:spacing w:after="0" w:line="269" w:lineRule="exact"/>
        <w:ind w:left="500" w:firstLine="0"/>
      </w:pPr>
      <w:bookmarkStart w:id="2" w:name="bookmark2"/>
      <w:r>
        <w:t>EwoluZone s.r.o.</w:t>
      </w:r>
      <w:bookmarkEnd w:id="2"/>
    </w:p>
    <w:p w:rsidR="00AD4D3A" w:rsidRDefault="00E30649">
      <w:pPr>
        <w:pStyle w:val="Bodytext20"/>
        <w:framePr w:w="9638" w:h="5394" w:hRule="exact" w:wrap="none" w:vAnchor="page" w:hAnchor="page" w:x="891" w:y="1538"/>
        <w:shd w:val="clear" w:color="auto" w:fill="auto"/>
        <w:spacing w:before="0" w:after="316" w:line="269" w:lineRule="exact"/>
        <w:ind w:left="500" w:right="4100" w:firstLine="0"/>
      </w:pPr>
      <w:r>
        <w:t xml:space="preserve">Vendryně 1053, 729 94 Vendryně </w:t>
      </w:r>
      <w:r w:rsidR="00F1711A">
        <w:t xml:space="preserve">                                                   </w:t>
      </w:r>
      <w:r>
        <w:t xml:space="preserve">IČO 01669621 </w:t>
      </w:r>
      <w:r w:rsidR="00F1711A">
        <w:t xml:space="preserve">                                                                                   </w:t>
      </w:r>
      <w:r>
        <w:t>DIČ CZ01669621</w:t>
      </w:r>
    </w:p>
    <w:p w:rsidR="00AD4D3A" w:rsidRDefault="00E30649">
      <w:pPr>
        <w:pStyle w:val="Bodytext20"/>
        <w:framePr w:w="9638" w:h="5394" w:hRule="exact" w:wrap="none" w:vAnchor="page" w:hAnchor="page" w:x="891" w:y="1538"/>
        <w:shd w:val="clear" w:color="auto" w:fill="auto"/>
        <w:spacing w:before="0"/>
        <w:ind w:left="500" w:firstLine="0"/>
      </w:pPr>
      <w:r>
        <w:t>(dále jen „společnost")</w:t>
      </w:r>
    </w:p>
    <w:p w:rsidR="00AD4D3A" w:rsidRDefault="00E30649">
      <w:pPr>
        <w:pStyle w:val="Bodytext20"/>
        <w:framePr w:w="9638" w:h="5394" w:hRule="exact" w:wrap="none" w:vAnchor="page" w:hAnchor="page" w:x="891" w:y="1538"/>
        <w:shd w:val="clear" w:color="auto" w:fill="auto"/>
        <w:spacing w:before="0" w:after="0"/>
        <w:ind w:left="500" w:firstLine="0"/>
      </w:pPr>
      <w:r>
        <w:t>za těchto smluvních podmínek:</w:t>
      </w:r>
    </w:p>
    <w:p w:rsidR="00AD4D3A" w:rsidRDefault="00E30649">
      <w:pPr>
        <w:pStyle w:val="Heading10"/>
        <w:framePr w:w="9638" w:h="7534" w:hRule="exact" w:wrap="none" w:vAnchor="page" w:hAnchor="page" w:x="891" w:y="7456"/>
        <w:shd w:val="clear" w:color="auto" w:fill="auto"/>
        <w:spacing w:before="0"/>
        <w:ind w:left="5000"/>
      </w:pPr>
      <w:bookmarkStart w:id="3" w:name="bookmark3"/>
      <w:r>
        <w:t>I.</w:t>
      </w:r>
      <w:bookmarkEnd w:id="3"/>
    </w:p>
    <w:p w:rsidR="00AD4D3A" w:rsidRDefault="00E30649">
      <w:pPr>
        <w:pStyle w:val="Heading20"/>
        <w:framePr w:w="9638" w:h="7534" w:hRule="exact" w:wrap="none" w:vAnchor="page" w:hAnchor="page" w:x="891" w:y="7456"/>
        <w:shd w:val="clear" w:color="auto" w:fill="auto"/>
        <w:spacing w:after="248"/>
        <w:ind w:left="4280" w:firstLine="0"/>
      </w:pPr>
      <w:bookmarkStart w:id="4" w:name="bookmark4"/>
      <w:r>
        <w:t>Předmět smlouvy</w:t>
      </w:r>
      <w:bookmarkEnd w:id="4"/>
    </w:p>
    <w:p w:rsidR="00AD4D3A" w:rsidRDefault="00E30649">
      <w:pPr>
        <w:pStyle w:val="Bodytext20"/>
        <w:framePr w:w="9638" w:h="7534" w:hRule="exact" w:wrap="none" w:vAnchor="page" w:hAnchor="page" w:x="891" w:y="7456"/>
        <w:numPr>
          <w:ilvl w:val="0"/>
          <w:numId w:val="1"/>
        </w:numPr>
        <w:shd w:val="clear" w:color="auto" w:fill="auto"/>
        <w:tabs>
          <w:tab w:val="left" w:pos="462"/>
        </w:tabs>
        <w:spacing w:before="0" w:after="276" w:line="264" w:lineRule="exact"/>
        <w:ind w:left="500"/>
        <w:jc w:val="both"/>
      </w:pPr>
      <w:r>
        <w:t>Účastníci této smlouvy prohlašují, že mají oboustranný zájem na spolupráci za účelem uspořádání koncertu/koncertů Ewy Fa</w:t>
      </w:r>
      <w:r w:rsidR="00F1711A">
        <w:t>r</w:t>
      </w:r>
      <w:r>
        <w:t>né s kapelou dne 27. 4. 2020 (dále jen „akce")</w:t>
      </w:r>
    </w:p>
    <w:p w:rsidR="00AD4D3A" w:rsidRDefault="00E30649">
      <w:pPr>
        <w:pStyle w:val="Bodytext20"/>
        <w:framePr w:w="9638" w:h="7534" w:hRule="exact" w:wrap="none" w:vAnchor="page" w:hAnchor="page" w:x="891" w:y="7456"/>
        <w:numPr>
          <w:ilvl w:val="0"/>
          <w:numId w:val="1"/>
        </w:numPr>
        <w:shd w:val="clear" w:color="auto" w:fill="auto"/>
        <w:tabs>
          <w:tab w:val="left" w:pos="462"/>
        </w:tabs>
        <w:spacing w:before="0" w:after="0" w:line="269" w:lineRule="exact"/>
        <w:ind w:left="500"/>
        <w:jc w:val="both"/>
      </w:pPr>
      <w:r>
        <w:t>Prostory a technická zařízení uvedená v příloze č. 1 budou společnosti v řádném stavu předány dne 27. 04. 2020 v 8.00 hodin, a to na základě předávacího protokolu. Společnost se touto smlouvou zavazuje užívané prostory vyklidit a předat zpět divadlu nejpozději dne 28. 4. 2020 do 02.00 hodin.</w:t>
      </w:r>
    </w:p>
    <w:p w:rsidR="00AD4D3A" w:rsidRDefault="00E30649">
      <w:pPr>
        <w:pStyle w:val="Bodytext30"/>
        <w:framePr w:w="9638" w:h="7534" w:hRule="exact" w:wrap="none" w:vAnchor="page" w:hAnchor="page" w:x="891" w:y="7456"/>
        <w:shd w:val="clear" w:color="auto" w:fill="auto"/>
        <w:spacing w:after="284"/>
        <w:ind w:left="500"/>
      </w:pP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rsidR="00AD4D3A" w:rsidRDefault="00E30649">
      <w:pPr>
        <w:pStyle w:val="Bodytext20"/>
        <w:framePr w:w="9638" w:h="7534" w:hRule="exact" w:wrap="none" w:vAnchor="page" w:hAnchor="page" w:x="891" w:y="7456"/>
        <w:numPr>
          <w:ilvl w:val="0"/>
          <w:numId w:val="1"/>
        </w:numPr>
        <w:shd w:val="clear" w:color="auto" w:fill="auto"/>
        <w:tabs>
          <w:tab w:val="left" w:pos="462"/>
        </w:tabs>
        <w:spacing w:before="0" w:after="276" w:line="264" w:lineRule="exact"/>
        <w:ind w:left="500"/>
        <w:jc w:val="both"/>
      </w:pPr>
      <w:r>
        <w:t>Společnost je oprávněna použít výše uvedené prostory pouze za účelem uvedeným v bodu 1 tohoto článku. Činnost společnosti bude spočívat především ve stavbě a instalaci dekorací, v realizaci zkoušek a koncertu, likvidaci nainstalovaných dekorací.</w:t>
      </w:r>
    </w:p>
    <w:p w:rsidR="00AD4D3A" w:rsidRDefault="00E30649">
      <w:pPr>
        <w:pStyle w:val="Bodytext20"/>
        <w:framePr w:w="9638" w:h="7534" w:hRule="exact" w:wrap="none" w:vAnchor="page" w:hAnchor="page" w:x="891" w:y="7456"/>
        <w:numPr>
          <w:ilvl w:val="0"/>
          <w:numId w:val="1"/>
        </w:numPr>
        <w:shd w:val="clear" w:color="auto" w:fill="auto"/>
        <w:tabs>
          <w:tab w:val="left" w:pos="462"/>
        </w:tabs>
        <w:spacing w:before="0" w:after="284" w:line="269" w:lineRule="exact"/>
        <w:ind w:left="50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rsidR="00AD4D3A" w:rsidRDefault="00E30649">
      <w:pPr>
        <w:pStyle w:val="Bodytext20"/>
        <w:framePr w:w="9638" w:h="7534" w:hRule="exact" w:wrap="none" w:vAnchor="page" w:hAnchor="page" w:x="891" w:y="7456"/>
        <w:numPr>
          <w:ilvl w:val="0"/>
          <w:numId w:val="1"/>
        </w:numPr>
        <w:shd w:val="clear" w:color="auto" w:fill="auto"/>
        <w:tabs>
          <w:tab w:val="left" w:pos="462"/>
        </w:tabs>
        <w:spacing w:before="0" w:after="0" w:line="264" w:lineRule="exact"/>
        <w:ind w:left="50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vlastní náklady, a to i organizačně.</w:t>
      </w:r>
    </w:p>
    <w:p w:rsidR="00AD4D3A" w:rsidRDefault="00AD4D3A">
      <w:pPr>
        <w:rPr>
          <w:sz w:val="2"/>
          <w:szCs w:val="2"/>
        </w:rPr>
        <w:sectPr w:rsidR="00AD4D3A">
          <w:pgSz w:w="11900" w:h="16840"/>
          <w:pgMar w:top="360" w:right="360" w:bottom="360" w:left="360" w:header="0" w:footer="3" w:gutter="0"/>
          <w:cols w:space="720"/>
          <w:noEndnote/>
          <w:docGrid w:linePitch="360"/>
        </w:sectPr>
      </w:pPr>
    </w:p>
    <w:p w:rsidR="00AD4D3A" w:rsidRPr="00F1711A" w:rsidRDefault="00E30649">
      <w:pPr>
        <w:pStyle w:val="Heading220"/>
        <w:framePr w:w="9619" w:h="537" w:hRule="exact" w:wrap="none" w:vAnchor="page" w:hAnchor="page" w:x="901" w:y="1010"/>
        <w:shd w:val="clear" w:color="auto" w:fill="auto"/>
        <w:spacing w:after="41"/>
        <w:ind w:left="4960"/>
        <w:rPr>
          <w:rFonts w:asciiTheme="minorHAnsi" w:hAnsiTheme="minorHAnsi" w:cstheme="minorHAnsi"/>
          <w:sz w:val="22"/>
          <w:szCs w:val="22"/>
        </w:rPr>
      </w:pPr>
      <w:bookmarkStart w:id="5" w:name="bookmark5"/>
      <w:r w:rsidRPr="00F1711A">
        <w:rPr>
          <w:rFonts w:asciiTheme="minorHAnsi" w:hAnsiTheme="minorHAnsi" w:cstheme="minorHAnsi"/>
          <w:sz w:val="22"/>
          <w:szCs w:val="22"/>
        </w:rPr>
        <w:lastRenderedPageBreak/>
        <w:t>II.</w:t>
      </w:r>
      <w:bookmarkEnd w:id="5"/>
    </w:p>
    <w:p w:rsidR="00AD4D3A" w:rsidRDefault="00E30649">
      <w:pPr>
        <w:pStyle w:val="Heading20"/>
        <w:framePr w:w="9619" w:h="537" w:hRule="exact" w:wrap="none" w:vAnchor="page" w:hAnchor="page" w:x="901" w:y="1010"/>
        <w:shd w:val="clear" w:color="auto" w:fill="auto"/>
        <w:spacing w:after="0"/>
        <w:ind w:left="3440" w:firstLine="0"/>
      </w:pPr>
      <w:bookmarkStart w:id="6" w:name="bookmark6"/>
      <w:r>
        <w:t>Práva a povinnosti smluvních stran</w:t>
      </w:r>
      <w:bookmarkEnd w:id="6"/>
    </w:p>
    <w:p w:rsidR="00AD4D3A" w:rsidRDefault="00E30649">
      <w:pPr>
        <w:pStyle w:val="Bodytext20"/>
        <w:framePr w:w="9619" w:h="12405" w:hRule="exact" w:wrap="none" w:vAnchor="page" w:hAnchor="page" w:x="901" w:y="1770"/>
        <w:numPr>
          <w:ilvl w:val="0"/>
          <w:numId w:val="2"/>
        </w:numPr>
        <w:shd w:val="clear" w:color="auto" w:fill="auto"/>
        <w:tabs>
          <w:tab w:val="left" w:pos="423"/>
        </w:tabs>
        <w:spacing w:before="0" w:after="276" w:line="264" w:lineRule="exact"/>
        <w:ind w:left="480" w:hanging="480"/>
        <w:jc w:val="both"/>
      </w:pPr>
      <w:r>
        <w:t>Společnost smí používat a obsluhovat technická zařízení a vybavení užívaných prostor pouze v souladu s pokyny, nebo za účasti pověřeného pracovníka divadla. Za tímto účelem je pověřeným pracovníkem divadla Jan Křehla (</w:t>
      </w:r>
      <w:r w:rsidR="001C29C9">
        <w:t>xxxxxxxxx</w:t>
      </w:r>
      <w:r>
        <w:t xml:space="preserve">, </w:t>
      </w:r>
      <w:hyperlink r:id="rId7" w:history="1">
        <w:r>
          <w:rPr>
            <w:lang w:val="en-US" w:eastAsia="en-US" w:bidi="en-US"/>
          </w:rPr>
          <w:t>jan.krehla@hdk.cz</w:t>
        </w:r>
      </w:hyperlink>
      <w:r>
        <w:rPr>
          <w:lang w:val="en-US" w:eastAsia="en-US" w:bidi="en-US"/>
        </w:rPr>
        <w:t xml:space="preserve">. </w:t>
      </w:r>
      <w:r>
        <w:t>Společnost je povinna dodržovat bezpečnostní a požární předpisy spojené s provozem divadelní budovy a vyhrazených zařízení, s nimiž byla divadlem seznámena.</w:t>
      </w:r>
    </w:p>
    <w:p w:rsidR="00AD4D3A" w:rsidRDefault="00E30649">
      <w:pPr>
        <w:pStyle w:val="Bodytext20"/>
        <w:framePr w:w="9619" w:h="12405" w:hRule="exact" w:wrap="none" w:vAnchor="page" w:hAnchor="page" w:x="901" w:y="1770"/>
        <w:numPr>
          <w:ilvl w:val="0"/>
          <w:numId w:val="2"/>
        </w:numPr>
        <w:shd w:val="clear" w:color="auto" w:fill="auto"/>
        <w:tabs>
          <w:tab w:val="left" w:pos="423"/>
        </w:tabs>
        <w:spacing w:before="0" w:after="316" w:line="269" w:lineRule="exact"/>
        <w:ind w:left="480" w:hanging="480"/>
        <w:jc w:val="both"/>
      </w:pPr>
      <w:r>
        <w:t>Společnost se zavazuje prostřednictvím svého kompetentního zástupce zajistit řádnou, průběžnou a kvalifikovanou komunikaci mezi společností a odpovědným pracovníkem divadla. Odpovědným zástupcem společnosti je: Pavel Trojan (</w:t>
      </w:r>
      <w:r w:rsidR="001C29C9">
        <w:t>xxxxxxxxx</w:t>
      </w:r>
      <w:r>
        <w:t xml:space="preserve">, </w:t>
      </w:r>
      <w:hyperlink r:id="rId8" w:history="1">
        <w:r>
          <w:rPr>
            <w:lang w:val="en-US" w:eastAsia="en-US" w:bidi="en-US"/>
          </w:rPr>
          <w:t>manager@ewafarna.com</w:t>
        </w:r>
      </w:hyperlink>
      <w:r>
        <w:rPr>
          <w:lang w:val="en-US" w:eastAsia="en-US" w:bidi="en-US"/>
        </w:rPr>
        <w:t>)</w:t>
      </w:r>
    </w:p>
    <w:p w:rsidR="00AD4D3A" w:rsidRDefault="00E30649">
      <w:pPr>
        <w:pStyle w:val="Bodytext20"/>
        <w:framePr w:w="9619" w:h="12405" w:hRule="exact" w:wrap="none" w:vAnchor="page" w:hAnchor="page" w:x="901" w:y="1770"/>
        <w:numPr>
          <w:ilvl w:val="0"/>
          <w:numId w:val="2"/>
        </w:numPr>
        <w:shd w:val="clear" w:color="auto" w:fill="auto"/>
        <w:tabs>
          <w:tab w:val="left" w:pos="423"/>
        </w:tabs>
        <w:spacing w:before="0" w:after="244"/>
        <w:ind w:left="480" w:hanging="480"/>
        <w:jc w:val="both"/>
      </w:pPr>
      <w:r>
        <w:t>Společnost není oprávněna dát prostory HDK do podnájmu třetí osobě.</w:t>
      </w:r>
    </w:p>
    <w:p w:rsidR="00AD4D3A" w:rsidRDefault="00E30649">
      <w:pPr>
        <w:pStyle w:val="Bodytext20"/>
        <w:framePr w:w="9619" w:h="12405" w:hRule="exact" w:wrap="none" w:vAnchor="page" w:hAnchor="page" w:x="901" w:y="1770"/>
        <w:numPr>
          <w:ilvl w:val="0"/>
          <w:numId w:val="2"/>
        </w:numPr>
        <w:shd w:val="clear" w:color="auto" w:fill="auto"/>
        <w:tabs>
          <w:tab w:val="left" w:pos="423"/>
        </w:tabs>
        <w:spacing w:before="0" w:after="284" w:line="269" w:lineRule="exact"/>
        <w:ind w:left="480" w:hanging="48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AD4D3A" w:rsidRDefault="00E30649">
      <w:pPr>
        <w:pStyle w:val="Bodytext20"/>
        <w:framePr w:w="9619" w:h="12405" w:hRule="exact" w:wrap="none" w:vAnchor="page" w:hAnchor="page" w:x="901" w:y="1770"/>
        <w:numPr>
          <w:ilvl w:val="0"/>
          <w:numId w:val="2"/>
        </w:numPr>
        <w:shd w:val="clear" w:color="auto" w:fill="auto"/>
        <w:tabs>
          <w:tab w:val="left" w:pos="423"/>
        </w:tabs>
        <w:spacing w:before="0" w:line="264" w:lineRule="exact"/>
        <w:ind w:left="480" w:hanging="48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AD4D3A" w:rsidRDefault="00E30649">
      <w:pPr>
        <w:pStyle w:val="Bodytext20"/>
        <w:framePr w:w="9619" w:h="12405" w:hRule="exact" w:wrap="none" w:vAnchor="page" w:hAnchor="page" w:x="901" w:y="1770"/>
        <w:numPr>
          <w:ilvl w:val="0"/>
          <w:numId w:val="2"/>
        </w:numPr>
        <w:shd w:val="clear" w:color="auto" w:fill="auto"/>
        <w:tabs>
          <w:tab w:val="left" w:pos="423"/>
        </w:tabs>
        <w:spacing w:before="0" w:line="264" w:lineRule="exact"/>
        <w:ind w:left="480" w:hanging="480"/>
        <w:jc w:val="both"/>
      </w:pPr>
      <w:r>
        <w:t>Společnost se zavazuje učinit veškerá opatření k</w:t>
      </w:r>
      <w:r w:rsidR="00F1711A">
        <w:t xml:space="preserve"> </w:t>
      </w:r>
      <w:r>
        <w:t>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AD4D3A" w:rsidRDefault="00E30649">
      <w:pPr>
        <w:pStyle w:val="Bodytext20"/>
        <w:framePr w:w="9619" w:h="12405" w:hRule="exact" w:wrap="none" w:vAnchor="page" w:hAnchor="page" w:x="901" w:y="1770"/>
        <w:numPr>
          <w:ilvl w:val="0"/>
          <w:numId w:val="2"/>
        </w:numPr>
        <w:shd w:val="clear" w:color="auto" w:fill="auto"/>
        <w:tabs>
          <w:tab w:val="left" w:pos="423"/>
        </w:tabs>
        <w:spacing w:before="0" w:after="276" w:line="264" w:lineRule="exact"/>
        <w:ind w:left="480" w:hanging="48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AD4D3A" w:rsidRDefault="00E30649">
      <w:pPr>
        <w:pStyle w:val="Heading20"/>
        <w:framePr w:w="9619" w:h="12405" w:hRule="exact" w:wrap="none" w:vAnchor="page" w:hAnchor="page" w:x="901" w:y="1770"/>
        <w:numPr>
          <w:ilvl w:val="0"/>
          <w:numId w:val="2"/>
        </w:numPr>
        <w:shd w:val="clear" w:color="auto" w:fill="auto"/>
        <w:tabs>
          <w:tab w:val="left" w:pos="423"/>
        </w:tabs>
        <w:spacing w:line="269" w:lineRule="exact"/>
        <w:ind w:left="480"/>
        <w:jc w:val="both"/>
      </w:pPr>
      <w:bookmarkStart w:id="7" w:name="bookmark7"/>
      <w:r>
        <w:t>Cateringové služby v Hudebním divadle v Karlině je oprávněna konat výhradně společnost „ASTACUS s.r.o.". Její služby si společnost v případě zájmu zajistí mimo tento smluvní vztah.</w:t>
      </w:r>
      <w:bookmarkEnd w:id="7"/>
    </w:p>
    <w:p w:rsidR="00AD4D3A" w:rsidRDefault="00E30649">
      <w:pPr>
        <w:pStyle w:val="Bodytext20"/>
        <w:framePr w:w="9619" w:h="12405" w:hRule="exact" w:wrap="none" w:vAnchor="page" w:hAnchor="page" w:x="901" w:y="1770"/>
        <w:numPr>
          <w:ilvl w:val="0"/>
          <w:numId w:val="2"/>
        </w:numPr>
        <w:shd w:val="clear" w:color="auto" w:fill="auto"/>
        <w:tabs>
          <w:tab w:val="left" w:pos="423"/>
        </w:tabs>
        <w:spacing w:before="0" w:after="0" w:line="269" w:lineRule="exact"/>
        <w:ind w:left="480" w:hanging="48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rsidR="00AD4D3A" w:rsidRDefault="00AD4D3A">
      <w:pPr>
        <w:rPr>
          <w:sz w:val="2"/>
          <w:szCs w:val="2"/>
        </w:rPr>
        <w:sectPr w:rsidR="00AD4D3A">
          <w:pgSz w:w="11900" w:h="16840"/>
          <w:pgMar w:top="360" w:right="360" w:bottom="360" w:left="360" w:header="0" w:footer="3" w:gutter="0"/>
          <w:cols w:space="720"/>
          <w:noEndnote/>
          <w:docGrid w:linePitch="360"/>
        </w:sectPr>
      </w:pPr>
    </w:p>
    <w:p w:rsidR="00AD4D3A" w:rsidRDefault="00E30649">
      <w:pPr>
        <w:pStyle w:val="Bodytext20"/>
        <w:framePr w:w="9586" w:h="3005" w:hRule="exact" w:wrap="none" w:vAnchor="page" w:hAnchor="page" w:x="918" w:y="988"/>
        <w:numPr>
          <w:ilvl w:val="0"/>
          <w:numId w:val="2"/>
        </w:numPr>
        <w:shd w:val="clear" w:color="auto" w:fill="auto"/>
        <w:tabs>
          <w:tab w:val="left" w:pos="399"/>
        </w:tabs>
        <w:spacing w:before="0" w:line="264" w:lineRule="exact"/>
        <w:ind w:left="440" w:hanging="440"/>
        <w:jc w:val="both"/>
      </w:pPr>
      <w:r>
        <w:lastRenderedPageBreak/>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r w:rsidR="001C29C9">
        <w:t>xx</w:t>
      </w:r>
      <w:r>
        <w:t xml:space="preserve">,- Kč ( </w:t>
      </w:r>
      <w:r w:rsidR="001C29C9">
        <w:t xml:space="preserve">xx </w:t>
      </w:r>
      <w:r>
        <w:t>korunčeských)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AD4D3A" w:rsidRDefault="00E30649">
      <w:pPr>
        <w:pStyle w:val="Bodytext20"/>
        <w:framePr w:w="9586" w:h="3005" w:hRule="exact" w:wrap="none" w:vAnchor="page" w:hAnchor="page" w:x="918" w:y="988"/>
        <w:numPr>
          <w:ilvl w:val="0"/>
          <w:numId w:val="2"/>
        </w:numPr>
        <w:shd w:val="clear" w:color="auto" w:fill="auto"/>
        <w:tabs>
          <w:tab w:val="left" w:pos="399"/>
        </w:tabs>
        <w:spacing w:before="0" w:after="0" w:line="264" w:lineRule="exact"/>
        <w:ind w:left="440" w:hanging="440"/>
        <w:jc w:val="both"/>
      </w:pPr>
      <w:r>
        <w:t>Společnosti se touto smlouvou zakazuje v prostoru divadla umisťovat jakékoliv objekty a zařízení, jež nebyly divadlem písemně schváleny.</w:t>
      </w:r>
    </w:p>
    <w:p w:rsidR="00AD4D3A" w:rsidRPr="00F1711A" w:rsidRDefault="00E30649">
      <w:pPr>
        <w:pStyle w:val="Heading230"/>
        <w:framePr w:w="9586" w:h="532" w:hRule="exact" w:wrap="none" w:vAnchor="page" w:hAnchor="page" w:x="918" w:y="4260"/>
        <w:shd w:val="clear" w:color="auto" w:fill="auto"/>
        <w:spacing w:before="0"/>
        <w:ind w:left="4860"/>
        <w:rPr>
          <w:rFonts w:asciiTheme="minorHAnsi" w:hAnsiTheme="minorHAnsi" w:cstheme="minorHAnsi"/>
          <w:sz w:val="22"/>
          <w:szCs w:val="22"/>
        </w:rPr>
      </w:pPr>
      <w:bookmarkStart w:id="8" w:name="bookmark8"/>
      <w:r w:rsidRPr="00F1711A">
        <w:rPr>
          <w:rFonts w:asciiTheme="minorHAnsi" w:hAnsiTheme="minorHAnsi" w:cstheme="minorHAnsi"/>
          <w:sz w:val="22"/>
          <w:szCs w:val="22"/>
        </w:rPr>
        <w:t>III.</w:t>
      </w:r>
      <w:bookmarkEnd w:id="8"/>
    </w:p>
    <w:p w:rsidR="00AD4D3A" w:rsidRDefault="00E30649">
      <w:pPr>
        <w:pStyle w:val="Heading20"/>
        <w:framePr w:w="9586" w:h="532" w:hRule="exact" w:wrap="none" w:vAnchor="page" w:hAnchor="page" w:x="918" w:y="4260"/>
        <w:shd w:val="clear" w:color="auto" w:fill="auto"/>
        <w:spacing w:after="0"/>
        <w:ind w:left="3680" w:firstLine="0"/>
      </w:pPr>
      <w:bookmarkStart w:id="9" w:name="bookmark9"/>
      <w:r>
        <w:t>Cenové a platební podmínky</w:t>
      </w:r>
      <w:bookmarkEnd w:id="9"/>
    </w:p>
    <w:p w:rsidR="00AD4D3A" w:rsidRDefault="00E30649">
      <w:pPr>
        <w:pStyle w:val="Bodytext20"/>
        <w:framePr w:w="9586" w:h="5689" w:hRule="exact" w:wrap="none" w:vAnchor="page" w:hAnchor="page" w:x="918" w:y="5284"/>
        <w:numPr>
          <w:ilvl w:val="0"/>
          <w:numId w:val="3"/>
        </w:numPr>
        <w:shd w:val="clear" w:color="auto" w:fill="auto"/>
        <w:tabs>
          <w:tab w:val="left" w:pos="380"/>
        </w:tabs>
        <w:spacing w:before="0" w:line="264" w:lineRule="exact"/>
        <w:ind w:left="440" w:hanging="440"/>
        <w:jc w:val="both"/>
      </w:pPr>
      <w:r>
        <w:t xml:space="preserve">Smluvní strany se dohodly na spolupořadatelském podílu v celkové výši </w:t>
      </w:r>
      <w:r w:rsidR="001C29C9">
        <w:t>xx</w:t>
      </w:r>
      <w:r>
        <w:t xml:space="preserve">,- Kč [slovy: </w:t>
      </w:r>
      <w:r w:rsidR="001C29C9">
        <w:t>xx</w:t>
      </w:r>
      <w:r>
        <w:t xml:space="preserve"> korun českých] bez DPH za užívání služeb, prostor a technických zařízení v rozsahu dle této smlouvy a za využití služeb s akcí spojených (vodné, stočné, elektrická energie, klimatizace, otop, personál atd.) za den konání zkoušek/představení.</w:t>
      </w:r>
    </w:p>
    <w:p w:rsidR="00AD4D3A" w:rsidRDefault="00E30649">
      <w:pPr>
        <w:pStyle w:val="Bodytext20"/>
        <w:framePr w:w="9586" w:h="5689" w:hRule="exact" w:wrap="none" w:vAnchor="page" w:hAnchor="page" w:x="918" w:y="5284"/>
        <w:numPr>
          <w:ilvl w:val="0"/>
          <w:numId w:val="3"/>
        </w:numPr>
        <w:shd w:val="clear" w:color="auto" w:fill="auto"/>
        <w:tabs>
          <w:tab w:val="left" w:pos="380"/>
        </w:tabs>
        <w:spacing w:before="0" w:after="276" w:line="264" w:lineRule="exact"/>
        <w:ind w:left="440" w:hanging="440"/>
        <w:jc w:val="both"/>
      </w:pPr>
      <w:r>
        <w:t>Divadlo vystaví před akcí zálohovou fakturu na 50% spolupořadatelského podílu. 50% spolupořadatelského podílu uhradí společnost bezhotovostním převodem na bankovní účet uvedený v záhlaví této smlouvy a to nejpozději do 14. 4. 2020. Na zbývající část spolupořadatelského podílu vystaví divadlo po akci fakturu - daňový doklad. Fakturovanou částku na 50% spolupořadatelského podílu uhradí společnost bezhotovostním převodem na bankovní účet uvedený v záhlaví této smlouvy a to nejpozději do 11. 5. 2020.</w:t>
      </w:r>
    </w:p>
    <w:p w:rsidR="00AD4D3A" w:rsidRDefault="00E30649">
      <w:pPr>
        <w:pStyle w:val="Bodytext20"/>
        <w:framePr w:w="9586" w:h="5689" w:hRule="exact" w:wrap="none" w:vAnchor="page" w:hAnchor="page" w:x="918" w:y="5284"/>
        <w:numPr>
          <w:ilvl w:val="0"/>
          <w:numId w:val="3"/>
        </w:numPr>
        <w:shd w:val="clear" w:color="auto" w:fill="auto"/>
        <w:tabs>
          <w:tab w:val="left" w:pos="380"/>
        </w:tabs>
        <w:spacing w:before="0" w:after="288" w:line="269" w:lineRule="exact"/>
        <w:ind w:left="440" w:hanging="440"/>
        <w:jc w:val="both"/>
      </w:pPr>
      <w:r>
        <w:t xml:space="preserve">Tržby vzniklé z prodeje vstupenek na pokladně divadla a v obchodním oddělení divadla jsou zatíženy servisním poplatkem ve výši </w:t>
      </w:r>
      <w:r w:rsidR="001C29C9">
        <w:t>xx</w:t>
      </w:r>
      <w:bookmarkStart w:id="10" w:name="_GoBack"/>
      <w:bookmarkEnd w:id="10"/>
      <w:r>
        <w:t>%, o který bude tržba společnosti snížena.</w:t>
      </w:r>
    </w:p>
    <w:p w:rsidR="00AD4D3A" w:rsidRDefault="00E30649">
      <w:pPr>
        <w:pStyle w:val="Bodytext20"/>
        <w:framePr w:w="9586" w:h="5689" w:hRule="exact" w:wrap="none" w:vAnchor="page" w:hAnchor="page" w:x="918" w:y="5284"/>
        <w:numPr>
          <w:ilvl w:val="0"/>
          <w:numId w:val="3"/>
        </w:numPr>
        <w:shd w:val="clear" w:color="auto" w:fill="auto"/>
        <w:tabs>
          <w:tab w:val="left" w:pos="380"/>
        </w:tabs>
        <w:spacing w:before="0" w:after="276" w:line="259" w:lineRule="exact"/>
        <w:ind w:left="440" w:hanging="440"/>
        <w:jc w:val="both"/>
      </w:pPr>
      <w:r>
        <w:t>Tržby vzniklé prodejem vstupenek na prodejních místech společnosti si společnost ponechá jako svůj příjem.</w:t>
      </w:r>
    </w:p>
    <w:p w:rsidR="00AD4D3A" w:rsidRDefault="00E30649">
      <w:pPr>
        <w:pStyle w:val="Bodytext20"/>
        <w:framePr w:w="9586" w:h="5689" w:hRule="exact" w:wrap="none" w:vAnchor="page" w:hAnchor="page" w:x="918" w:y="5284"/>
        <w:numPr>
          <w:ilvl w:val="0"/>
          <w:numId w:val="3"/>
        </w:numPr>
        <w:shd w:val="clear" w:color="auto" w:fill="auto"/>
        <w:tabs>
          <w:tab w:val="left" w:pos="380"/>
        </w:tabs>
        <w:spacing w:before="0" w:after="0" w:line="264" w:lineRule="exact"/>
        <w:ind w:left="440" w:hanging="440"/>
        <w:jc w:val="both"/>
      </w:pPr>
      <w:r>
        <w:t>Tržby vzniklé prodejem vstupenek na prodejních místech společnosti TicketArt, případně jiných prodejců a jejích partnerů jsou zatíženy servisním poplatkem a provizí prodejcům, které budou v plné výši přefakturovány společnosti.</w:t>
      </w:r>
    </w:p>
    <w:p w:rsidR="00AD4D3A" w:rsidRDefault="00E30649">
      <w:pPr>
        <w:pStyle w:val="Heading20"/>
        <w:framePr w:w="9586" w:h="1905" w:hRule="exact" w:wrap="none" w:vAnchor="page" w:hAnchor="page" w:x="918" w:y="11191"/>
        <w:shd w:val="clear" w:color="auto" w:fill="auto"/>
        <w:spacing w:after="0" w:line="307" w:lineRule="exact"/>
        <w:ind w:left="4860" w:firstLine="0"/>
      </w:pPr>
      <w:bookmarkStart w:id="11" w:name="bookmark10"/>
      <w:r>
        <w:t>IV.</w:t>
      </w:r>
      <w:bookmarkEnd w:id="11"/>
    </w:p>
    <w:p w:rsidR="00AD4D3A" w:rsidRDefault="00E30649">
      <w:pPr>
        <w:pStyle w:val="Heading20"/>
        <w:framePr w:w="9586" w:h="1905" w:hRule="exact" w:wrap="none" w:vAnchor="page" w:hAnchor="page" w:x="918" w:y="11191"/>
        <w:shd w:val="clear" w:color="auto" w:fill="auto"/>
        <w:spacing w:after="0" w:line="307" w:lineRule="exact"/>
        <w:ind w:left="4080" w:firstLine="0"/>
      </w:pPr>
      <w:bookmarkStart w:id="12" w:name="bookmark11"/>
      <w:r>
        <w:t>Zvláštní ustanovení</w:t>
      </w:r>
      <w:bookmarkEnd w:id="12"/>
    </w:p>
    <w:p w:rsidR="00AD4D3A" w:rsidRDefault="00E30649">
      <w:pPr>
        <w:pStyle w:val="Bodytext20"/>
        <w:framePr w:w="9586" w:h="1905" w:hRule="exact" w:wrap="none" w:vAnchor="page" w:hAnchor="page" w:x="918" w:y="11191"/>
        <w:numPr>
          <w:ilvl w:val="0"/>
          <w:numId w:val="4"/>
        </w:numPr>
        <w:shd w:val="clear" w:color="auto" w:fill="auto"/>
        <w:tabs>
          <w:tab w:val="left" w:pos="380"/>
        </w:tabs>
        <w:spacing w:before="0" w:after="0" w:line="307" w:lineRule="exact"/>
        <w:ind w:left="440" w:hanging="440"/>
        <w:jc w:val="both"/>
      </w:pPr>
      <w:r>
        <w:t>Smluvní strany se dohodly, že divadlo, jakožto spolupořadatel, bude propagovat akci a to v rámci svých běžných propagačních aktivit ve smyslu jedné hromadné elektronické rozesílce v termínu dle dohody smluvních stran a umístění vizuálu akce do LED obrazovek před a v budově divadla v termínu od 20.4. 2020 do 27.4.2020.</w:t>
      </w:r>
    </w:p>
    <w:p w:rsidR="00AD4D3A" w:rsidRDefault="00E30649">
      <w:pPr>
        <w:pStyle w:val="Bodytext20"/>
        <w:framePr w:w="9586" w:h="989" w:hRule="exact" w:wrap="none" w:vAnchor="page" w:hAnchor="page" w:x="918" w:y="13351"/>
        <w:numPr>
          <w:ilvl w:val="0"/>
          <w:numId w:val="4"/>
        </w:numPr>
        <w:shd w:val="clear" w:color="auto" w:fill="auto"/>
        <w:tabs>
          <w:tab w:val="left" w:pos="380"/>
        </w:tabs>
        <w:spacing w:before="0" w:after="0" w:line="307" w:lineRule="exact"/>
        <w:ind w:left="440" w:hanging="440"/>
        <w:jc w:val="both"/>
      </w:pPr>
      <w:r>
        <w:t>Dále se smluvní strany dohodly, že pokud tato propagace resp. reklama bude probíhat nad rámec služby dle bodu 1 tohoto odstavce, vystaví divadlo na tuto službu fakturu, a to na základě skutečně realizovaných nákladů dle smlouvy o reklamě.</w:t>
      </w:r>
    </w:p>
    <w:p w:rsidR="00AD4D3A" w:rsidRDefault="00E30649">
      <w:pPr>
        <w:pStyle w:val="Headerorfooter0"/>
        <w:framePr w:wrap="none" w:vAnchor="page" w:hAnchor="page" w:x="5737" w:y="15626"/>
        <w:shd w:val="clear" w:color="auto" w:fill="auto"/>
      </w:pPr>
      <w:r>
        <w:t>V.</w:t>
      </w:r>
    </w:p>
    <w:p w:rsidR="00AD4D3A" w:rsidRDefault="00AD4D3A">
      <w:pPr>
        <w:rPr>
          <w:sz w:val="2"/>
          <w:szCs w:val="2"/>
        </w:rPr>
        <w:sectPr w:rsidR="00AD4D3A">
          <w:pgSz w:w="11900" w:h="16840"/>
          <w:pgMar w:top="360" w:right="360" w:bottom="360" w:left="360" w:header="0" w:footer="3" w:gutter="0"/>
          <w:cols w:space="720"/>
          <w:noEndnote/>
          <w:docGrid w:linePitch="360"/>
        </w:sectPr>
      </w:pPr>
    </w:p>
    <w:p w:rsidR="00AD4D3A" w:rsidRDefault="00E30649">
      <w:pPr>
        <w:pStyle w:val="Heading20"/>
        <w:framePr w:wrap="none" w:vAnchor="page" w:hAnchor="page" w:x="915" w:y="1010"/>
        <w:shd w:val="clear" w:color="auto" w:fill="auto"/>
        <w:spacing w:after="0"/>
        <w:ind w:left="4000" w:firstLine="0"/>
      </w:pPr>
      <w:bookmarkStart w:id="13" w:name="bookmark12"/>
      <w:r>
        <w:lastRenderedPageBreak/>
        <w:t>Závěrečná ustanovení</w:t>
      </w:r>
      <w:bookmarkEnd w:id="13"/>
    </w:p>
    <w:p w:rsidR="00AD4D3A" w:rsidRDefault="00E30649">
      <w:pPr>
        <w:pStyle w:val="Bodytext20"/>
        <w:framePr w:w="9590" w:h="3544" w:hRule="exact" w:wrap="none" w:vAnchor="page" w:hAnchor="page" w:x="915" w:y="1516"/>
        <w:numPr>
          <w:ilvl w:val="0"/>
          <w:numId w:val="5"/>
        </w:numPr>
        <w:shd w:val="clear" w:color="auto" w:fill="auto"/>
        <w:tabs>
          <w:tab w:val="left" w:pos="427"/>
        </w:tabs>
        <w:spacing w:before="0" w:after="332" w:line="264" w:lineRule="exact"/>
        <w:ind w:left="460" w:hanging="460"/>
        <w:jc w:val="both"/>
      </w:pPr>
      <w:r>
        <w:t>Smlouva nabývá platnosti a účinnosti dnem podpisu oběma smluvními stranami a uzavírá se na dobu určitou, stanovenou v čl. I. této smlouvy.</w:t>
      </w:r>
    </w:p>
    <w:p w:rsidR="00AD4D3A" w:rsidRDefault="00E30649">
      <w:pPr>
        <w:pStyle w:val="Bodytext20"/>
        <w:framePr w:w="9590" w:h="3544" w:hRule="exact" w:wrap="none" w:vAnchor="page" w:hAnchor="page" w:x="915" w:y="1516"/>
        <w:numPr>
          <w:ilvl w:val="0"/>
          <w:numId w:val="5"/>
        </w:numPr>
        <w:shd w:val="clear" w:color="auto" w:fill="auto"/>
        <w:tabs>
          <w:tab w:val="left" w:pos="427"/>
        </w:tabs>
        <w:spacing w:before="0" w:after="300"/>
        <w:ind w:left="460" w:hanging="460"/>
        <w:jc w:val="both"/>
      </w:pPr>
      <w:r>
        <w:t>Práva a povinnosti z této smlouvy vyplývající a v této smlouvě neupravená se řídí českým právem.</w:t>
      </w:r>
    </w:p>
    <w:p w:rsidR="00AD4D3A" w:rsidRDefault="00E30649">
      <w:pPr>
        <w:pStyle w:val="Bodytext20"/>
        <w:framePr w:w="9590" w:h="3544" w:hRule="exact" w:wrap="none" w:vAnchor="page" w:hAnchor="page" w:x="915" w:y="1516"/>
        <w:numPr>
          <w:ilvl w:val="0"/>
          <w:numId w:val="5"/>
        </w:numPr>
        <w:shd w:val="clear" w:color="auto" w:fill="auto"/>
        <w:tabs>
          <w:tab w:val="left" w:pos="427"/>
        </w:tabs>
        <w:spacing w:before="0" w:after="264"/>
        <w:ind w:left="460" w:hanging="460"/>
        <w:jc w:val="both"/>
      </w:pPr>
      <w:r>
        <w:t>Tato smlouva je vyhotovena ve 2 stejnopisech, z nichž 1 obdrží společnost a 1 divadlo.</w:t>
      </w:r>
    </w:p>
    <w:p w:rsidR="00AD4D3A" w:rsidRDefault="00E30649">
      <w:pPr>
        <w:pStyle w:val="Bodytext20"/>
        <w:framePr w:w="9590" w:h="3544" w:hRule="exact" w:wrap="none" w:vAnchor="page" w:hAnchor="page" w:x="915" w:y="1516"/>
        <w:numPr>
          <w:ilvl w:val="0"/>
          <w:numId w:val="5"/>
        </w:numPr>
        <w:shd w:val="clear" w:color="auto" w:fill="auto"/>
        <w:tabs>
          <w:tab w:val="left" w:pos="427"/>
        </w:tabs>
        <w:spacing w:before="0" w:after="300" w:line="269" w:lineRule="exact"/>
        <w:ind w:left="460" w:hanging="460"/>
        <w:jc w:val="both"/>
      </w:pPr>
      <w:r>
        <w:t>Změny a doplňky této smlouvy je možné činit pouze po vzájemné dohodě smluvních stran na základě písemného a číslovaného dodatku.</w:t>
      </w:r>
    </w:p>
    <w:p w:rsidR="00AD4D3A" w:rsidRDefault="00E30649">
      <w:pPr>
        <w:pStyle w:val="Bodytext20"/>
        <w:framePr w:w="9590" w:h="3544" w:hRule="exact" w:wrap="none" w:vAnchor="page" w:hAnchor="page" w:x="915" w:y="1516"/>
        <w:numPr>
          <w:ilvl w:val="0"/>
          <w:numId w:val="5"/>
        </w:numPr>
        <w:shd w:val="clear" w:color="auto" w:fill="auto"/>
        <w:tabs>
          <w:tab w:val="left" w:pos="427"/>
        </w:tabs>
        <w:spacing w:before="0" w:after="0" w:line="269" w:lineRule="exact"/>
        <w:ind w:left="460" w:hanging="46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AD4D3A" w:rsidRDefault="00E30649">
      <w:pPr>
        <w:pStyle w:val="Bodytext20"/>
        <w:framePr w:wrap="none" w:vAnchor="page" w:hAnchor="page" w:x="915" w:y="5576"/>
        <w:shd w:val="clear" w:color="auto" w:fill="auto"/>
        <w:spacing w:before="0" w:after="0"/>
        <w:ind w:left="460" w:firstLine="0"/>
        <w:jc w:val="both"/>
      </w:pPr>
      <w:r>
        <w:t>V Praze, dne 16.12. 2019</w:t>
      </w:r>
    </w:p>
    <w:p w:rsidR="00AD4D3A" w:rsidRDefault="00E30649">
      <w:pPr>
        <w:pStyle w:val="Bodytext20"/>
        <w:framePr w:w="9590" w:h="600" w:hRule="exact" w:wrap="none" w:vAnchor="page" w:hAnchor="page" w:x="915" w:y="7148"/>
        <w:shd w:val="clear" w:color="auto" w:fill="auto"/>
        <w:tabs>
          <w:tab w:val="left" w:pos="6875"/>
        </w:tabs>
        <w:spacing w:before="0" w:after="0" w:line="269" w:lineRule="exact"/>
        <w:ind w:left="460" w:firstLine="0"/>
        <w:jc w:val="both"/>
      </w:pPr>
      <w:r>
        <w:t>Hudební divadlo v Karlině</w:t>
      </w:r>
      <w:r>
        <w:tab/>
        <w:t>EwoluZone s.r.o.</w:t>
      </w:r>
    </w:p>
    <w:p w:rsidR="00AD4D3A" w:rsidRDefault="00E30649">
      <w:pPr>
        <w:pStyle w:val="Bodytext20"/>
        <w:framePr w:w="9590" w:h="600" w:hRule="exact" w:wrap="none" w:vAnchor="page" w:hAnchor="page" w:x="915" w:y="7148"/>
        <w:shd w:val="clear" w:color="auto" w:fill="auto"/>
        <w:tabs>
          <w:tab w:val="left" w:pos="6875"/>
        </w:tabs>
        <w:spacing w:before="0" w:after="0" w:line="269" w:lineRule="exact"/>
        <w:ind w:left="460" w:firstLine="0"/>
        <w:jc w:val="both"/>
      </w:pPr>
      <w:r>
        <w:t>Egon Kulhánek, ředitel</w:t>
      </w:r>
      <w:r>
        <w:tab/>
        <w:t>Pavel Trojan</w:t>
      </w:r>
    </w:p>
    <w:p w:rsidR="00AD4D3A" w:rsidRDefault="00AD4D3A">
      <w:pPr>
        <w:rPr>
          <w:sz w:val="2"/>
          <w:szCs w:val="2"/>
        </w:rPr>
      </w:pPr>
    </w:p>
    <w:sectPr w:rsidR="00AD4D3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3DC" w:rsidRDefault="000723DC">
      <w:r>
        <w:separator/>
      </w:r>
    </w:p>
  </w:endnote>
  <w:endnote w:type="continuationSeparator" w:id="0">
    <w:p w:rsidR="000723DC" w:rsidRDefault="000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3DC" w:rsidRDefault="000723DC"/>
  </w:footnote>
  <w:footnote w:type="continuationSeparator" w:id="0">
    <w:p w:rsidR="000723DC" w:rsidRDefault="000723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BB7"/>
    <w:multiLevelType w:val="multilevel"/>
    <w:tmpl w:val="C3504B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509F3"/>
    <w:multiLevelType w:val="multilevel"/>
    <w:tmpl w:val="C62E75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A72B2"/>
    <w:multiLevelType w:val="multilevel"/>
    <w:tmpl w:val="C242D7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B730A0"/>
    <w:multiLevelType w:val="multilevel"/>
    <w:tmpl w:val="3EA6EC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90239E"/>
    <w:multiLevelType w:val="multilevel"/>
    <w:tmpl w:val="18780D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D4D3A"/>
    <w:rsid w:val="000723DC"/>
    <w:rsid w:val="001C29C9"/>
    <w:rsid w:val="00AD4D3A"/>
    <w:rsid w:val="00E30649"/>
    <w:rsid w:val="00F17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FDDC"/>
  <w15:docId w15:val="{587E0819-061E-4B9F-B0C1-C9BC5EAD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19"/>
      <w:szCs w:val="19"/>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Heading22">
    <w:name w:val="Heading #2 (2)_"/>
    <w:basedOn w:val="Standardnpsmoodstavce"/>
    <w:link w:val="Heading220"/>
    <w:rPr>
      <w:rFonts w:ascii="Candara" w:eastAsia="Candara" w:hAnsi="Candara" w:cs="Candara"/>
      <w:b/>
      <w:bCs/>
      <w:i w:val="0"/>
      <w:iCs w:val="0"/>
      <w:smallCaps w:val="0"/>
      <w:strike w:val="0"/>
      <w:sz w:val="17"/>
      <w:szCs w:val="17"/>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23">
    <w:name w:val="Heading #2 (3)_"/>
    <w:basedOn w:val="Standardnpsmoodstavce"/>
    <w:link w:val="Heading230"/>
    <w:rPr>
      <w:rFonts w:ascii="Candara" w:eastAsia="Candara" w:hAnsi="Candara" w:cs="Candara"/>
      <w:b/>
      <w:bCs/>
      <w:i w:val="0"/>
      <w:iCs w:val="0"/>
      <w:smallCaps w:val="0"/>
      <w:strike w:val="0"/>
      <w:sz w:val="17"/>
      <w:szCs w:val="17"/>
      <w:u w:val="none"/>
      <w:lang w:val="en-US" w:eastAsia="en-US" w:bidi="en-US"/>
    </w:rPr>
  </w:style>
  <w:style w:type="character" w:customStyle="1" w:styleId="Headerorfooter">
    <w:name w:val="Header or footer_"/>
    <w:basedOn w:val="Standardnpsmoodstavce"/>
    <w:link w:val="Headerorfooter0"/>
    <w:rPr>
      <w:rFonts w:ascii="Candara" w:eastAsia="Candara" w:hAnsi="Candara" w:cs="Candara"/>
      <w:b/>
      <w:bCs/>
      <w:i w:val="0"/>
      <w:iCs w:val="0"/>
      <w:smallCaps w:val="0"/>
      <w:strike w:val="0"/>
      <w:sz w:val="21"/>
      <w:szCs w:val="21"/>
      <w:u w:val="none"/>
    </w:rPr>
  </w:style>
  <w:style w:type="paragraph" w:customStyle="1" w:styleId="Heading20">
    <w:name w:val="Heading #2"/>
    <w:basedOn w:val="Normln"/>
    <w:link w:val="Heading2"/>
    <w:pPr>
      <w:shd w:val="clear" w:color="auto" w:fill="FFFFFF"/>
      <w:spacing w:after="280" w:line="224" w:lineRule="exact"/>
      <w:ind w:hanging="480"/>
      <w:outlineLvl w:val="1"/>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before="280" w:after="280" w:line="224" w:lineRule="exact"/>
      <w:ind w:hanging="500"/>
    </w:pPr>
    <w:rPr>
      <w:rFonts w:ascii="Calibri" w:eastAsia="Calibri" w:hAnsi="Calibri" w:cs="Calibri"/>
      <w:sz w:val="22"/>
      <w:szCs w:val="22"/>
    </w:rPr>
  </w:style>
  <w:style w:type="paragraph" w:customStyle="1" w:styleId="Heading10">
    <w:name w:val="Heading #1"/>
    <w:basedOn w:val="Normln"/>
    <w:link w:val="Heading1"/>
    <w:pPr>
      <w:shd w:val="clear" w:color="auto" w:fill="FFFFFF"/>
      <w:spacing w:before="580" w:line="212" w:lineRule="exact"/>
      <w:outlineLvl w:val="0"/>
    </w:pPr>
    <w:rPr>
      <w:rFonts w:ascii="Calibri" w:eastAsia="Calibri" w:hAnsi="Calibri" w:cs="Calibri"/>
      <w:b/>
      <w:bCs/>
      <w:sz w:val="19"/>
      <w:szCs w:val="19"/>
    </w:rPr>
  </w:style>
  <w:style w:type="paragraph" w:customStyle="1" w:styleId="Bodytext30">
    <w:name w:val="Body text (3)"/>
    <w:basedOn w:val="Normln"/>
    <w:link w:val="Bodytext3"/>
    <w:pPr>
      <w:shd w:val="clear" w:color="auto" w:fill="FFFFFF"/>
      <w:spacing w:after="280" w:line="269" w:lineRule="exact"/>
      <w:jc w:val="both"/>
    </w:pPr>
    <w:rPr>
      <w:rFonts w:ascii="Calibri" w:eastAsia="Calibri" w:hAnsi="Calibri" w:cs="Calibri"/>
      <w:b/>
      <w:bCs/>
      <w:sz w:val="22"/>
      <w:szCs w:val="22"/>
    </w:rPr>
  </w:style>
  <w:style w:type="paragraph" w:customStyle="1" w:styleId="Heading220">
    <w:name w:val="Heading #2 (2)"/>
    <w:basedOn w:val="Normln"/>
    <w:link w:val="Heading22"/>
    <w:pPr>
      <w:shd w:val="clear" w:color="auto" w:fill="FFFFFF"/>
      <w:spacing w:after="60" w:line="200" w:lineRule="exact"/>
      <w:outlineLvl w:val="1"/>
    </w:pPr>
    <w:rPr>
      <w:rFonts w:ascii="Candara" w:eastAsia="Candara" w:hAnsi="Candara" w:cs="Candara"/>
      <w:b/>
      <w:bCs/>
      <w:sz w:val="17"/>
      <w:szCs w:val="17"/>
    </w:rPr>
  </w:style>
  <w:style w:type="paragraph" w:customStyle="1" w:styleId="Heading230">
    <w:name w:val="Heading #2 (3)"/>
    <w:basedOn w:val="Normln"/>
    <w:link w:val="Heading23"/>
    <w:pPr>
      <w:shd w:val="clear" w:color="auto" w:fill="FFFFFF"/>
      <w:spacing w:before="280" w:line="200" w:lineRule="exact"/>
      <w:outlineLvl w:val="1"/>
    </w:pPr>
    <w:rPr>
      <w:rFonts w:ascii="Candara" w:eastAsia="Candara" w:hAnsi="Candara" w:cs="Candara"/>
      <w:b/>
      <w:bCs/>
      <w:sz w:val="17"/>
      <w:szCs w:val="17"/>
      <w:lang w:val="en-US" w:eastAsia="en-US" w:bidi="en-US"/>
    </w:rPr>
  </w:style>
  <w:style w:type="paragraph" w:customStyle="1" w:styleId="Headerorfooter0">
    <w:name w:val="Header or footer"/>
    <w:basedOn w:val="Normln"/>
    <w:link w:val="Headerorfooter"/>
    <w:pPr>
      <w:shd w:val="clear" w:color="auto" w:fill="FFFFFF"/>
      <w:spacing w:line="212" w:lineRule="exact"/>
    </w:pPr>
    <w:rPr>
      <w:rFonts w:ascii="Candara" w:eastAsia="Candara" w:hAnsi="Candara" w:cs="Candara"/>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nager@ewafarna.com" TargetMode="External"/><Relationship Id="rId3" Type="http://schemas.openxmlformats.org/officeDocument/2006/relationships/settings" Target="settings.xml"/><Relationship Id="rId7" Type="http://schemas.openxmlformats.org/officeDocument/2006/relationships/hyperlink" Target="mailto:jan.krehla@h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1372</Words>
  <Characters>8099</Characters>
  <Application>Microsoft Office Word</Application>
  <DocSecurity>0</DocSecurity>
  <Lines>67</Lines>
  <Paragraphs>18</Paragraphs>
  <ScaleCrop>false</ScaleCrop>
  <Company>Hudební divadlo Karlín</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3</cp:revision>
  <dcterms:created xsi:type="dcterms:W3CDTF">2019-12-31T09:41:00Z</dcterms:created>
  <dcterms:modified xsi:type="dcterms:W3CDTF">2020-01-15T10:16:00Z</dcterms:modified>
</cp:coreProperties>
</file>