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8586A" w14:textId="77777777" w:rsidR="00CE48AE" w:rsidRPr="00682B5D" w:rsidRDefault="00DA15DF" w:rsidP="00071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Servisní</w:t>
      </w:r>
      <w:r w:rsidR="00CE48AE" w:rsidRPr="00FD2602">
        <w:rPr>
          <w:b/>
          <w:sz w:val="28"/>
          <w:szCs w:val="28"/>
        </w:rPr>
        <w:t xml:space="preserve"> smlou</w:t>
      </w:r>
      <w:r w:rsidR="00CE48AE" w:rsidRPr="00682B5D">
        <w:rPr>
          <w:b/>
          <w:sz w:val="28"/>
          <w:szCs w:val="28"/>
        </w:rPr>
        <w:t>va</w:t>
      </w:r>
    </w:p>
    <w:p w14:paraId="2F94AFDA" w14:textId="77777777" w:rsidR="00CE48AE" w:rsidRPr="00A0195B" w:rsidRDefault="00CE48AE" w:rsidP="00CE48AE">
      <w:pPr>
        <w:jc w:val="center"/>
        <w:rPr>
          <w:sz w:val="22"/>
          <w:szCs w:val="22"/>
        </w:rPr>
      </w:pPr>
      <w:r w:rsidRPr="00A0195B">
        <w:rPr>
          <w:sz w:val="22"/>
          <w:szCs w:val="22"/>
        </w:rPr>
        <w:t>(dále jen Smlouva)</w:t>
      </w:r>
    </w:p>
    <w:p w14:paraId="762B13C3" w14:textId="77777777" w:rsidR="00CE48AE" w:rsidRPr="00A0195B" w:rsidRDefault="00CE48AE" w:rsidP="00BE40A2">
      <w:pPr>
        <w:jc w:val="center"/>
        <w:rPr>
          <w:sz w:val="22"/>
          <w:szCs w:val="22"/>
        </w:rPr>
      </w:pPr>
      <w:r w:rsidRPr="00A0195B">
        <w:rPr>
          <w:sz w:val="22"/>
          <w:szCs w:val="22"/>
        </w:rPr>
        <w:t xml:space="preserve">uzavřená na základě </w:t>
      </w:r>
      <w:r>
        <w:rPr>
          <w:sz w:val="22"/>
          <w:szCs w:val="22"/>
        </w:rPr>
        <w:t>údajů uvedených v nabídce společnosti</w:t>
      </w:r>
      <w:r w:rsidR="006107E8">
        <w:rPr>
          <w:sz w:val="22"/>
          <w:szCs w:val="22"/>
        </w:rPr>
        <w:t xml:space="preserve"> DERS s. r. o.</w:t>
      </w:r>
      <w:r>
        <w:rPr>
          <w:sz w:val="22"/>
          <w:szCs w:val="22"/>
        </w:rPr>
        <w:t xml:space="preserve"> a </w:t>
      </w:r>
      <w:r w:rsidRPr="00A0195B">
        <w:rPr>
          <w:sz w:val="22"/>
          <w:szCs w:val="22"/>
        </w:rPr>
        <w:t>ustanovení §</w:t>
      </w:r>
      <w:r w:rsidR="00AE3708">
        <w:rPr>
          <w:sz w:val="22"/>
          <w:szCs w:val="22"/>
        </w:rPr>
        <w:t> </w:t>
      </w:r>
      <w:r w:rsidR="00BE40A2" w:rsidRPr="00BE40A2">
        <w:rPr>
          <w:sz w:val="22"/>
          <w:szCs w:val="22"/>
        </w:rPr>
        <w:t xml:space="preserve">1746, </w:t>
      </w:r>
      <w:r w:rsidR="006107E8">
        <w:rPr>
          <w:sz w:val="22"/>
          <w:szCs w:val="22"/>
        </w:rPr>
        <w:br/>
      </w:r>
      <w:r w:rsidR="00BE40A2" w:rsidRPr="00BE40A2">
        <w:rPr>
          <w:sz w:val="22"/>
          <w:szCs w:val="22"/>
        </w:rPr>
        <w:t>odst. 2</w:t>
      </w:r>
      <w:r w:rsidRPr="00A0195B">
        <w:rPr>
          <w:sz w:val="22"/>
          <w:szCs w:val="22"/>
        </w:rPr>
        <w:t>.</w:t>
      </w:r>
      <w:r w:rsidR="00BE40A2" w:rsidRPr="00BE40A2">
        <w:rPr>
          <w:sz w:val="22"/>
          <w:szCs w:val="22"/>
        </w:rPr>
        <w:t xml:space="preserve"> zák.</w:t>
      </w:r>
      <w:r w:rsidR="00BE40A2">
        <w:rPr>
          <w:sz w:val="22"/>
          <w:szCs w:val="22"/>
        </w:rPr>
        <w:t xml:space="preserve"> </w:t>
      </w:r>
      <w:r w:rsidR="00BE40A2" w:rsidRPr="00BE40A2">
        <w:rPr>
          <w:sz w:val="22"/>
          <w:szCs w:val="22"/>
        </w:rPr>
        <w:t>č.89/2012 Sb., občanský zákoník</w:t>
      </w:r>
    </w:p>
    <w:p w14:paraId="6DA20A4F" w14:textId="77777777" w:rsidR="00DA15DF" w:rsidRDefault="00DA15DF" w:rsidP="00CE48AE">
      <w:pPr>
        <w:jc w:val="center"/>
        <w:outlineLvl w:val="0"/>
      </w:pPr>
    </w:p>
    <w:p w14:paraId="7C727D3E" w14:textId="77777777" w:rsidR="00CE48AE" w:rsidRPr="00DD60B0" w:rsidRDefault="00CE48AE" w:rsidP="00CE48AE">
      <w:pPr>
        <w:jc w:val="center"/>
        <w:outlineLvl w:val="0"/>
      </w:pPr>
      <w:r w:rsidRPr="00DD60B0">
        <w:t>I.</w:t>
      </w:r>
    </w:p>
    <w:p w14:paraId="4F3BC02A" w14:textId="77777777" w:rsidR="00CE48AE" w:rsidRPr="00DD60B0" w:rsidRDefault="00CE48AE" w:rsidP="00CE48AE">
      <w:pPr>
        <w:jc w:val="center"/>
      </w:pPr>
      <w:r w:rsidRPr="00DD60B0">
        <w:t>Smluvní strany</w:t>
      </w:r>
    </w:p>
    <w:p w14:paraId="4247E2D9" w14:textId="77777777" w:rsidR="00CE48AE" w:rsidRDefault="00CE48AE" w:rsidP="00CE48AE">
      <w:pPr>
        <w:jc w:val="center"/>
        <w:outlineLvl w:val="0"/>
        <w:rPr>
          <w:b/>
          <w:sz w:val="28"/>
          <w:szCs w:val="28"/>
        </w:rPr>
      </w:pPr>
      <w:r w:rsidRPr="00271560">
        <w:rPr>
          <w:b/>
          <w:sz w:val="28"/>
          <w:szCs w:val="28"/>
        </w:rPr>
        <w:t>Vysoká škola chemicko-technologická v</w:t>
      </w:r>
      <w:r>
        <w:rPr>
          <w:b/>
          <w:sz w:val="28"/>
          <w:szCs w:val="28"/>
        </w:rPr>
        <w:t> </w:t>
      </w:r>
      <w:r w:rsidRPr="00271560">
        <w:rPr>
          <w:b/>
          <w:sz w:val="28"/>
          <w:szCs w:val="28"/>
        </w:rPr>
        <w:t>Praze</w:t>
      </w:r>
    </w:p>
    <w:p w14:paraId="5AD685A2" w14:textId="77777777" w:rsidR="00CE48AE" w:rsidRPr="00864CF9" w:rsidRDefault="00CE48AE" w:rsidP="00CE48AE">
      <w:pPr>
        <w:jc w:val="center"/>
        <w:rPr>
          <w:sz w:val="22"/>
          <w:szCs w:val="22"/>
        </w:rPr>
      </w:pPr>
      <w:r w:rsidRPr="00864CF9">
        <w:rPr>
          <w:sz w:val="22"/>
          <w:szCs w:val="22"/>
        </w:rPr>
        <w:t>veřejná vysoká škola zřízená zákonem č. 111/1998 Sb.</w:t>
      </w:r>
    </w:p>
    <w:p w14:paraId="72D179C8" w14:textId="77777777" w:rsidR="00CE48AE" w:rsidRPr="00864CF9" w:rsidRDefault="00CE48AE" w:rsidP="00CE48AE">
      <w:pPr>
        <w:jc w:val="center"/>
        <w:rPr>
          <w:sz w:val="22"/>
          <w:szCs w:val="22"/>
        </w:rPr>
      </w:pPr>
      <w:r w:rsidRPr="00864CF9">
        <w:rPr>
          <w:sz w:val="22"/>
          <w:szCs w:val="22"/>
        </w:rPr>
        <w:t>IČ: 60461373, DIČ: CZ60461373; se sídlem Technická 1905/5, 166 28 Praha 6</w:t>
      </w:r>
    </w:p>
    <w:p w14:paraId="3E45E245" w14:textId="36BC54BE" w:rsidR="00432109" w:rsidRPr="00432109" w:rsidRDefault="00432109" w:rsidP="00432109">
      <w:pPr>
        <w:jc w:val="center"/>
        <w:rPr>
          <w:sz w:val="22"/>
          <w:szCs w:val="22"/>
        </w:rPr>
      </w:pPr>
      <w:r w:rsidRPr="00432109">
        <w:rPr>
          <w:sz w:val="22"/>
          <w:szCs w:val="22"/>
        </w:rPr>
        <w:t xml:space="preserve">Zastoupená </w:t>
      </w:r>
      <w:r w:rsidR="00641E13">
        <w:rPr>
          <w:sz w:val="22"/>
          <w:szCs w:val="22"/>
        </w:rPr>
        <w:t>rektorem</w:t>
      </w:r>
    </w:p>
    <w:p w14:paraId="1255D9FF" w14:textId="69B11D20" w:rsidR="00641E13" w:rsidRDefault="00AA2B39" w:rsidP="004321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xxxxxxxxxxxxxxxxxx</w:t>
      </w:r>
    </w:p>
    <w:p w14:paraId="7F716C92" w14:textId="5D5668DC" w:rsidR="00432109" w:rsidRPr="00432109" w:rsidRDefault="00432109" w:rsidP="00432109">
      <w:pPr>
        <w:jc w:val="center"/>
        <w:rPr>
          <w:sz w:val="22"/>
          <w:szCs w:val="22"/>
        </w:rPr>
      </w:pPr>
      <w:r w:rsidRPr="00432109">
        <w:rPr>
          <w:sz w:val="22"/>
          <w:szCs w:val="22"/>
        </w:rPr>
        <w:t xml:space="preserve">ČSOB, Banskobystrická 11/2080, </w:t>
      </w:r>
      <w:r w:rsidR="00AA2B39">
        <w:rPr>
          <w:sz w:val="22"/>
          <w:szCs w:val="22"/>
        </w:rPr>
        <w:t>Praha 6, č. účtu: xxxxxxxxxxxxxxxx</w:t>
      </w:r>
      <w:r w:rsidRPr="00432109">
        <w:rPr>
          <w:sz w:val="22"/>
          <w:szCs w:val="22"/>
        </w:rPr>
        <w:t>,</w:t>
      </w:r>
    </w:p>
    <w:p w14:paraId="711806FB" w14:textId="57522824" w:rsidR="00966B51" w:rsidRPr="00864CF9" w:rsidRDefault="00AA2B39" w:rsidP="00966B51">
      <w:pPr>
        <w:jc w:val="center"/>
        <w:rPr>
          <w:sz w:val="22"/>
          <w:szCs w:val="22"/>
        </w:rPr>
      </w:pPr>
      <w:r>
        <w:rPr>
          <w:sz w:val="22"/>
          <w:szCs w:val="22"/>
        </w:rPr>
        <w:t>IBAN: CZxxxxxxxxxxxxxxxxxx</w:t>
      </w:r>
      <w:r w:rsidR="00432109" w:rsidRPr="00432109">
        <w:rPr>
          <w:sz w:val="22"/>
          <w:szCs w:val="22"/>
        </w:rPr>
        <w:t>, SWIFT: CEKOCZPP</w:t>
      </w:r>
    </w:p>
    <w:p w14:paraId="41D0CBE9" w14:textId="77777777" w:rsidR="00966B51" w:rsidRPr="00864CF9" w:rsidRDefault="00966B51" w:rsidP="00966B51">
      <w:pPr>
        <w:rPr>
          <w:sz w:val="16"/>
          <w:szCs w:val="16"/>
        </w:rPr>
      </w:pPr>
    </w:p>
    <w:p w14:paraId="022B85E3" w14:textId="77777777" w:rsidR="00966B51" w:rsidRDefault="00966B51" w:rsidP="00966B51">
      <w:pPr>
        <w:jc w:val="center"/>
        <w:rPr>
          <w:b/>
          <w:sz w:val="22"/>
          <w:szCs w:val="22"/>
        </w:rPr>
      </w:pPr>
      <w:r w:rsidRPr="00966B51">
        <w:rPr>
          <w:b/>
          <w:sz w:val="22"/>
          <w:szCs w:val="22"/>
        </w:rPr>
        <w:t>Kontaktní osoba je</w:t>
      </w:r>
    </w:p>
    <w:p w14:paraId="5ABBF994" w14:textId="2B3A355F" w:rsidR="008D184D" w:rsidRPr="00966B51" w:rsidRDefault="00AA2B39" w:rsidP="008D18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xxxxxxxxxxxxxx</w:t>
      </w:r>
      <w:r w:rsidR="008D184D" w:rsidRPr="00966B51">
        <w:rPr>
          <w:b/>
          <w:sz w:val="22"/>
          <w:szCs w:val="22"/>
        </w:rPr>
        <w:t>,</w:t>
      </w:r>
    </w:p>
    <w:p w14:paraId="786291BC" w14:textId="77777777" w:rsidR="008D184D" w:rsidRPr="000068FB" w:rsidRDefault="008D184D" w:rsidP="008D184D">
      <w:pPr>
        <w:jc w:val="center"/>
        <w:rPr>
          <w:sz w:val="22"/>
          <w:szCs w:val="22"/>
        </w:rPr>
      </w:pPr>
      <w:r w:rsidRPr="00342219">
        <w:rPr>
          <w:sz w:val="22"/>
          <w:szCs w:val="22"/>
        </w:rPr>
        <w:t>Výpočetní centrum,</w:t>
      </w:r>
      <w:r>
        <w:rPr>
          <w:b/>
          <w:sz w:val="22"/>
          <w:szCs w:val="22"/>
        </w:rPr>
        <w:t xml:space="preserve"> </w:t>
      </w:r>
      <w:r w:rsidRPr="000068FB">
        <w:rPr>
          <w:sz w:val="22"/>
          <w:szCs w:val="22"/>
        </w:rPr>
        <w:t xml:space="preserve">VŠCHT Praha, Technická </w:t>
      </w:r>
      <w:r>
        <w:rPr>
          <w:sz w:val="22"/>
          <w:szCs w:val="22"/>
        </w:rPr>
        <w:t>3</w:t>
      </w:r>
      <w:r w:rsidRPr="000068FB">
        <w:rPr>
          <w:sz w:val="22"/>
          <w:szCs w:val="22"/>
        </w:rPr>
        <w:t>, 166 28 Praha 6,</w:t>
      </w:r>
    </w:p>
    <w:p w14:paraId="787DCA83" w14:textId="3A4A68DB" w:rsidR="008D184D" w:rsidRPr="00864CF9" w:rsidRDefault="008D184D" w:rsidP="008D184D">
      <w:pPr>
        <w:jc w:val="center"/>
        <w:rPr>
          <w:sz w:val="22"/>
          <w:szCs w:val="22"/>
        </w:rPr>
      </w:pPr>
      <w:r w:rsidRPr="000068FB">
        <w:rPr>
          <w:sz w:val="22"/>
          <w:szCs w:val="22"/>
        </w:rPr>
        <w:t xml:space="preserve">telefon </w:t>
      </w:r>
      <w:r w:rsidR="00AA2B39">
        <w:rPr>
          <w:sz w:val="22"/>
          <w:szCs w:val="22"/>
        </w:rPr>
        <w:t>xxxxxxxxxxxxxxxxxxxxxxxxx</w:t>
      </w:r>
    </w:p>
    <w:p w14:paraId="0CCEEF1E" w14:textId="77777777" w:rsidR="008D184D" w:rsidRDefault="008D184D" w:rsidP="008D184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03A9">
        <w:rPr>
          <w:sz w:val="22"/>
          <w:szCs w:val="22"/>
        </w:rPr>
        <w:t xml:space="preserve"> </w:t>
      </w:r>
    </w:p>
    <w:p w14:paraId="79B7F82F" w14:textId="77777777" w:rsidR="00966B51" w:rsidRPr="00864CF9" w:rsidRDefault="00966B51" w:rsidP="00966B51">
      <w:pPr>
        <w:rPr>
          <w:sz w:val="22"/>
          <w:szCs w:val="22"/>
        </w:rPr>
      </w:pPr>
    </w:p>
    <w:p w14:paraId="21B91C4F" w14:textId="77777777" w:rsidR="00966B51" w:rsidRPr="00864CF9" w:rsidRDefault="00966B51" w:rsidP="00966B51">
      <w:pPr>
        <w:jc w:val="center"/>
        <w:rPr>
          <w:sz w:val="22"/>
          <w:szCs w:val="22"/>
        </w:rPr>
      </w:pPr>
      <w:r w:rsidRPr="00864CF9">
        <w:rPr>
          <w:sz w:val="22"/>
          <w:szCs w:val="22"/>
        </w:rPr>
        <w:t xml:space="preserve">(dále jen </w:t>
      </w:r>
      <w:r w:rsidR="00267943">
        <w:rPr>
          <w:sz w:val="22"/>
          <w:szCs w:val="22"/>
        </w:rPr>
        <w:t>objednatel</w:t>
      </w:r>
      <w:r w:rsidRPr="00864CF9">
        <w:rPr>
          <w:sz w:val="22"/>
          <w:szCs w:val="22"/>
        </w:rPr>
        <w:t>) na straně jedné</w:t>
      </w:r>
    </w:p>
    <w:p w14:paraId="557FD8A4" w14:textId="77777777" w:rsidR="00AF61E7" w:rsidRPr="00864CF9" w:rsidRDefault="00AF61E7" w:rsidP="00AF61E7">
      <w:pPr>
        <w:jc w:val="center"/>
        <w:rPr>
          <w:sz w:val="22"/>
          <w:szCs w:val="22"/>
        </w:rPr>
      </w:pPr>
      <w:r w:rsidRPr="00864CF9">
        <w:rPr>
          <w:sz w:val="22"/>
          <w:szCs w:val="22"/>
        </w:rPr>
        <w:t>a</w:t>
      </w:r>
    </w:p>
    <w:p w14:paraId="24A6F288" w14:textId="77777777" w:rsidR="00AF61E7" w:rsidRPr="00864CF9" w:rsidRDefault="00AF61E7" w:rsidP="00AF61E7">
      <w:pPr>
        <w:jc w:val="center"/>
        <w:rPr>
          <w:sz w:val="22"/>
          <w:szCs w:val="22"/>
        </w:rPr>
      </w:pPr>
    </w:p>
    <w:p w14:paraId="33B314E9" w14:textId="77777777" w:rsidR="00630275" w:rsidRDefault="006107E8" w:rsidP="00E513BC">
      <w:pPr>
        <w:ind w:left="2832" w:firstLine="708"/>
        <w:outlineLvl w:val="0"/>
        <w:rPr>
          <w:bCs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601738" w:rsidRPr="00E513BC">
        <w:rPr>
          <w:b/>
          <w:bCs/>
          <w:color w:val="000000"/>
          <w:sz w:val="28"/>
          <w:szCs w:val="28"/>
        </w:rPr>
        <w:t>DERS s. r. o</w:t>
      </w:r>
      <w:r w:rsidR="00601738">
        <w:rPr>
          <w:b/>
          <w:bCs/>
          <w:color w:val="000000"/>
          <w:sz w:val="28"/>
          <w:szCs w:val="28"/>
        </w:rPr>
        <w:t>.</w:t>
      </w:r>
    </w:p>
    <w:p w14:paraId="78360FC0" w14:textId="77777777" w:rsidR="00630275" w:rsidRPr="00630275" w:rsidRDefault="00630275" w:rsidP="00630275">
      <w:pPr>
        <w:ind w:left="567"/>
        <w:jc w:val="center"/>
        <w:rPr>
          <w:b/>
          <w:sz w:val="22"/>
          <w:szCs w:val="22"/>
        </w:rPr>
      </w:pPr>
      <w:r w:rsidRPr="00630275">
        <w:rPr>
          <w:sz w:val="22"/>
          <w:szCs w:val="22"/>
        </w:rPr>
        <w:t xml:space="preserve">Zapsána </w:t>
      </w:r>
      <w:r w:rsidR="00AC0030" w:rsidRPr="00AC0030">
        <w:rPr>
          <w:sz w:val="22"/>
          <w:szCs w:val="22"/>
        </w:rPr>
        <w:t>ve veřejném rejstříku</w:t>
      </w:r>
      <w:r w:rsidR="009D77E4">
        <w:rPr>
          <w:sz w:val="22"/>
          <w:szCs w:val="22"/>
        </w:rPr>
        <w:t xml:space="preserve"> Krajský soud v Hradci Králové, oddíl C, vložka 14855</w:t>
      </w:r>
    </w:p>
    <w:p w14:paraId="4D07222C" w14:textId="77777777" w:rsidR="00630275" w:rsidRPr="00630275" w:rsidRDefault="00630275" w:rsidP="00630275">
      <w:pPr>
        <w:ind w:left="567"/>
        <w:jc w:val="center"/>
        <w:rPr>
          <w:bCs/>
          <w:sz w:val="22"/>
          <w:szCs w:val="22"/>
        </w:rPr>
      </w:pPr>
      <w:r w:rsidRPr="00630275">
        <w:rPr>
          <w:bCs/>
          <w:sz w:val="22"/>
          <w:szCs w:val="22"/>
        </w:rPr>
        <w:t>IČO:</w:t>
      </w:r>
      <w:r w:rsidR="009D77E4">
        <w:rPr>
          <w:bCs/>
          <w:sz w:val="22"/>
          <w:szCs w:val="22"/>
        </w:rPr>
        <w:t xml:space="preserve"> 25924362</w:t>
      </w:r>
      <w:r w:rsidR="006107E8">
        <w:rPr>
          <w:bCs/>
          <w:sz w:val="22"/>
          <w:szCs w:val="22"/>
        </w:rPr>
        <w:t xml:space="preserve">, </w:t>
      </w:r>
      <w:r w:rsidRPr="00630275">
        <w:rPr>
          <w:bCs/>
          <w:sz w:val="22"/>
          <w:szCs w:val="22"/>
        </w:rPr>
        <w:t>DIČ:</w:t>
      </w:r>
      <w:r w:rsidR="009D77E4">
        <w:rPr>
          <w:bCs/>
          <w:sz w:val="22"/>
          <w:szCs w:val="22"/>
        </w:rPr>
        <w:t xml:space="preserve"> CZ25924362</w:t>
      </w:r>
    </w:p>
    <w:p w14:paraId="25B6E1B4" w14:textId="77777777" w:rsidR="00630275" w:rsidRPr="00601738" w:rsidRDefault="00630275" w:rsidP="00630275">
      <w:pPr>
        <w:ind w:left="567"/>
        <w:jc w:val="center"/>
        <w:rPr>
          <w:sz w:val="22"/>
          <w:szCs w:val="22"/>
        </w:rPr>
      </w:pPr>
      <w:r w:rsidRPr="00630275">
        <w:rPr>
          <w:sz w:val="22"/>
          <w:szCs w:val="22"/>
        </w:rPr>
        <w:t>se sídlem</w:t>
      </w:r>
      <w:r w:rsidRPr="00630275">
        <w:rPr>
          <w:b/>
          <w:sz w:val="22"/>
          <w:szCs w:val="22"/>
        </w:rPr>
        <w:t xml:space="preserve"> </w:t>
      </w:r>
      <w:r w:rsidR="009D77E4" w:rsidRPr="00E513BC">
        <w:rPr>
          <w:sz w:val="22"/>
          <w:szCs w:val="22"/>
        </w:rPr>
        <w:t>Polákova 737/1, 500 02 Hradec Králové</w:t>
      </w:r>
    </w:p>
    <w:p w14:paraId="73FD898F" w14:textId="735165C7" w:rsidR="00630275" w:rsidRPr="00630275" w:rsidRDefault="00630275" w:rsidP="00630275">
      <w:pPr>
        <w:ind w:left="567"/>
        <w:jc w:val="center"/>
        <w:rPr>
          <w:b/>
          <w:sz w:val="22"/>
          <w:szCs w:val="22"/>
        </w:rPr>
      </w:pPr>
      <w:r w:rsidRPr="00630275">
        <w:rPr>
          <w:sz w:val="22"/>
          <w:szCs w:val="22"/>
        </w:rPr>
        <w:t>zastoupen</w:t>
      </w:r>
      <w:r>
        <w:rPr>
          <w:sz w:val="22"/>
          <w:szCs w:val="22"/>
        </w:rPr>
        <w:t>á</w:t>
      </w:r>
      <w:r w:rsidR="00AA2B39">
        <w:rPr>
          <w:sz w:val="22"/>
          <w:szCs w:val="22"/>
        </w:rPr>
        <w:t xml:space="preserve"> xxxxxxxxxxxxxxxxxxxx</w:t>
      </w:r>
      <w:r w:rsidR="006107E8">
        <w:rPr>
          <w:sz w:val="22"/>
          <w:szCs w:val="22"/>
        </w:rPr>
        <w:t>, jednatelem</w:t>
      </w:r>
    </w:p>
    <w:p w14:paraId="6093249D" w14:textId="77777777" w:rsidR="00630275" w:rsidRDefault="00630275" w:rsidP="00630275">
      <w:pPr>
        <w:jc w:val="center"/>
        <w:outlineLvl w:val="0"/>
        <w:rPr>
          <w:bCs/>
          <w:sz w:val="22"/>
          <w:szCs w:val="22"/>
        </w:rPr>
      </w:pPr>
    </w:p>
    <w:p w14:paraId="07F08A02" w14:textId="77777777" w:rsidR="00FF79EB" w:rsidRPr="00630275" w:rsidRDefault="00FF79EB" w:rsidP="00630275">
      <w:pPr>
        <w:jc w:val="center"/>
        <w:outlineLvl w:val="0"/>
        <w:rPr>
          <w:bCs/>
          <w:sz w:val="22"/>
          <w:szCs w:val="22"/>
        </w:rPr>
      </w:pPr>
    </w:p>
    <w:p w14:paraId="31EB2294" w14:textId="77777777" w:rsidR="00630275" w:rsidRPr="00630275" w:rsidRDefault="00630275" w:rsidP="00630275">
      <w:pPr>
        <w:ind w:left="567"/>
        <w:jc w:val="center"/>
        <w:rPr>
          <w:bCs/>
          <w:sz w:val="22"/>
          <w:szCs w:val="22"/>
        </w:rPr>
      </w:pPr>
      <w:r w:rsidRPr="00630275">
        <w:rPr>
          <w:bCs/>
          <w:sz w:val="22"/>
          <w:szCs w:val="22"/>
        </w:rPr>
        <w:t>Bankovní spojení:</w:t>
      </w:r>
      <w:r w:rsidR="006107E8">
        <w:rPr>
          <w:bCs/>
          <w:sz w:val="22"/>
          <w:szCs w:val="22"/>
        </w:rPr>
        <w:t xml:space="preserve"> UniCreditBank CZ, a. s.</w:t>
      </w:r>
      <w:r>
        <w:rPr>
          <w:bCs/>
          <w:sz w:val="22"/>
          <w:szCs w:val="22"/>
        </w:rPr>
        <w:t xml:space="preserve"> </w:t>
      </w:r>
    </w:p>
    <w:p w14:paraId="249A55EB" w14:textId="22F523F3" w:rsidR="00630275" w:rsidRPr="00630275" w:rsidRDefault="00630275" w:rsidP="00630275">
      <w:pPr>
        <w:ind w:left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Číslo účtu:</w:t>
      </w:r>
      <w:r w:rsidR="00AA2B39">
        <w:rPr>
          <w:bCs/>
          <w:sz w:val="22"/>
          <w:szCs w:val="22"/>
        </w:rPr>
        <w:t xml:space="preserve"> xxxxxxxxxxxxxxxxxx</w:t>
      </w:r>
    </w:p>
    <w:p w14:paraId="4FDEDD28" w14:textId="77777777" w:rsidR="00630275" w:rsidRDefault="00630275" w:rsidP="00630275">
      <w:pPr>
        <w:ind w:left="567"/>
        <w:jc w:val="both"/>
        <w:rPr>
          <w:b/>
          <w:sz w:val="22"/>
          <w:szCs w:val="22"/>
        </w:rPr>
      </w:pPr>
    </w:p>
    <w:p w14:paraId="33D717A1" w14:textId="77777777" w:rsidR="00FF79EB" w:rsidRPr="00630275" w:rsidRDefault="00FF79EB" w:rsidP="00630275">
      <w:pPr>
        <w:ind w:left="567"/>
        <w:jc w:val="both"/>
        <w:rPr>
          <w:b/>
          <w:sz w:val="22"/>
          <w:szCs w:val="22"/>
        </w:rPr>
      </w:pPr>
    </w:p>
    <w:p w14:paraId="5DB25BFF" w14:textId="77777777" w:rsidR="00674084" w:rsidRPr="00E513BC" w:rsidRDefault="00FF79EB" w:rsidP="0067408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</w:t>
      </w:r>
      <w:r w:rsidR="00674084">
        <w:rPr>
          <w:sz w:val="22"/>
          <w:szCs w:val="22"/>
        </w:rPr>
        <w:t xml:space="preserve"> </w:t>
      </w:r>
      <w:r w:rsidR="00674084" w:rsidRPr="00E513BC">
        <w:rPr>
          <w:sz w:val="22"/>
          <w:szCs w:val="22"/>
        </w:rPr>
        <w:t>Kontaktní osoby:</w:t>
      </w:r>
    </w:p>
    <w:p w14:paraId="1E801DAE" w14:textId="77777777" w:rsidR="00674084" w:rsidRPr="00E513BC" w:rsidRDefault="00674084" w:rsidP="00E513BC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  <w:r w:rsidRPr="00674084">
        <w:rPr>
          <w:sz w:val="22"/>
          <w:szCs w:val="22"/>
        </w:rPr>
        <w:t>DERS s. r. o., Polákova 737/1, 500 02 Hradec Králové</w:t>
      </w:r>
    </w:p>
    <w:p w14:paraId="33FF6019" w14:textId="76181F86" w:rsidR="00674084" w:rsidRPr="00E513BC" w:rsidRDefault="00AA2B39" w:rsidP="00E513BC">
      <w:pPr>
        <w:autoSpaceDE w:val="0"/>
        <w:autoSpaceDN w:val="0"/>
        <w:adjustRightInd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>xxxxxxxxxxxxxxxx</w:t>
      </w:r>
      <w:r w:rsidR="00432109">
        <w:rPr>
          <w:sz w:val="22"/>
          <w:szCs w:val="22"/>
        </w:rPr>
        <w:tab/>
      </w:r>
      <w:r w:rsidR="00432109">
        <w:rPr>
          <w:sz w:val="22"/>
          <w:szCs w:val="22"/>
        </w:rPr>
        <w:tab/>
      </w:r>
      <w:r w:rsidR="00674084" w:rsidRPr="00E513BC">
        <w:rPr>
          <w:sz w:val="22"/>
          <w:szCs w:val="22"/>
        </w:rPr>
        <w:t xml:space="preserve">email: </w:t>
      </w:r>
      <w:r>
        <w:rPr>
          <w:sz w:val="22"/>
          <w:szCs w:val="22"/>
        </w:rPr>
        <w:t>xxxxxxxxxxx</w:t>
      </w:r>
      <w:r w:rsidR="00674084" w:rsidRPr="00E513BC">
        <w:rPr>
          <w:sz w:val="22"/>
          <w:szCs w:val="22"/>
        </w:rPr>
        <w:t xml:space="preserve"> </w:t>
      </w:r>
      <w:r w:rsidR="00432109">
        <w:rPr>
          <w:sz w:val="22"/>
          <w:szCs w:val="22"/>
        </w:rPr>
        <w:tab/>
      </w:r>
      <w:r w:rsidR="00B0132B">
        <w:rPr>
          <w:sz w:val="22"/>
          <w:szCs w:val="22"/>
        </w:rPr>
        <w:t xml:space="preserve">tel. </w:t>
      </w:r>
      <w:r>
        <w:rPr>
          <w:sz w:val="22"/>
          <w:szCs w:val="22"/>
        </w:rPr>
        <w:t>xxxxxxxxxxxxx</w:t>
      </w:r>
    </w:p>
    <w:p w14:paraId="61ABA41D" w14:textId="77777777" w:rsidR="00630275" w:rsidRPr="00630275" w:rsidRDefault="00630275" w:rsidP="00630275">
      <w:pPr>
        <w:tabs>
          <w:tab w:val="left" w:pos="1134"/>
          <w:tab w:val="left" w:pos="2977"/>
          <w:tab w:val="left" w:pos="4176"/>
        </w:tabs>
        <w:jc w:val="center"/>
        <w:outlineLvl w:val="0"/>
        <w:rPr>
          <w:sz w:val="22"/>
          <w:szCs w:val="22"/>
        </w:rPr>
      </w:pPr>
    </w:p>
    <w:p w14:paraId="10C3E672" w14:textId="77777777" w:rsidR="00630275" w:rsidRDefault="00630275" w:rsidP="00630275">
      <w:pPr>
        <w:tabs>
          <w:tab w:val="left" w:pos="1134"/>
          <w:tab w:val="left" w:pos="2977"/>
          <w:tab w:val="left" w:pos="4176"/>
        </w:tabs>
        <w:ind w:left="567" w:hanging="1134"/>
        <w:jc w:val="both"/>
        <w:outlineLvl w:val="0"/>
        <w:rPr>
          <w:b/>
        </w:rPr>
      </w:pPr>
    </w:p>
    <w:p w14:paraId="466C6B32" w14:textId="77777777" w:rsidR="00AF61E7" w:rsidRPr="00864CF9" w:rsidRDefault="00EA7B5E" w:rsidP="00AF61E7">
      <w:pPr>
        <w:jc w:val="center"/>
        <w:rPr>
          <w:sz w:val="22"/>
          <w:szCs w:val="22"/>
        </w:rPr>
      </w:pPr>
      <w:r w:rsidRPr="00864CF9">
        <w:rPr>
          <w:sz w:val="22"/>
          <w:szCs w:val="22"/>
        </w:rPr>
        <w:t xml:space="preserve"> </w:t>
      </w:r>
      <w:r w:rsidR="00AF61E7" w:rsidRPr="00864CF9">
        <w:rPr>
          <w:sz w:val="22"/>
          <w:szCs w:val="22"/>
        </w:rPr>
        <w:t xml:space="preserve">(dále jen </w:t>
      </w:r>
      <w:r w:rsidR="000D6258">
        <w:rPr>
          <w:sz w:val="22"/>
          <w:szCs w:val="22"/>
        </w:rPr>
        <w:t>poskytovatel</w:t>
      </w:r>
      <w:r w:rsidR="00AF61E7" w:rsidRPr="00864CF9">
        <w:rPr>
          <w:sz w:val="22"/>
          <w:szCs w:val="22"/>
        </w:rPr>
        <w:t>) na straně druhé</w:t>
      </w:r>
    </w:p>
    <w:p w14:paraId="48593774" w14:textId="77777777" w:rsidR="00AF61E7" w:rsidRPr="00864CF9" w:rsidRDefault="00AE3708" w:rsidP="00E513BC">
      <w:pPr>
        <w:rPr>
          <w:sz w:val="22"/>
          <w:szCs w:val="22"/>
        </w:rPr>
      </w:pPr>
      <w:r w:rsidRPr="00AE3708">
        <w:rPr>
          <w:sz w:val="22"/>
          <w:szCs w:val="22"/>
        </w:rPr>
        <w:t xml:space="preserve"> </w:t>
      </w:r>
    </w:p>
    <w:p w14:paraId="21B13243" w14:textId="77777777" w:rsidR="00933FF3" w:rsidRDefault="00933FF3" w:rsidP="00DA15DF">
      <w:pPr>
        <w:tabs>
          <w:tab w:val="left" w:pos="1134"/>
          <w:tab w:val="left" w:pos="2977"/>
          <w:tab w:val="left" w:pos="4176"/>
        </w:tabs>
        <w:outlineLvl w:val="0"/>
        <w:rPr>
          <w:sz w:val="22"/>
          <w:szCs w:val="22"/>
        </w:rPr>
      </w:pPr>
    </w:p>
    <w:p w14:paraId="25E1F501" w14:textId="77777777" w:rsidR="00FF79EB" w:rsidRDefault="00FF79EB" w:rsidP="00641E13">
      <w:pPr>
        <w:tabs>
          <w:tab w:val="left" w:pos="1134"/>
          <w:tab w:val="left" w:pos="2977"/>
          <w:tab w:val="left" w:pos="4176"/>
        </w:tabs>
        <w:jc w:val="center"/>
        <w:outlineLvl w:val="0"/>
        <w:rPr>
          <w:sz w:val="22"/>
          <w:szCs w:val="22"/>
        </w:rPr>
      </w:pPr>
    </w:p>
    <w:p w14:paraId="6880F7D6" w14:textId="64ABE829" w:rsidR="00933FF3" w:rsidRDefault="00AF61E7" w:rsidP="00641E13">
      <w:pPr>
        <w:tabs>
          <w:tab w:val="left" w:pos="1134"/>
          <w:tab w:val="left" w:pos="2977"/>
          <w:tab w:val="left" w:pos="4176"/>
        </w:tabs>
        <w:jc w:val="center"/>
        <w:outlineLvl w:val="0"/>
        <w:rPr>
          <w:sz w:val="22"/>
          <w:szCs w:val="22"/>
        </w:rPr>
      </w:pPr>
      <w:r w:rsidRPr="00324061">
        <w:rPr>
          <w:sz w:val="22"/>
          <w:szCs w:val="22"/>
        </w:rPr>
        <w:t xml:space="preserve">uzavírají na základě výsledku </w:t>
      </w:r>
      <w:r w:rsidR="006E7408">
        <w:rPr>
          <w:sz w:val="22"/>
          <w:szCs w:val="22"/>
        </w:rPr>
        <w:t>výběrového řízení</w:t>
      </w:r>
      <w:r w:rsidRPr="00324061">
        <w:rPr>
          <w:sz w:val="22"/>
          <w:szCs w:val="22"/>
        </w:rPr>
        <w:t xml:space="preserve"> pro veřejnou zakázku</w:t>
      </w:r>
      <w:r w:rsidR="00682A63" w:rsidRPr="00324061">
        <w:rPr>
          <w:sz w:val="22"/>
          <w:szCs w:val="22"/>
        </w:rPr>
        <w:t xml:space="preserve"> malého rozsahu </w:t>
      </w:r>
      <w:r w:rsidR="0059262B">
        <w:rPr>
          <w:sz w:val="22"/>
          <w:szCs w:val="22"/>
        </w:rPr>
        <w:t>„</w:t>
      </w:r>
      <w:r w:rsidR="00AE3708" w:rsidRPr="00641E13">
        <w:rPr>
          <w:b/>
          <w:sz w:val="22"/>
          <w:szCs w:val="22"/>
        </w:rPr>
        <w:t>Rozvoj a</w:t>
      </w:r>
      <w:r w:rsidR="00641E13" w:rsidRPr="00641E13">
        <w:rPr>
          <w:b/>
          <w:sz w:val="22"/>
          <w:szCs w:val="22"/>
        </w:rPr>
        <w:t> </w:t>
      </w:r>
      <w:r w:rsidR="00AE3708" w:rsidRPr="00641E13">
        <w:rPr>
          <w:b/>
          <w:sz w:val="22"/>
          <w:szCs w:val="22"/>
        </w:rPr>
        <w:t>údržba VERSO a OBD</w:t>
      </w:r>
      <w:r w:rsidR="00BF0C74">
        <w:rPr>
          <w:b/>
          <w:sz w:val="22"/>
          <w:szCs w:val="22"/>
        </w:rPr>
        <w:t xml:space="preserve"> - 2017</w:t>
      </w:r>
      <w:r w:rsidR="00682A63" w:rsidRPr="00641E13">
        <w:rPr>
          <w:b/>
          <w:sz w:val="22"/>
          <w:szCs w:val="22"/>
        </w:rPr>
        <w:t>“</w:t>
      </w:r>
      <w:r w:rsidRPr="00324061">
        <w:rPr>
          <w:sz w:val="22"/>
          <w:szCs w:val="22"/>
        </w:rPr>
        <w:t xml:space="preserve"> tuto </w:t>
      </w:r>
      <w:r w:rsidR="00DA15DF">
        <w:rPr>
          <w:sz w:val="22"/>
          <w:szCs w:val="22"/>
        </w:rPr>
        <w:t>servisní</w:t>
      </w:r>
      <w:r w:rsidRPr="00324061">
        <w:rPr>
          <w:sz w:val="22"/>
          <w:szCs w:val="22"/>
        </w:rPr>
        <w:t xml:space="preserve"> smlouvu</w:t>
      </w:r>
    </w:p>
    <w:p w14:paraId="36B0A9BB" w14:textId="77777777" w:rsidR="00FF79EB" w:rsidRDefault="00FF79EB" w:rsidP="00E513BC">
      <w:pPr>
        <w:tabs>
          <w:tab w:val="left" w:pos="1134"/>
          <w:tab w:val="left" w:pos="2977"/>
          <w:tab w:val="left" w:pos="4176"/>
        </w:tabs>
        <w:outlineLvl w:val="0"/>
        <w:rPr>
          <w:sz w:val="22"/>
          <w:szCs w:val="22"/>
        </w:rPr>
      </w:pPr>
    </w:p>
    <w:p w14:paraId="326C2E5F" w14:textId="77777777" w:rsidR="00FF79EB" w:rsidRDefault="00FF79EB" w:rsidP="00E513BC">
      <w:pPr>
        <w:tabs>
          <w:tab w:val="left" w:pos="1134"/>
          <w:tab w:val="left" w:pos="2977"/>
          <w:tab w:val="left" w:pos="4176"/>
        </w:tabs>
        <w:outlineLvl w:val="0"/>
        <w:rPr>
          <w:sz w:val="22"/>
          <w:szCs w:val="22"/>
        </w:rPr>
      </w:pPr>
    </w:p>
    <w:p w14:paraId="7B3BB844" w14:textId="77777777" w:rsidR="00FF79EB" w:rsidRDefault="00FF79EB" w:rsidP="00E513BC">
      <w:pPr>
        <w:tabs>
          <w:tab w:val="left" w:pos="1134"/>
          <w:tab w:val="left" w:pos="2977"/>
          <w:tab w:val="left" w:pos="4176"/>
        </w:tabs>
        <w:outlineLvl w:val="0"/>
        <w:rPr>
          <w:sz w:val="22"/>
          <w:szCs w:val="22"/>
        </w:rPr>
      </w:pPr>
    </w:p>
    <w:p w14:paraId="577A4C38" w14:textId="77777777" w:rsidR="00432109" w:rsidRDefault="00432109" w:rsidP="00E513BC">
      <w:pPr>
        <w:tabs>
          <w:tab w:val="left" w:pos="1134"/>
          <w:tab w:val="left" w:pos="2977"/>
          <w:tab w:val="left" w:pos="4176"/>
        </w:tabs>
        <w:outlineLvl w:val="0"/>
        <w:rPr>
          <w:sz w:val="22"/>
          <w:szCs w:val="22"/>
        </w:rPr>
      </w:pPr>
    </w:p>
    <w:p w14:paraId="09CAEC9E" w14:textId="77777777" w:rsidR="00432109" w:rsidRDefault="00432109" w:rsidP="00E513BC">
      <w:pPr>
        <w:tabs>
          <w:tab w:val="left" w:pos="1134"/>
          <w:tab w:val="left" w:pos="2977"/>
          <w:tab w:val="left" w:pos="4176"/>
        </w:tabs>
        <w:outlineLvl w:val="0"/>
        <w:rPr>
          <w:sz w:val="22"/>
          <w:szCs w:val="22"/>
        </w:rPr>
      </w:pPr>
    </w:p>
    <w:p w14:paraId="3D190D07" w14:textId="77777777" w:rsidR="00FF79EB" w:rsidRDefault="00FF79EB" w:rsidP="00E513BC">
      <w:pPr>
        <w:tabs>
          <w:tab w:val="left" w:pos="1134"/>
          <w:tab w:val="left" w:pos="2977"/>
          <w:tab w:val="left" w:pos="4176"/>
        </w:tabs>
        <w:outlineLvl w:val="0"/>
        <w:rPr>
          <w:sz w:val="22"/>
          <w:szCs w:val="22"/>
        </w:rPr>
      </w:pPr>
    </w:p>
    <w:p w14:paraId="051596FE" w14:textId="77777777" w:rsidR="00FF79EB" w:rsidRDefault="00FF79EB" w:rsidP="00E513BC">
      <w:pPr>
        <w:tabs>
          <w:tab w:val="left" w:pos="1134"/>
          <w:tab w:val="left" w:pos="2977"/>
          <w:tab w:val="left" w:pos="4176"/>
        </w:tabs>
        <w:outlineLvl w:val="0"/>
        <w:rPr>
          <w:sz w:val="22"/>
          <w:szCs w:val="22"/>
        </w:rPr>
      </w:pPr>
    </w:p>
    <w:p w14:paraId="284E52C2" w14:textId="77777777" w:rsidR="00AF61E7" w:rsidRPr="00625912" w:rsidRDefault="00AF61E7">
      <w:pPr>
        <w:jc w:val="center"/>
        <w:outlineLvl w:val="0"/>
        <w:rPr>
          <w:b/>
        </w:rPr>
      </w:pPr>
      <w:r w:rsidRPr="00625912">
        <w:rPr>
          <w:b/>
        </w:rPr>
        <w:t>II.</w:t>
      </w:r>
    </w:p>
    <w:p w14:paraId="5FC9B710" w14:textId="77777777" w:rsidR="00AF61E7" w:rsidRDefault="00AF61E7" w:rsidP="00AF61E7">
      <w:pPr>
        <w:jc w:val="center"/>
      </w:pPr>
      <w:r w:rsidRPr="00625912">
        <w:rPr>
          <w:b/>
        </w:rPr>
        <w:lastRenderedPageBreak/>
        <w:t>Předmět smlouvy</w:t>
      </w:r>
    </w:p>
    <w:p w14:paraId="5880D1CE" w14:textId="77777777" w:rsidR="00AF61E7" w:rsidRPr="00D416AF" w:rsidRDefault="00AF61E7" w:rsidP="00AF61E7">
      <w:pPr>
        <w:rPr>
          <w:sz w:val="22"/>
          <w:szCs w:val="22"/>
        </w:rPr>
      </w:pPr>
    </w:p>
    <w:p w14:paraId="60FDA260" w14:textId="5410A73A" w:rsidR="00AF61E7" w:rsidRPr="00D416AF" w:rsidRDefault="00AF61E7" w:rsidP="007A018B">
      <w:pPr>
        <w:numPr>
          <w:ilvl w:val="1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D416AF">
        <w:rPr>
          <w:sz w:val="22"/>
          <w:szCs w:val="22"/>
        </w:rPr>
        <w:t xml:space="preserve">Touto smlouvou se </w:t>
      </w:r>
      <w:r w:rsidR="000D6258">
        <w:rPr>
          <w:sz w:val="22"/>
          <w:szCs w:val="22"/>
        </w:rPr>
        <w:t>poskytovatel</w:t>
      </w:r>
      <w:r w:rsidRPr="00D416AF">
        <w:rPr>
          <w:sz w:val="22"/>
          <w:szCs w:val="22"/>
        </w:rPr>
        <w:t xml:space="preserve"> zavazuje </w:t>
      </w:r>
      <w:r w:rsidR="00F56524">
        <w:rPr>
          <w:sz w:val="22"/>
          <w:szCs w:val="22"/>
        </w:rPr>
        <w:t>zajistit</w:t>
      </w:r>
      <w:r w:rsidRPr="00D416AF">
        <w:rPr>
          <w:sz w:val="22"/>
          <w:szCs w:val="22"/>
        </w:rPr>
        <w:t xml:space="preserve"> za podmínek v ní sjednaných </w:t>
      </w:r>
      <w:r w:rsidR="00267943">
        <w:rPr>
          <w:sz w:val="22"/>
          <w:szCs w:val="22"/>
        </w:rPr>
        <w:t>objednatel</w:t>
      </w:r>
      <w:r w:rsidR="00D2143A">
        <w:rPr>
          <w:sz w:val="22"/>
          <w:szCs w:val="22"/>
        </w:rPr>
        <w:t>i</w:t>
      </w:r>
      <w:r w:rsidRPr="00D416AF">
        <w:rPr>
          <w:sz w:val="22"/>
          <w:szCs w:val="22"/>
        </w:rPr>
        <w:t xml:space="preserve"> </w:t>
      </w:r>
      <w:r w:rsidR="002D03A9">
        <w:rPr>
          <w:sz w:val="22"/>
          <w:szCs w:val="22"/>
        </w:rPr>
        <w:t>p</w:t>
      </w:r>
      <w:r w:rsidR="00181E4E">
        <w:rPr>
          <w:sz w:val="22"/>
          <w:szCs w:val="22"/>
        </w:rPr>
        <w:t xml:space="preserve">oskytování </w:t>
      </w:r>
      <w:r w:rsidR="00DB4843" w:rsidRPr="00DB4843">
        <w:rPr>
          <w:sz w:val="22"/>
          <w:szCs w:val="22"/>
        </w:rPr>
        <w:t>rozvoje a údržby produktům VERSO a OBD</w:t>
      </w:r>
      <w:r w:rsidR="00992226">
        <w:rPr>
          <w:sz w:val="22"/>
          <w:szCs w:val="22"/>
        </w:rPr>
        <w:t xml:space="preserve"> </w:t>
      </w:r>
      <w:r w:rsidR="00992226" w:rsidRPr="00BF0C74">
        <w:rPr>
          <w:sz w:val="22"/>
          <w:szCs w:val="22"/>
        </w:rPr>
        <w:t>a souvisejících agend</w:t>
      </w:r>
      <w:r w:rsidR="008D184D">
        <w:rPr>
          <w:sz w:val="22"/>
          <w:szCs w:val="22"/>
        </w:rPr>
        <w:t>.</w:t>
      </w:r>
      <w:r w:rsidR="002B442E" w:rsidRPr="009744B0">
        <w:rPr>
          <w:sz w:val="22"/>
          <w:szCs w:val="22"/>
        </w:rPr>
        <w:t xml:space="preserve"> </w:t>
      </w:r>
    </w:p>
    <w:p w14:paraId="7D4B3535" w14:textId="77777777" w:rsidR="00AF61E7" w:rsidRDefault="00AF61E7" w:rsidP="002B442E">
      <w:pPr>
        <w:jc w:val="both"/>
        <w:rPr>
          <w:sz w:val="22"/>
          <w:szCs w:val="22"/>
        </w:rPr>
      </w:pPr>
    </w:p>
    <w:p w14:paraId="49452784" w14:textId="77777777" w:rsidR="00933FF3" w:rsidRDefault="00933FF3" w:rsidP="002B442E">
      <w:pPr>
        <w:jc w:val="both"/>
        <w:rPr>
          <w:sz w:val="22"/>
          <w:szCs w:val="22"/>
        </w:rPr>
      </w:pPr>
    </w:p>
    <w:p w14:paraId="7D09D721" w14:textId="77777777" w:rsidR="00933FF3" w:rsidRDefault="00933FF3" w:rsidP="002B442E">
      <w:pPr>
        <w:jc w:val="both"/>
        <w:rPr>
          <w:sz w:val="22"/>
          <w:szCs w:val="22"/>
        </w:rPr>
      </w:pPr>
    </w:p>
    <w:p w14:paraId="7D8F0791" w14:textId="77777777" w:rsidR="00AF61E7" w:rsidRPr="00625912" w:rsidRDefault="00AF61E7" w:rsidP="00AF61E7">
      <w:pPr>
        <w:jc w:val="center"/>
        <w:outlineLvl w:val="0"/>
        <w:rPr>
          <w:b/>
        </w:rPr>
      </w:pPr>
      <w:r w:rsidRPr="00625912">
        <w:rPr>
          <w:b/>
        </w:rPr>
        <w:t>I</w:t>
      </w:r>
      <w:r>
        <w:rPr>
          <w:b/>
        </w:rPr>
        <w:t>I</w:t>
      </w:r>
      <w:r w:rsidRPr="00625912">
        <w:rPr>
          <w:b/>
        </w:rPr>
        <w:t>I.</w:t>
      </w:r>
    </w:p>
    <w:p w14:paraId="73224C2B" w14:textId="77777777" w:rsidR="00AF61E7" w:rsidRDefault="00A36539" w:rsidP="00AF61E7">
      <w:pPr>
        <w:jc w:val="center"/>
        <w:rPr>
          <w:b/>
        </w:rPr>
      </w:pPr>
      <w:r>
        <w:rPr>
          <w:b/>
        </w:rPr>
        <w:t>Služby</w:t>
      </w:r>
      <w:r w:rsidR="006E32B2">
        <w:rPr>
          <w:b/>
        </w:rPr>
        <w:t xml:space="preserve"> </w:t>
      </w:r>
    </w:p>
    <w:p w14:paraId="05D10FA0" w14:textId="77777777" w:rsidR="00933FF3" w:rsidRDefault="00933FF3" w:rsidP="00AF61E7">
      <w:pPr>
        <w:jc w:val="center"/>
        <w:rPr>
          <w:b/>
        </w:rPr>
      </w:pPr>
    </w:p>
    <w:p w14:paraId="4051264C" w14:textId="77777777" w:rsidR="008D184D" w:rsidRDefault="006B1B36" w:rsidP="007A018B">
      <w:pPr>
        <w:numPr>
          <w:ilvl w:val="1"/>
          <w:numId w:val="3"/>
        </w:numPr>
        <w:tabs>
          <w:tab w:val="clear" w:pos="360"/>
          <w:tab w:val="num" w:pos="567"/>
        </w:tabs>
        <w:ind w:left="709" w:hanging="709"/>
        <w:jc w:val="both"/>
        <w:rPr>
          <w:sz w:val="22"/>
          <w:szCs w:val="22"/>
        </w:rPr>
      </w:pPr>
      <w:r>
        <w:rPr>
          <w:b/>
          <w:color w:val="FF0000"/>
        </w:rPr>
        <w:t xml:space="preserve"> </w:t>
      </w:r>
      <w:r w:rsidR="006D78A1" w:rsidRPr="006D78A1">
        <w:rPr>
          <w:sz w:val="22"/>
          <w:szCs w:val="22"/>
        </w:rPr>
        <w:t>Předmětem plnění je</w:t>
      </w:r>
      <w:r w:rsidR="008D184D" w:rsidRPr="008D184D">
        <w:rPr>
          <w:sz w:val="22"/>
          <w:szCs w:val="22"/>
        </w:rPr>
        <w:t>:</w:t>
      </w:r>
    </w:p>
    <w:p w14:paraId="0436FBCB" w14:textId="77777777" w:rsidR="00DB4843" w:rsidRDefault="00DB4843" w:rsidP="00DB4843">
      <w:pPr>
        <w:jc w:val="both"/>
        <w:rPr>
          <w:sz w:val="22"/>
          <w:szCs w:val="22"/>
        </w:rPr>
      </w:pPr>
    </w:p>
    <w:p w14:paraId="2E6CBCF7" w14:textId="77777777" w:rsidR="00BF0C74" w:rsidRPr="00BF0C74" w:rsidRDefault="00BF0C74" w:rsidP="00BF0C74">
      <w:pPr>
        <w:numPr>
          <w:ilvl w:val="0"/>
          <w:numId w:val="10"/>
        </w:numPr>
        <w:jc w:val="both"/>
        <w:rPr>
          <w:sz w:val="22"/>
          <w:szCs w:val="22"/>
        </w:rPr>
      </w:pPr>
      <w:r w:rsidRPr="00BF0C74">
        <w:rPr>
          <w:sz w:val="22"/>
          <w:szCs w:val="22"/>
        </w:rPr>
        <w:t>Poskytování údržby se rozumí poskytnutí mimozáruční servisní podpory pro produkty VERSO a OBD - aplikační moduly provozované objednatelem (dále jen „Produkt“) pro období dle 4.1 Smlouvy a to v rozsahu specifikovaném v této Smlouvě.</w:t>
      </w:r>
    </w:p>
    <w:p w14:paraId="1C9A0947" w14:textId="4D8C07EE" w:rsidR="00BF0C74" w:rsidRPr="00BF0C74" w:rsidRDefault="00BF0C74" w:rsidP="00BF0C74">
      <w:pPr>
        <w:numPr>
          <w:ilvl w:val="0"/>
          <w:numId w:val="10"/>
        </w:numPr>
        <w:jc w:val="both"/>
        <w:rPr>
          <w:sz w:val="22"/>
          <w:szCs w:val="22"/>
        </w:rPr>
      </w:pPr>
      <w:r w:rsidRPr="00BF0C74">
        <w:rPr>
          <w:sz w:val="22"/>
          <w:szCs w:val="22"/>
        </w:rPr>
        <w:t>Mimozáruční servisní podpora se týká následujících modulů: VERSO – MIS, VERSO – VRV, VERSO – SLR,VERSO – Register smluv, VERSO – EPF, VERSO – MRP, VERSO – Doplňková činnost, VERSO – Veřejné zakázky MR, VERSO – XLS, VERSO – IOS, VERSO – Formulář aktivit, VERSO – El</w:t>
      </w:r>
      <w:r w:rsidR="00B0132B">
        <w:rPr>
          <w:sz w:val="22"/>
          <w:szCs w:val="22"/>
        </w:rPr>
        <w:t xml:space="preserve">ektronické personální formuláře a OBD – GaP, OBD – IGA, OBD - OBD 3. x., </w:t>
      </w:r>
      <w:r w:rsidRPr="00BF0C74">
        <w:rPr>
          <w:sz w:val="22"/>
          <w:szCs w:val="22"/>
        </w:rPr>
        <w:t>OBD – PULL a dále modul KOPLA – koncentrátor plateb, amodul CUL - připojení úložiště jako sdíleného disku pro GaP</w:t>
      </w:r>
    </w:p>
    <w:p w14:paraId="5C62AF73" w14:textId="77777777" w:rsidR="00BF0C74" w:rsidRPr="00BF0C74" w:rsidRDefault="00BF0C74" w:rsidP="00BF0C74">
      <w:pPr>
        <w:numPr>
          <w:ilvl w:val="0"/>
          <w:numId w:val="10"/>
        </w:numPr>
        <w:jc w:val="both"/>
        <w:rPr>
          <w:sz w:val="22"/>
          <w:szCs w:val="22"/>
        </w:rPr>
      </w:pPr>
      <w:r w:rsidRPr="00BF0C74">
        <w:rPr>
          <w:sz w:val="22"/>
          <w:szCs w:val="22"/>
        </w:rPr>
        <w:t>Objednatel požaduje poskytování mimozáruční servisní podpory dle uzavřených licenčních smluv, smluv o dílo či objednávek (funkcionalita vytvořená na zakázku). Účelem mimozáruční servisní podpory je zabezpečení provozu Produktu.</w:t>
      </w:r>
    </w:p>
    <w:p w14:paraId="50F1B3A1" w14:textId="77777777" w:rsidR="00BF0C74" w:rsidRPr="00BF0C74" w:rsidRDefault="00BF0C74" w:rsidP="00BF0C74">
      <w:pPr>
        <w:numPr>
          <w:ilvl w:val="0"/>
          <w:numId w:val="10"/>
        </w:numPr>
        <w:jc w:val="both"/>
        <w:rPr>
          <w:sz w:val="22"/>
          <w:szCs w:val="22"/>
        </w:rPr>
      </w:pPr>
      <w:r w:rsidRPr="00BF0C74">
        <w:rPr>
          <w:sz w:val="22"/>
          <w:szCs w:val="22"/>
        </w:rPr>
        <w:t>Objednatel požaduje poskytování mimozáruční servisní podpory spočívající v připravenosti a schopnosti poskytovatele řešit problémy, které se v souvislosti s Produktem vyskytnou, podmínky jejich odstranění a podmínky poskytování dalších služeb v této Smlouvě specifikovaných.</w:t>
      </w:r>
    </w:p>
    <w:p w14:paraId="10676307" w14:textId="77777777" w:rsidR="00DB4843" w:rsidRDefault="00DB4843" w:rsidP="00DB4843">
      <w:pPr>
        <w:jc w:val="both"/>
        <w:rPr>
          <w:sz w:val="22"/>
          <w:szCs w:val="22"/>
        </w:rPr>
      </w:pPr>
    </w:p>
    <w:p w14:paraId="694EB631" w14:textId="77777777" w:rsidR="002607FB" w:rsidRDefault="00DB4843" w:rsidP="007A018B">
      <w:pPr>
        <w:numPr>
          <w:ilvl w:val="1"/>
          <w:numId w:val="3"/>
        </w:numPr>
        <w:tabs>
          <w:tab w:val="clear" w:pos="360"/>
          <w:tab w:val="num" w:pos="567"/>
        </w:tabs>
        <w:ind w:left="709" w:hanging="709"/>
        <w:jc w:val="both"/>
        <w:rPr>
          <w:sz w:val="22"/>
          <w:szCs w:val="22"/>
        </w:rPr>
      </w:pPr>
      <w:r w:rsidRPr="00DB4843">
        <w:rPr>
          <w:sz w:val="22"/>
          <w:szCs w:val="22"/>
        </w:rPr>
        <w:t>Mimozáruční servisní podpora pro Produkt se pro období platnosti Smlouvy stanovuje takto</w:t>
      </w:r>
      <w:r w:rsidR="00357640">
        <w:rPr>
          <w:sz w:val="22"/>
          <w:szCs w:val="22"/>
        </w:rPr>
        <w:t>:</w:t>
      </w:r>
    </w:p>
    <w:p w14:paraId="0BB06DEA" w14:textId="77777777" w:rsidR="00437B23" w:rsidRPr="00E513BC" w:rsidRDefault="00FD0837" w:rsidP="007A018B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Specifikace služeb:</w:t>
      </w:r>
    </w:p>
    <w:p w14:paraId="0A756402" w14:textId="77777777" w:rsidR="006107E8" w:rsidRPr="00FD0837" w:rsidRDefault="006107E8" w:rsidP="00E513BC">
      <w:pPr>
        <w:pStyle w:val="Odstavecseseznamem"/>
        <w:ind w:left="1069"/>
        <w:jc w:val="both"/>
        <w:rPr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1456"/>
        <w:gridCol w:w="7616"/>
      </w:tblGrid>
      <w:tr w:rsidR="00EE2328" w:rsidRPr="00926688" w14:paraId="6826972D" w14:textId="77777777" w:rsidTr="0018664C">
        <w:trPr>
          <w:jc w:val="center"/>
        </w:trPr>
        <w:tc>
          <w:tcPr>
            <w:tcW w:w="1276" w:type="dxa"/>
            <w:shd w:val="clear" w:color="auto" w:fill="D9D9D9"/>
          </w:tcPr>
          <w:p w14:paraId="4AFAD826" w14:textId="77777777" w:rsidR="00EE2328" w:rsidRPr="00926688" w:rsidRDefault="00EE2328" w:rsidP="0018664C">
            <w:pPr>
              <w:rPr>
                <w:b/>
                <w:bCs/>
                <w:color w:val="920042"/>
                <w:szCs w:val="20"/>
              </w:rPr>
            </w:pPr>
            <w:r w:rsidRPr="00926688">
              <w:rPr>
                <w:b/>
                <w:bCs/>
                <w:color w:val="920042"/>
                <w:szCs w:val="20"/>
              </w:rPr>
              <w:t>Kód služby</w:t>
            </w:r>
          </w:p>
        </w:tc>
        <w:tc>
          <w:tcPr>
            <w:tcW w:w="7796" w:type="dxa"/>
            <w:shd w:val="clear" w:color="auto" w:fill="D9D9D9"/>
          </w:tcPr>
          <w:p w14:paraId="1442F7BC" w14:textId="77777777" w:rsidR="00EE2328" w:rsidRPr="00926688" w:rsidRDefault="00EE2328" w:rsidP="0018664C">
            <w:pPr>
              <w:rPr>
                <w:b/>
                <w:bCs/>
                <w:color w:val="920042"/>
                <w:szCs w:val="20"/>
              </w:rPr>
            </w:pPr>
            <w:r w:rsidRPr="00926688">
              <w:rPr>
                <w:b/>
                <w:bCs/>
                <w:color w:val="920042"/>
                <w:szCs w:val="20"/>
              </w:rPr>
              <w:t>Název služby</w:t>
            </w:r>
          </w:p>
        </w:tc>
      </w:tr>
      <w:tr w:rsidR="00EE2328" w:rsidRPr="00926688" w14:paraId="42BBE7BC" w14:textId="77777777" w:rsidTr="0018664C">
        <w:trPr>
          <w:jc w:val="center"/>
        </w:trPr>
        <w:tc>
          <w:tcPr>
            <w:tcW w:w="1276" w:type="dxa"/>
            <w:shd w:val="clear" w:color="auto" w:fill="FBD4B4"/>
            <w:vAlign w:val="center"/>
          </w:tcPr>
          <w:p w14:paraId="2B8275D0" w14:textId="77777777" w:rsidR="00EE2328" w:rsidRPr="00926688" w:rsidRDefault="00EE2328" w:rsidP="0018664C">
            <w:pPr>
              <w:rPr>
                <w:szCs w:val="20"/>
              </w:rPr>
            </w:pPr>
          </w:p>
        </w:tc>
        <w:tc>
          <w:tcPr>
            <w:tcW w:w="7796" w:type="dxa"/>
            <w:shd w:val="clear" w:color="auto" w:fill="FBD4B4"/>
            <w:vAlign w:val="bottom"/>
          </w:tcPr>
          <w:p w14:paraId="46EE6595" w14:textId="77777777" w:rsidR="00EE2328" w:rsidRPr="00926688" w:rsidRDefault="00EE2328" w:rsidP="0018664C">
            <w:pPr>
              <w:rPr>
                <w:b/>
                <w:bCs/>
                <w:szCs w:val="20"/>
              </w:rPr>
            </w:pPr>
          </w:p>
        </w:tc>
      </w:tr>
      <w:tr w:rsidR="00EE2328" w:rsidRPr="00926688" w14:paraId="5252FE2B" w14:textId="77777777" w:rsidTr="0018664C">
        <w:trPr>
          <w:jc w:val="center"/>
        </w:trPr>
        <w:tc>
          <w:tcPr>
            <w:tcW w:w="1276" w:type="dxa"/>
            <w:vAlign w:val="center"/>
          </w:tcPr>
          <w:p w14:paraId="3DB5F2A3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D8x5</w:t>
            </w:r>
          </w:p>
        </w:tc>
        <w:tc>
          <w:tcPr>
            <w:tcW w:w="7796" w:type="dxa"/>
            <w:vAlign w:val="center"/>
          </w:tcPr>
          <w:p w14:paraId="082A1ACE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rFonts w:eastAsia="Calibri"/>
                <w:szCs w:val="18"/>
              </w:rPr>
              <w:t xml:space="preserve">Dostupnost 8x5 (8:00 – 16:00; Po-Pá) </w:t>
            </w:r>
            <w:r w:rsidRPr="00926688">
              <w:rPr>
                <w:szCs w:val="18"/>
              </w:rPr>
              <w:t>– viz příloha č. 1 kapitola II. Terminologie, odst. </w:t>
            </w:r>
            <w:r w:rsidRPr="00926688">
              <w:rPr>
                <w:szCs w:val="18"/>
              </w:rPr>
              <w:fldChar w:fldCharType="begin"/>
            </w:r>
            <w:r w:rsidRPr="00926688">
              <w:rPr>
                <w:szCs w:val="18"/>
              </w:rPr>
              <w:instrText xml:space="preserve"> REF _Ref366756253 \r \h  \* MERGEFORMAT </w:instrText>
            </w:r>
            <w:r w:rsidRPr="00926688">
              <w:rPr>
                <w:szCs w:val="18"/>
              </w:rPr>
            </w:r>
            <w:r w:rsidRPr="00926688">
              <w:rPr>
                <w:szCs w:val="18"/>
              </w:rPr>
              <w:fldChar w:fldCharType="separate"/>
            </w:r>
            <w:r w:rsidRPr="00926688">
              <w:rPr>
                <w:szCs w:val="18"/>
              </w:rPr>
              <w:t>2.10</w:t>
            </w:r>
            <w:r w:rsidRPr="00926688">
              <w:rPr>
                <w:szCs w:val="18"/>
              </w:rPr>
              <w:fldChar w:fldCharType="end"/>
            </w:r>
          </w:p>
        </w:tc>
      </w:tr>
      <w:tr w:rsidR="00EE2328" w:rsidRPr="00926688" w14:paraId="0CA9208A" w14:textId="77777777" w:rsidTr="0018664C">
        <w:trPr>
          <w:jc w:val="center"/>
        </w:trPr>
        <w:tc>
          <w:tcPr>
            <w:tcW w:w="1276" w:type="dxa"/>
            <w:vAlign w:val="center"/>
          </w:tcPr>
          <w:p w14:paraId="54ED8D57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RD8H</w:t>
            </w:r>
          </w:p>
        </w:tc>
        <w:tc>
          <w:tcPr>
            <w:tcW w:w="7796" w:type="dxa"/>
            <w:vAlign w:val="center"/>
          </w:tcPr>
          <w:p w14:paraId="385414A7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szCs w:val="18"/>
              </w:rPr>
              <w:t xml:space="preserve">Reakční doba 8 hodin pro Chyby s vysokou prioritou – viz příloha č. 1 kapitola II. Terminologie, odst. </w:t>
            </w:r>
            <w:r w:rsidRPr="00926688">
              <w:rPr>
                <w:szCs w:val="18"/>
              </w:rPr>
              <w:fldChar w:fldCharType="begin"/>
            </w:r>
            <w:r w:rsidRPr="00926688">
              <w:rPr>
                <w:szCs w:val="18"/>
              </w:rPr>
              <w:instrText xml:space="preserve"> REF _Ref366756272 \r \h  \* MERGEFORMAT </w:instrText>
            </w:r>
            <w:r w:rsidRPr="00926688">
              <w:rPr>
                <w:szCs w:val="18"/>
              </w:rPr>
            </w:r>
            <w:r w:rsidRPr="00926688">
              <w:rPr>
                <w:szCs w:val="18"/>
              </w:rPr>
              <w:fldChar w:fldCharType="separate"/>
            </w:r>
            <w:r w:rsidRPr="00926688">
              <w:rPr>
                <w:szCs w:val="18"/>
              </w:rPr>
              <w:t>2.13</w:t>
            </w:r>
            <w:r w:rsidRPr="00926688">
              <w:rPr>
                <w:szCs w:val="18"/>
              </w:rPr>
              <w:fldChar w:fldCharType="end"/>
            </w:r>
          </w:p>
        </w:tc>
      </w:tr>
      <w:tr w:rsidR="00EE2328" w:rsidRPr="00926688" w14:paraId="3A59E765" w14:textId="77777777" w:rsidTr="0018664C">
        <w:trPr>
          <w:jc w:val="center"/>
        </w:trPr>
        <w:tc>
          <w:tcPr>
            <w:tcW w:w="1276" w:type="dxa"/>
            <w:vAlign w:val="center"/>
          </w:tcPr>
          <w:p w14:paraId="4F5207C1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DOZB36H</w:t>
            </w:r>
          </w:p>
        </w:tc>
        <w:tc>
          <w:tcPr>
            <w:tcW w:w="7796" w:type="dxa"/>
            <w:vAlign w:val="center"/>
          </w:tcPr>
          <w:p w14:paraId="190044BE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szCs w:val="18"/>
              </w:rPr>
              <w:t xml:space="preserve">Doba odstranění Chyby/závady – blocker 36 hodin – viz příloha č. 1 kapitola II. Terminologie, odst. </w:t>
            </w:r>
            <w:r w:rsidRPr="00926688">
              <w:rPr>
                <w:szCs w:val="18"/>
              </w:rPr>
              <w:fldChar w:fldCharType="begin"/>
            </w:r>
            <w:r w:rsidRPr="00926688">
              <w:rPr>
                <w:szCs w:val="18"/>
              </w:rPr>
              <w:instrText xml:space="preserve"> REF _Ref366756300 \r \h  \* MERGEFORMAT </w:instrText>
            </w:r>
            <w:r w:rsidRPr="00926688">
              <w:rPr>
                <w:szCs w:val="18"/>
              </w:rPr>
            </w:r>
            <w:r w:rsidRPr="00926688">
              <w:rPr>
                <w:szCs w:val="18"/>
              </w:rPr>
              <w:fldChar w:fldCharType="separate"/>
            </w:r>
            <w:r w:rsidRPr="00926688">
              <w:rPr>
                <w:szCs w:val="18"/>
              </w:rPr>
              <w:t>2.14</w:t>
            </w:r>
            <w:r w:rsidRPr="00926688">
              <w:rPr>
                <w:szCs w:val="18"/>
              </w:rPr>
              <w:fldChar w:fldCharType="end"/>
            </w:r>
          </w:p>
        </w:tc>
      </w:tr>
      <w:tr w:rsidR="00EE2328" w:rsidRPr="00926688" w14:paraId="6A3F70C1" w14:textId="77777777" w:rsidTr="0018664C">
        <w:trPr>
          <w:jc w:val="center"/>
        </w:trPr>
        <w:tc>
          <w:tcPr>
            <w:tcW w:w="1276" w:type="dxa"/>
            <w:vAlign w:val="center"/>
          </w:tcPr>
          <w:p w14:paraId="260ED447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DOZC56H</w:t>
            </w:r>
          </w:p>
        </w:tc>
        <w:tc>
          <w:tcPr>
            <w:tcW w:w="7796" w:type="dxa"/>
            <w:vAlign w:val="center"/>
          </w:tcPr>
          <w:p w14:paraId="21F25F51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szCs w:val="18"/>
              </w:rPr>
              <w:t>Doba odstranění Chyby/závady – critical 56 hodin</w:t>
            </w:r>
          </w:p>
        </w:tc>
      </w:tr>
      <w:tr w:rsidR="00EE2328" w:rsidRPr="00926688" w14:paraId="42F702F5" w14:textId="77777777" w:rsidTr="0018664C">
        <w:trPr>
          <w:jc w:val="center"/>
        </w:trPr>
        <w:tc>
          <w:tcPr>
            <w:tcW w:w="1276" w:type="dxa"/>
            <w:vAlign w:val="center"/>
          </w:tcPr>
          <w:p w14:paraId="1ED57D26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RD24H</w:t>
            </w:r>
          </w:p>
        </w:tc>
        <w:tc>
          <w:tcPr>
            <w:tcW w:w="7796" w:type="dxa"/>
            <w:vAlign w:val="center"/>
          </w:tcPr>
          <w:p w14:paraId="7F2ED6E5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szCs w:val="18"/>
              </w:rPr>
              <w:t xml:space="preserve">Reakční doba 24 hodin pro Chyby s nízkou prioritou – viz příloha č. 1 kapitola II. Terminologie, odst. </w:t>
            </w:r>
            <w:r w:rsidRPr="00926688">
              <w:rPr>
                <w:szCs w:val="18"/>
              </w:rPr>
              <w:fldChar w:fldCharType="begin"/>
            </w:r>
            <w:r w:rsidRPr="00926688">
              <w:rPr>
                <w:szCs w:val="18"/>
              </w:rPr>
              <w:instrText xml:space="preserve"> REF _Ref366756272 \r \h  \* MERGEFORMAT </w:instrText>
            </w:r>
            <w:r w:rsidRPr="00926688">
              <w:rPr>
                <w:szCs w:val="18"/>
              </w:rPr>
            </w:r>
            <w:r w:rsidRPr="00926688">
              <w:rPr>
                <w:szCs w:val="18"/>
              </w:rPr>
              <w:fldChar w:fldCharType="separate"/>
            </w:r>
            <w:r w:rsidRPr="00926688">
              <w:rPr>
                <w:szCs w:val="18"/>
              </w:rPr>
              <w:t>2.13</w:t>
            </w:r>
            <w:r w:rsidRPr="00926688">
              <w:rPr>
                <w:szCs w:val="18"/>
              </w:rPr>
              <w:fldChar w:fldCharType="end"/>
            </w:r>
          </w:p>
        </w:tc>
      </w:tr>
      <w:tr w:rsidR="00EE2328" w:rsidRPr="00926688" w14:paraId="6010D8CD" w14:textId="77777777" w:rsidTr="0018664C">
        <w:trPr>
          <w:jc w:val="center"/>
        </w:trPr>
        <w:tc>
          <w:tcPr>
            <w:tcW w:w="1276" w:type="dxa"/>
            <w:vAlign w:val="center"/>
          </w:tcPr>
          <w:p w14:paraId="19393CE9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DOZM240H</w:t>
            </w:r>
          </w:p>
        </w:tc>
        <w:tc>
          <w:tcPr>
            <w:tcW w:w="7796" w:type="dxa"/>
            <w:vAlign w:val="center"/>
          </w:tcPr>
          <w:p w14:paraId="43E26A32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szCs w:val="18"/>
              </w:rPr>
              <w:t>Doba odstranění Chyby/závady - major 240 hodin (30 dnů)</w:t>
            </w:r>
          </w:p>
        </w:tc>
      </w:tr>
      <w:tr w:rsidR="00EE2328" w:rsidRPr="00926688" w14:paraId="66E04260" w14:textId="77777777" w:rsidTr="0018664C">
        <w:trPr>
          <w:jc w:val="center"/>
        </w:trPr>
        <w:tc>
          <w:tcPr>
            <w:tcW w:w="1276" w:type="dxa"/>
            <w:vAlign w:val="center"/>
          </w:tcPr>
          <w:p w14:paraId="015A2C1C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DOZT480H</w:t>
            </w:r>
          </w:p>
        </w:tc>
        <w:tc>
          <w:tcPr>
            <w:tcW w:w="7796" w:type="dxa"/>
            <w:vAlign w:val="center"/>
          </w:tcPr>
          <w:p w14:paraId="7B5AD668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szCs w:val="18"/>
              </w:rPr>
              <w:t>Doba odstranění Chyby/závady - minor a trivial v rámci další nasazované verze</w:t>
            </w:r>
          </w:p>
        </w:tc>
      </w:tr>
      <w:tr w:rsidR="00EE2328" w:rsidRPr="00926688" w14:paraId="722DD308" w14:textId="77777777" w:rsidTr="0018664C">
        <w:trPr>
          <w:jc w:val="center"/>
        </w:trPr>
        <w:tc>
          <w:tcPr>
            <w:tcW w:w="1276" w:type="dxa"/>
            <w:vAlign w:val="center"/>
          </w:tcPr>
          <w:p w14:paraId="445F4626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AKTUL</w:t>
            </w:r>
          </w:p>
        </w:tc>
        <w:tc>
          <w:tcPr>
            <w:tcW w:w="7796" w:type="dxa"/>
            <w:vAlign w:val="bottom"/>
          </w:tcPr>
          <w:p w14:paraId="16130184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szCs w:val="18"/>
              </w:rPr>
              <w:t xml:space="preserve">Hotfix aktualizace – viz příloha č. 1 kapitola II. Terminologie, odst. </w:t>
            </w:r>
            <w:r w:rsidRPr="00926688">
              <w:rPr>
                <w:szCs w:val="18"/>
              </w:rPr>
              <w:fldChar w:fldCharType="begin"/>
            </w:r>
            <w:r w:rsidRPr="00926688">
              <w:rPr>
                <w:szCs w:val="18"/>
              </w:rPr>
              <w:instrText xml:space="preserve"> REF _Ref366756319 \r \h  \* MERGEFORMAT </w:instrText>
            </w:r>
            <w:r w:rsidRPr="00926688">
              <w:rPr>
                <w:szCs w:val="18"/>
              </w:rPr>
            </w:r>
            <w:r w:rsidRPr="00926688">
              <w:rPr>
                <w:szCs w:val="18"/>
              </w:rPr>
              <w:fldChar w:fldCharType="separate"/>
            </w:r>
            <w:r w:rsidRPr="00926688">
              <w:rPr>
                <w:szCs w:val="18"/>
              </w:rPr>
              <w:t>2.22</w:t>
            </w:r>
            <w:r w:rsidRPr="00926688">
              <w:rPr>
                <w:szCs w:val="18"/>
              </w:rPr>
              <w:fldChar w:fldCharType="end"/>
            </w:r>
          </w:p>
        </w:tc>
      </w:tr>
      <w:tr w:rsidR="00EE2328" w:rsidRPr="00926688" w14:paraId="7F6196E3" w14:textId="77777777" w:rsidTr="0018664C">
        <w:trPr>
          <w:jc w:val="center"/>
        </w:trPr>
        <w:tc>
          <w:tcPr>
            <w:tcW w:w="1276" w:type="dxa"/>
            <w:vAlign w:val="center"/>
          </w:tcPr>
          <w:p w14:paraId="6305CEF1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OBDSLF</w:t>
            </w:r>
          </w:p>
        </w:tc>
        <w:tc>
          <w:tcPr>
            <w:tcW w:w="7796" w:type="dxa"/>
            <w:vAlign w:val="bottom"/>
          </w:tcPr>
          <w:p w14:paraId="70E0E943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szCs w:val="18"/>
              </w:rPr>
              <w:t>OBD správa číselníků forem RIV a literárních forem</w:t>
            </w:r>
          </w:p>
        </w:tc>
      </w:tr>
      <w:tr w:rsidR="00EE2328" w:rsidRPr="00926688" w14:paraId="7747E241" w14:textId="77777777" w:rsidTr="0018664C">
        <w:trPr>
          <w:jc w:val="center"/>
        </w:trPr>
        <w:tc>
          <w:tcPr>
            <w:tcW w:w="1276" w:type="dxa"/>
            <w:vAlign w:val="center"/>
          </w:tcPr>
          <w:p w14:paraId="5DE683DD" w14:textId="77777777" w:rsidR="00EE2328" w:rsidRPr="00926688" w:rsidRDefault="00EE2328" w:rsidP="0018664C">
            <w:pPr>
              <w:rPr>
                <w:szCs w:val="18"/>
              </w:rPr>
            </w:pPr>
            <w:r w:rsidRPr="00926688">
              <w:rPr>
                <w:szCs w:val="18"/>
              </w:rPr>
              <w:t>SKOLOBD</w:t>
            </w:r>
          </w:p>
        </w:tc>
        <w:tc>
          <w:tcPr>
            <w:tcW w:w="7796" w:type="dxa"/>
            <w:vAlign w:val="bottom"/>
          </w:tcPr>
          <w:p w14:paraId="6F5DA9CC" w14:textId="77777777" w:rsidR="00EE2328" w:rsidRPr="00926688" w:rsidRDefault="00EE2328" w:rsidP="00EE2328">
            <w:pPr>
              <w:jc w:val="both"/>
              <w:rPr>
                <w:szCs w:val="18"/>
              </w:rPr>
            </w:pPr>
            <w:r w:rsidRPr="00926688">
              <w:rPr>
                <w:szCs w:val="18"/>
              </w:rPr>
              <w:t>Výjezdní školení správců VERSO a OBD na 3 dny pro 1 osobu</w:t>
            </w:r>
          </w:p>
        </w:tc>
      </w:tr>
    </w:tbl>
    <w:p w14:paraId="67E69941" w14:textId="77777777" w:rsidR="00933FF3" w:rsidRDefault="00933FF3" w:rsidP="00DB4843">
      <w:pPr>
        <w:jc w:val="both"/>
        <w:rPr>
          <w:sz w:val="22"/>
          <w:szCs w:val="22"/>
        </w:rPr>
      </w:pPr>
    </w:p>
    <w:p w14:paraId="14924422" w14:textId="77777777" w:rsidR="00FD0837" w:rsidRDefault="00FD0837" w:rsidP="007A018B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FD0837">
        <w:rPr>
          <w:sz w:val="22"/>
          <w:szCs w:val="22"/>
        </w:rPr>
        <w:t>Další podmínky mimozáruční servisní podpory jsou uvedeny v Příloze č. 1 této Smlouvy</w:t>
      </w:r>
    </w:p>
    <w:p w14:paraId="4A4C9269" w14:textId="77777777" w:rsidR="00FD0837" w:rsidRDefault="00FD0837" w:rsidP="007A018B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FD0837">
        <w:rPr>
          <w:sz w:val="22"/>
          <w:szCs w:val="22"/>
        </w:rPr>
        <w:lastRenderedPageBreak/>
        <w:t xml:space="preserve">Pro případ nutného zásahu </w:t>
      </w:r>
      <w:r w:rsidR="000D6258">
        <w:rPr>
          <w:sz w:val="22"/>
          <w:szCs w:val="22"/>
        </w:rPr>
        <w:t>poskytovatel</w:t>
      </w:r>
      <w:r w:rsidR="00D2143A">
        <w:rPr>
          <w:sz w:val="22"/>
          <w:szCs w:val="22"/>
        </w:rPr>
        <w:t>e</w:t>
      </w:r>
      <w:r w:rsidRPr="00FD0837">
        <w:rPr>
          <w:sz w:val="22"/>
          <w:szCs w:val="22"/>
        </w:rPr>
        <w:t xml:space="preserve"> s ohledem na udržení Produktu v chodu jsou ze strany </w:t>
      </w:r>
      <w:r w:rsidR="00267943">
        <w:rPr>
          <w:sz w:val="22"/>
          <w:szCs w:val="22"/>
        </w:rPr>
        <w:t>objednatel</w:t>
      </w:r>
      <w:r w:rsidRPr="00FD0837">
        <w:rPr>
          <w:sz w:val="22"/>
          <w:szCs w:val="22"/>
        </w:rPr>
        <w:t>e stanoveny tyto osoby</w:t>
      </w:r>
    </w:p>
    <w:p w14:paraId="4E5F12DB" w14:textId="77777777" w:rsidR="00432109" w:rsidRDefault="00432109" w:rsidP="00B0132B">
      <w:pPr>
        <w:jc w:val="both"/>
        <w:rPr>
          <w:sz w:val="22"/>
          <w:szCs w:val="22"/>
        </w:rPr>
      </w:pPr>
    </w:p>
    <w:p w14:paraId="7DA70335" w14:textId="77777777" w:rsidR="00FD0837" w:rsidRPr="00FD0837" w:rsidRDefault="00FD0837" w:rsidP="00FD0837">
      <w:pPr>
        <w:ind w:left="927"/>
        <w:contextualSpacing/>
        <w:jc w:val="both"/>
        <w:rPr>
          <w:sz w:val="22"/>
          <w:szCs w:val="22"/>
        </w:rPr>
      </w:pPr>
      <w:r w:rsidRPr="00FD0837">
        <w:rPr>
          <w:sz w:val="22"/>
          <w:szCs w:val="22"/>
        </w:rPr>
        <w:t>Pro produkt VERSO:</w:t>
      </w:r>
    </w:p>
    <w:p w14:paraId="2E51E93F" w14:textId="77777777" w:rsidR="0013053F" w:rsidRDefault="0013053F" w:rsidP="00FD0837">
      <w:pPr>
        <w:ind w:left="927"/>
        <w:contextualSpacing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2552"/>
        <w:gridCol w:w="2410"/>
        <w:gridCol w:w="4110"/>
      </w:tblGrid>
      <w:tr w:rsidR="00FD0837" w:rsidRPr="00933FF3" w14:paraId="2CC5C24D" w14:textId="77777777" w:rsidTr="00262459">
        <w:tc>
          <w:tcPr>
            <w:tcW w:w="2552" w:type="dxa"/>
            <w:shd w:val="clear" w:color="auto" w:fill="D9D9D9"/>
          </w:tcPr>
          <w:p w14:paraId="408A7A3C" w14:textId="77777777" w:rsidR="00FD0837" w:rsidRPr="00262459" w:rsidRDefault="00FD0837" w:rsidP="00FD0837">
            <w:pPr>
              <w:keepNext/>
              <w:keepLines/>
              <w:rPr>
                <w:b/>
                <w:bCs/>
                <w:color w:val="920042"/>
                <w:sz w:val="22"/>
                <w:szCs w:val="20"/>
                <w:lang w:eastAsia="en-US"/>
              </w:rPr>
            </w:pPr>
            <w:r w:rsidRPr="00262459">
              <w:rPr>
                <w:b/>
                <w:bCs/>
                <w:color w:val="920042"/>
                <w:sz w:val="22"/>
                <w:szCs w:val="20"/>
                <w:lang w:eastAsia="en-US"/>
              </w:rPr>
              <w:t>Jméno a příjmení</w:t>
            </w:r>
          </w:p>
        </w:tc>
        <w:tc>
          <w:tcPr>
            <w:tcW w:w="2410" w:type="dxa"/>
            <w:shd w:val="clear" w:color="auto" w:fill="D9D9D9"/>
          </w:tcPr>
          <w:p w14:paraId="1B8016D5" w14:textId="77777777" w:rsidR="00FD0837" w:rsidRPr="00262459" w:rsidRDefault="00FD0837" w:rsidP="00FD0837">
            <w:pPr>
              <w:keepNext/>
              <w:keepLines/>
              <w:rPr>
                <w:b/>
                <w:bCs/>
                <w:color w:val="920042"/>
                <w:sz w:val="22"/>
                <w:szCs w:val="20"/>
                <w:lang w:eastAsia="en-US"/>
              </w:rPr>
            </w:pPr>
            <w:r w:rsidRPr="00262459">
              <w:rPr>
                <w:b/>
                <w:bCs/>
                <w:color w:val="920042"/>
                <w:sz w:val="22"/>
                <w:szCs w:val="20"/>
                <w:lang w:eastAsia="en-US"/>
              </w:rPr>
              <w:t>Odpovědnost</w:t>
            </w:r>
          </w:p>
        </w:tc>
        <w:tc>
          <w:tcPr>
            <w:tcW w:w="4110" w:type="dxa"/>
            <w:shd w:val="clear" w:color="auto" w:fill="D9D9D9"/>
          </w:tcPr>
          <w:p w14:paraId="1BF8A45A" w14:textId="77777777" w:rsidR="00FD0837" w:rsidRPr="00262459" w:rsidRDefault="00FD0837" w:rsidP="00FD0837">
            <w:pPr>
              <w:keepNext/>
              <w:keepLines/>
              <w:rPr>
                <w:b/>
                <w:bCs/>
                <w:color w:val="920042"/>
                <w:sz w:val="22"/>
                <w:szCs w:val="20"/>
                <w:lang w:eastAsia="en-US"/>
              </w:rPr>
            </w:pPr>
            <w:r w:rsidRPr="00262459">
              <w:rPr>
                <w:b/>
                <w:bCs/>
                <w:color w:val="920042"/>
                <w:sz w:val="22"/>
                <w:szCs w:val="20"/>
                <w:lang w:eastAsia="en-US"/>
              </w:rPr>
              <w:t>Kontakt a způsob hlášení požadavku</w:t>
            </w:r>
          </w:p>
        </w:tc>
      </w:tr>
      <w:tr w:rsidR="00986247" w:rsidRPr="00933FF3" w14:paraId="55822278" w14:textId="77777777" w:rsidTr="00262459">
        <w:tc>
          <w:tcPr>
            <w:tcW w:w="2552" w:type="dxa"/>
          </w:tcPr>
          <w:p w14:paraId="39BBC0E4" w14:textId="69811513" w:rsidR="00986247" w:rsidRPr="00262459" w:rsidRDefault="00AA2B39" w:rsidP="00267943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</w:t>
            </w:r>
          </w:p>
        </w:tc>
        <w:tc>
          <w:tcPr>
            <w:tcW w:w="2410" w:type="dxa"/>
          </w:tcPr>
          <w:p w14:paraId="72E3B827" w14:textId="77777777" w:rsidR="00986247" w:rsidRPr="00262459" w:rsidRDefault="00986247" w:rsidP="00267943">
            <w:pPr>
              <w:rPr>
                <w:sz w:val="22"/>
                <w:szCs w:val="18"/>
                <w:lang w:eastAsia="en-US"/>
              </w:rPr>
            </w:pPr>
            <w:r w:rsidRPr="00262459">
              <w:rPr>
                <w:sz w:val="22"/>
                <w:szCs w:val="18"/>
                <w:lang w:eastAsia="en-US"/>
              </w:rPr>
              <w:t>Restart HW</w:t>
            </w:r>
          </w:p>
        </w:tc>
        <w:tc>
          <w:tcPr>
            <w:tcW w:w="4110" w:type="dxa"/>
          </w:tcPr>
          <w:p w14:paraId="251C9B64" w14:textId="60785BA4" w:rsidR="00986247" w:rsidRPr="00262459" w:rsidRDefault="00AA2B39" w:rsidP="00267943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xxxxxxxxxxxxxx</w:t>
            </w:r>
          </w:p>
        </w:tc>
      </w:tr>
      <w:tr w:rsidR="00986247" w:rsidRPr="00933FF3" w14:paraId="20CD8A64" w14:textId="77777777" w:rsidTr="00262459">
        <w:tc>
          <w:tcPr>
            <w:tcW w:w="2552" w:type="dxa"/>
          </w:tcPr>
          <w:p w14:paraId="7C7138F2" w14:textId="6B7C98FC" w:rsidR="00986247" w:rsidRPr="00262459" w:rsidRDefault="00AA2B39" w:rsidP="00267943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</w:t>
            </w:r>
          </w:p>
        </w:tc>
        <w:tc>
          <w:tcPr>
            <w:tcW w:w="2410" w:type="dxa"/>
          </w:tcPr>
          <w:p w14:paraId="1EA29693" w14:textId="77777777" w:rsidR="00986247" w:rsidRPr="00262459" w:rsidRDefault="00986247" w:rsidP="00267943">
            <w:pPr>
              <w:rPr>
                <w:sz w:val="22"/>
                <w:szCs w:val="18"/>
                <w:lang w:eastAsia="en-US"/>
              </w:rPr>
            </w:pPr>
            <w:r w:rsidRPr="00262459">
              <w:rPr>
                <w:sz w:val="22"/>
                <w:szCs w:val="18"/>
                <w:lang w:eastAsia="en-US"/>
              </w:rPr>
              <w:t>Restart aplikace</w:t>
            </w:r>
          </w:p>
        </w:tc>
        <w:tc>
          <w:tcPr>
            <w:tcW w:w="4110" w:type="dxa"/>
          </w:tcPr>
          <w:p w14:paraId="5E774637" w14:textId="738474D1" w:rsidR="00986247" w:rsidRPr="00262459" w:rsidRDefault="00AA2B39" w:rsidP="00267943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xxxxxxxxxxxxxxxx</w:t>
            </w:r>
          </w:p>
        </w:tc>
      </w:tr>
      <w:tr w:rsidR="00986247" w:rsidRPr="00933FF3" w14:paraId="00895EA8" w14:textId="77777777" w:rsidTr="00262459">
        <w:tc>
          <w:tcPr>
            <w:tcW w:w="2552" w:type="dxa"/>
          </w:tcPr>
          <w:p w14:paraId="0842F313" w14:textId="48949B10" w:rsidR="00986247" w:rsidRPr="00262459" w:rsidRDefault="00AA2B39" w:rsidP="00267943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</w:t>
            </w:r>
          </w:p>
        </w:tc>
        <w:tc>
          <w:tcPr>
            <w:tcW w:w="2410" w:type="dxa"/>
          </w:tcPr>
          <w:p w14:paraId="0B73E417" w14:textId="77777777" w:rsidR="00986247" w:rsidRPr="00262459" w:rsidRDefault="00986247" w:rsidP="00267943">
            <w:pPr>
              <w:rPr>
                <w:sz w:val="22"/>
                <w:szCs w:val="18"/>
                <w:lang w:eastAsia="en-US"/>
              </w:rPr>
            </w:pPr>
            <w:r w:rsidRPr="00262459">
              <w:rPr>
                <w:sz w:val="22"/>
                <w:szCs w:val="18"/>
                <w:lang w:eastAsia="en-US"/>
              </w:rPr>
              <w:t>Správce infrastruktury</w:t>
            </w:r>
          </w:p>
        </w:tc>
        <w:tc>
          <w:tcPr>
            <w:tcW w:w="4110" w:type="dxa"/>
          </w:tcPr>
          <w:p w14:paraId="78020511" w14:textId="3B82766E" w:rsidR="00986247" w:rsidRPr="00262459" w:rsidRDefault="00AA2B39" w:rsidP="00267943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xxxxxxxxxxxxxxxx</w:t>
            </w:r>
          </w:p>
        </w:tc>
      </w:tr>
    </w:tbl>
    <w:p w14:paraId="176DEAA2" w14:textId="77777777" w:rsidR="0013053F" w:rsidRDefault="0013053F" w:rsidP="00B0132B">
      <w:pPr>
        <w:contextualSpacing/>
        <w:jc w:val="both"/>
        <w:rPr>
          <w:sz w:val="22"/>
          <w:szCs w:val="22"/>
        </w:rPr>
      </w:pPr>
    </w:p>
    <w:p w14:paraId="0EAB832E" w14:textId="77777777" w:rsidR="00FD0837" w:rsidRPr="00137D52" w:rsidRDefault="00FD0837" w:rsidP="00FD0837">
      <w:pPr>
        <w:ind w:left="927"/>
        <w:contextualSpacing/>
        <w:jc w:val="both"/>
        <w:rPr>
          <w:sz w:val="22"/>
          <w:szCs w:val="22"/>
        </w:rPr>
      </w:pPr>
      <w:r w:rsidRPr="00137D52">
        <w:rPr>
          <w:sz w:val="22"/>
          <w:szCs w:val="22"/>
        </w:rPr>
        <w:t>Pro produkt OBD:</w:t>
      </w:r>
    </w:p>
    <w:p w14:paraId="6ECF0D09" w14:textId="77777777" w:rsidR="0013053F" w:rsidRDefault="0013053F" w:rsidP="00FD0837">
      <w:pPr>
        <w:ind w:left="567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CA005D"/>
          <w:left w:val="single" w:sz="4" w:space="0" w:color="CA005D"/>
          <w:bottom w:val="single" w:sz="4" w:space="0" w:color="CA005D"/>
          <w:right w:val="single" w:sz="4" w:space="0" w:color="CA005D"/>
          <w:insideH w:val="single" w:sz="4" w:space="0" w:color="CA005D"/>
          <w:insideV w:val="single" w:sz="4" w:space="0" w:color="CA005D"/>
        </w:tblBorders>
        <w:tblLook w:val="00A0" w:firstRow="1" w:lastRow="0" w:firstColumn="1" w:lastColumn="0" w:noHBand="0" w:noVBand="0"/>
      </w:tblPr>
      <w:tblGrid>
        <w:gridCol w:w="2552"/>
        <w:gridCol w:w="2410"/>
        <w:gridCol w:w="4110"/>
      </w:tblGrid>
      <w:tr w:rsidR="00FD0837" w:rsidRPr="00933FF3" w14:paraId="40DE2F40" w14:textId="77777777" w:rsidTr="00262459">
        <w:tc>
          <w:tcPr>
            <w:tcW w:w="2552" w:type="dxa"/>
            <w:shd w:val="clear" w:color="auto" w:fill="D9D9D9"/>
          </w:tcPr>
          <w:p w14:paraId="3C131B50" w14:textId="77777777" w:rsidR="00FD0837" w:rsidRPr="00262459" w:rsidRDefault="00FD0837" w:rsidP="00FD0837">
            <w:pPr>
              <w:keepNext/>
              <w:keepLines/>
              <w:rPr>
                <w:b/>
                <w:bCs/>
                <w:color w:val="920042"/>
                <w:sz w:val="22"/>
                <w:szCs w:val="20"/>
                <w:lang w:eastAsia="en-US"/>
              </w:rPr>
            </w:pPr>
            <w:r w:rsidRPr="00262459">
              <w:rPr>
                <w:b/>
                <w:bCs/>
                <w:color w:val="920042"/>
                <w:sz w:val="22"/>
                <w:szCs w:val="20"/>
                <w:lang w:eastAsia="en-US"/>
              </w:rPr>
              <w:t>Jméno a příjmení</w:t>
            </w:r>
          </w:p>
        </w:tc>
        <w:tc>
          <w:tcPr>
            <w:tcW w:w="2410" w:type="dxa"/>
            <w:shd w:val="clear" w:color="auto" w:fill="D9D9D9"/>
          </w:tcPr>
          <w:p w14:paraId="440B9365" w14:textId="77777777" w:rsidR="00FD0837" w:rsidRPr="00262459" w:rsidRDefault="00FD0837" w:rsidP="00FD0837">
            <w:pPr>
              <w:keepNext/>
              <w:keepLines/>
              <w:rPr>
                <w:b/>
                <w:bCs/>
                <w:color w:val="920042"/>
                <w:sz w:val="22"/>
                <w:szCs w:val="20"/>
                <w:lang w:eastAsia="en-US"/>
              </w:rPr>
            </w:pPr>
            <w:r w:rsidRPr="00262459">
              <w:rPr>
                <w:b/>
                <w:bCs/>
                <w:color w:val="920042"/>
                <w:sz w:val="22"/>
                <w:szCs w:val="20"/>
                <w:lang w:eastAsia="en-US"/>
              </w:rPr>
              <w:t>Odpovědnost</w:t>
            </w:r>
          </w:p>
        </w:tc>
        <w:tc>
          <w:tcPr>
            <w:tcW w:w="4110" w:type="dxa"/>
            <w:shd w:val="clear" w:color="auto" w:fill="D9D9D9"/>
          </w:tcPr>
          <w:p w14:paraId="0B226089" w14:textId="77777777" w:rsidR="00FD0837" w:rsidRPr="00262459" w:rsidRDefault="00FD0837" w:rsidP="00FD0837">
            <w:pPr>
              <w:keepNext/>
              <w:keepLines/>
              <w:rPr>
                <w:b/>
                <w:bCs/>
                <w:color w:val="920042"/>
                <w:sz w:val="22"/>
                <w:szCs w:val="20"/>
                <w:lang w:eastAsia="en-US"/>
              </w:rPr>
            </w:pPr>
            <w:r w:rsidRPr="00262459">
              <w:rPr>
                <w:b/>
                <w:bCs/>
                <w:color w:val="920042"/>
                <w:sz w:val="22"/>
                <w:szCs w:val="20"/>
                <w:lang w:eastAsia="en-US"/>
              </w:rPr>
              <w:t>Kontakt a způsob hlášení požadavku</w:t>
            </w:r>
          </w:p>
        </w:tc>
      </w:tr>
      <w:tr w:rsidR="00FD0837" w:rsidRPr="00933FF3" w14:paraId="4BBF85A7" w14:textId="77777777" w:rsidTr="00262459">
        <w:tc>
          <w:tcPr>
            <w:tcW w:w="2552" w:type="dxa"/>
          </w:tcPr>
          <w:p w14:paraId="26C78F08" w14:textId="6CE17A19" w:rsidR="00FD0837" w:rsidRPr="00262459" w:rsidRDefault="00AA2B39" w:rsidP="00FD0837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xxxxxxxxxxxxx</w:t>
            </w:r>
          </w:p>
        </w:tc>
        <w:tc>
          <w:tcPr>
            <w:tcW w:w="2410" w:type="dxa"/>
          </w:tcPr>
          <w:p w14:paraId="50C6E525" w14:textId="77777777" w:rsidR="00FD0837" w:rsidRPr="00262459" w:rsidRDefault="00FD0837" w:rsidP="00FD0837">
            <w:pPr>
              <w:rPr>
                <w:sz w:val="22"/>
                <w:szCs w:val="18"/>
                <w:lang w:eastAsia="en-US"/>
              </w:rPr>
            </w:pPr>
            <w:r w:rsidRPr="00262459">
              <w:rPr>
                <w:sz w:val="22"/>
                <w:szCs w:val="18"/>
                <w:lang w:eastAsia="en-US"/>
              </w:rPr>
              <w:t>Restart HW</w:t>
            </w:r>
          </w:p>
        </w:tc>
        <w:tc>
          <w:tcPr>
            <w:tcW w:w="4110" w:type="dxa"/>
          </w:tcPr>
          <w:p w14:paraId="7951A1F7" w14:textId="3DCDB452" w:rsidR="00FD0837" w:rsidRPr="00262459" w:rsidRDefault="00AA2B39" w:rsidP="00FD0837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xxxxxxxxxxxxxxxxxxx</w:t>
            </w:r>
          </w:p>
        </w:tc>
      </w:tr>
      <w:tr w:rsidR="00FD0837" w:rsidRPr="00933FF3" w14:paraId="2A1A5B79" w14:textId="77777777" w:rsidTr="00262459">
        <w:tc>
          <w:tcPr>
            <w:tcW w:w="2552" w:type="dxa"/>
          </w:tcPr>
          <w:p w14:paraId="0D773A80" w14:textId="463EF81D" w:rsidR="00FD0837" w:rsidRPr="00262459" w:rsidRDefault="00AA2B39" w:rsidP="00FD0837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</w:t>
            </w:r>
          </w:p>
        </w:tc>
        <w:tc>
          <w:tcPr>
            <w:tcW w:w="2410" w:type="dxa"/>
          </w:tcPr>
          <w:p w14:paraId="320C0A61" w14:textId="77777777" w:rsidR="00FD0837" w:rsidRPr="00262459" w:rsidRDefault="00FD0837" w:rsidP="00FD0837">
            <w:pPr>
              <w:rPr>
                <w:sz w:val="22"/>
                <w:szCs w:val="18"/>
                <w:lang w:eastAsia="en-US"/>
              </w:rPr>
            </w:pPr>
            <w:r w:rsidRPr="00262459">
              <w:rPr>
                <w:sz w:val="22"/>
                <w:szCs w:val="18"/>
                <w:lang w:eastAsia="en-US"/>
              </w:rPr>
              <w:t>Restart aplikace</w:t>
            </w:r>
          </w:p>
        </w:tc>
        <w:tc>
          <w:tcPr>
            <w:tcW w:w="4110" w:type="dxa"/>
          </w:tcPr>
          <w:p w14:paraId="12F708D4" w14:textId="178B708E" w:rsidR="00FD0837" w:rsidRPr="00262459" w:rsidRDefault="00AA2B39" w:rsidP="00FD0837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xxxxxxxxxxxxxxxxxxxx</w:t>
            </w:r>
          </w:p>
        </w:tc>
      </w:tr>
      <w:tr w:rsidR="00FD0837" w:rsidRPr="00933FF3" w14:paraId="7F5769EA" w14:textId="77777777" w:rsidTr="00262459">
        <w:tc>
          <w:tcPr>
            <w:tcW w:w="2552" w:type="dxa"/>
          </w:tcPr>
          <w:p w14:paraId="5033FC1C" w14:textId="43D277F6" w:rsidR="00FD0837" w:rsidRPr="00262459" w:rsidRDefault="00AA2B39" w:rsidP="00FD0837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xxxxxxxxxxxxxx</w:t>
            </w:r>
          </w:p>
        </w:tc>
        <w:tc>
          <w:tcPr>
            <w:tcW w:w="2410" w:type="dxa"/>
          </w:tcPr>
          <w:p w14:paraId="755B9F20" w14:textId="77777777" w:rsidR="00FD0837" w:rsidRPr="00262459" w:rsidRDefault="00FD0837" w:rsidP="00FD0837">
            <w:pPr>
              <w:rPr>
                <w:sz w:val="22"/>
                <w:szCs w:val="18"/>
                <w:lang w:eastAsia="en-US"/>
              </w:rPr>
            </w:pPr>
            <w:r w:rsidRPr="00262459">
              <w:rPr>
                <w:sz w:val="22"/>
                <w:szCs w:val="18"/>
                <w:lang w:eastAsia="en-US"/>
              </w:rPr>
              <w:t>Správce infrastruktury</w:t>
            </w:r>
          </w:p>
        </w:tc>
        <w:tc>
          <w:tcPr>
            <w:tcW w:w="4110" w:type="dxa"/>
          </w:tcPr>
          <w:p w14:paraId="56F4907A" w14:textId="5B69A4FE" w:rsidR="00FD0837" w:rsidRPr="00262459" w:rsidRDefault="00AA2B39" w:rsidP="00FD0837">
            <w:pPr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xxxxxxxxxxxxxxxxxxxx</w:t>
            </w:r>
          </w:p>
        </w:tc>
      </w:tr>
    </w:tbl>
    <w:p w14:paraId="1833F75A" w14:textId="77777777" w:rsidR="0013053F" w:rsidRDefault="0013053F" w:rsidP="00B0132B">
      <w:pPr>
        <w:jc w:val="both"/>
        <w:rPr>
          <w:sz w:val="22"/>
          <w:szCs w:val="22"/>
        </w:rPr>
      </w:pPr>
    </w:p>
    <w:p w14:paraId="1E2A76BC" w14:textId="4C1466D3" w:rsidR="00FD0837" w:rsidRPr="00FD0837" w:rsidRDefault="00986247" w:rsidP="00B0132B">
      <w:pPr>
        <w:ind w:left="709"/>
        <w:jc w:val="both"/>
        <w:rPr>
          <w:sz w:val="22"/>
          <w:szCs w:val="22"/>
        </w:rPr>
      </w:pPr>
      <w:r w:rsidRPr="00986247">
        <w:rPr>
          <w:sz w:val="22"/>
          <w:szCs w:val="22"/>
        </w:rPr>
        <w:t xml:space="preserve">Tyto osoby bude </w:t>
      </w:r>
      <w:r w:rsidR="005A5FC4">
        <w:rPr>
          <w:sz w:val="22"/>
          <w:szCs w:val="22"/>
        </w:rPr>
        <w:t>poskytovatel</w:t>
      </w:r>
      <w:r w:rsidRPr="00986247">
        <w:rPr>
          <w:sz w:val="22"/>
          <w:szCs w:val="22"/>
        </w:rPr>
        <w:t xml:space="preserve"> v případě potřeby kontaktovat a </w:t>
      </w:r>
      <w:r w:rsidR="00141484">
        <w:rPr>
          <w:sz w:val="22"/>
          <w:szCs w:val="22"/>
        </w:rPr>
        <w:t>objednatel</w:t>
      </w:r>
      <w:r w:rsidRPr="00986247">
        <w:rPr>
          <w:sz w:val="22"/>
          <w:szCs w:val="22"/>
        </w:rPr>
        <w:t xml:space="preserve"> se zavazuje zajistit jejich plnou součinnost</w:t>
      </w:r>
    </w:p>
    <w:p w14:paraId="5E19C0FE" w14:textId="77777777" w:rsidR="00FD0837" w:rsidRPr="00DB4843" w:rsidRDefault="00FD0837" w:rsidP="00DB4843">
      <w:pPr>
        <w:jc w:val="both"/>
        <w:rPr>
          <w:sz w:val="22"/>
          <w:szCs w:val="22"/>
        </w:rPr>
      </w:pPr>
    </w:p>
    <w:p w14:paraId="1D0DC10B" w14:textId="77777777" w:rsidR="00FD0837" w:rsidRPr="00FD0837" w:rsidRDefault="00FD0837" w:rsidP="007A018B">
      <w:pPr>
        <w:numPr>
          <w:ilvl w:val="1"/>
          <w:numId w:val="3"/>
        </w:numPr>
        <w:tabs>
          <w:tab w:val="clear" w:pos="360"/>
          <w:tab w:val="num" w:pos="567"/>
        </w:tabs>
        <w:ind w:left="709" w:hanging="709"/>
        <w:jc w:val="both"/>
        <w:rPr>
          <w:sz w:val="22"/>
          <w:szCs w:val="22"/>
        </w:rPr>
      </w:pPr>
      <w:r w:rsidRPr="00FD0837">
        <w:rPr>
          <w:sz w:val="22"/>
          <w:szCs w:val="22"/>
        </w:rPr>
        <w:t xml:space="preserve">Požadavky </w:t>
      </w:r>
      <w:r w:rsidR="00141484">
        <w:rPr>
          <w:sz w:val="22"/>
          <w:szCs w:val="22"/>
        </w:rPr>
        <w:t>objednatele</w:t>
      </w:r>
      <w:r w:rsidRPr="00FD0837">
        <w:rPr>
          <w:sz w:val="22"/>
          <w:szCs w:val="22"/>
        </w:rPr>
        <w:t xml:space="preserve"> na další rozvoj a úpravy produktů VERSO a OBD:</w:t>
      </w:r>
    </w:p>
    <w:p w14:paraId="101E559F" w14:textId="77777777" w:rsidR="00EE2328" w:rsidRPr="00EE2328" w:rsidRDefault="00EE2328" w:rsidP="00EE2328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EE2328">
        <w:rPr>
          <w:sz w:val="22"/>
          <w:szCs w:val="22"/>
        </w:rPr>
        <w:t>Dalším rozvojem je míněn rozvoj nad rámec paušálních (předplacených) konzultačních hodin (jsou-li objednatelem objednány).</w:t>
      </w:r>
    </w:p>
    <w:p w14:paraId="76C77173" w14:textId="77777777" w:rsidR="00EE2328" w:rsidRPr="00EE2328" w:rsidRDefault="00EE2328" w:rsidP="00EE2328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EE2328">
        <w:rPr>
          <w:sz w:val="22"/>
          <w:szCs w:val="22"/>
        </w:rPr>
        <w:t>Další rozvoj, úpravy a změny produktů VERSO a OBD, včetně souvisejících agend, budou provedeny na základě objednávek.</w:t>
      </w:r>
    </w:p>
    <w:p w14:paraId="5C584DEC" w14:textId="6CD40C5E" w:rsidR="00EE2328" w:rsidRPr="00EE2328" w:rsidRDefault="00EE2328" w:rsidP="00EE2328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EE2328">
        <w:rPr>
          <w:sz w:val="22"/>
          <w:szCs w:val="22"/>
        </w:rPr>
        <w:t>Rozsah objednávek provozně ekonomické agendy (formulář aktivit, objednávkový systém IOS,</w:t>
      </w:r>
      <w:r w:rsidR="00171142">
        <w:rPr>
          <w:sz w:val="22"/>
          <w:szCs w:val="22"/>
        </w:rPr>
        <w:t xml:space="preserve"> </w:t>
      </w:r>
      <w:r w:rsidRPr="00EE2328">
        <w:rPr>
          <w:sz w:val="22"/>
          <w:szCs w:val="22"/>
        </w:rPr>
        <w:t>agenda XLS pro rozpočty a kontrolu účetnictví, SLR – služby řešitelům, MRP – sestavy pro projekty z oblastí person</w:t>
      </w:r>
      <w:r w:rsidR="00171142">
        <w:rPr>
          <w:sz w:val="22"/>
          <w:szCs w:val="22"/>
        </w:rPr>
        <w:t xml:space="preserve">alistiky, formuláře pro DČ, EPF </w:t>
      </w:r>
      <w:r w:rsidRPr="00EE2328">
        <w:rPr>
          <w:sz w:val="22"/>
          <w:szCs w:val="22"/>
        </w:rPr>
        <w:t>–</w:t>
      </w:r>
      <w:r w:rsidR="00171142">
        <w:rPr>
          <w:sz w:val="22"/>
          <w:szCs w:val="22"/>
        </w:rPr>
        <w:t xml:space="preserve"> </w:t>
      </w:r>
      <w:r w:rsidRPr="00EE2328">
        <w:rPr>
          <w:sz w:val="22"/>
          <w:szCs w:val="22"/>
        </w:rPr>
        <w:t>elektronický personální formulář apod.) bude maximálně 350 hodin a agendy VaV a in</w:t>
      </w:r>
      <w:r w:rsidR="00171142">
        <w:rPr>
          <w:sz w:val="22"/>
          <w:szCs w:val="22"/>
        </w:rPr>
        <w:t xml:space="preserve">ovace (rozhraní OBD, GaP, IGA, </w:t>
      </w:r>
      <w:r w:rsidRPr="00EE2328">
        <w:rPr>
          <w:sz w:val="22"/>
          <w:szCs w:val="22"/>
        </w:rPr>
        <w:t>smluvní výzkum a zvýšená podpora pro OBD v rozsahu 8hodin měsíčně) maximálně 450 hodin.</w:t>
      </w:r>
    </w:p>
    <w:p w14:paraId="42B24E65" w14:textId="77777777" w:rsidR="00EE2328" w:rsidRPr="00EE2328" w:rsidRDefault="00EE2328" w:rsidP="00EE2328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EE2328">
        <w:rPr>
          <w:sz w:val="22"/>
          <w:szCs w:val="22"/>
        </w:rPr>
        <w:t>Zadavatel bude služby dle bodu 3. a) – c) čerpat podle aktuálních potřeb. Není povinen vyčerpat předpokládaný počet hodin</w:t>
      </w:r>
    </w:p>
    <w:p w14:paraId="4E4F4A49" w14:textId="77B754F8" w:rsidR="00FD0837" w:rsidRPr="00992226" w:rsidRDefault="002B0839" w:rsidP="007133CC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992226">
        <w:rPr>
          <w:sz w:val="22"/>
          <w:szCs w:val="22"/>
        </w:rPr>
        <w:t xml:space="preserve">Hodinová sazba pro objednávky </w:t>
      </w:r>
      <w:r w:rsidR="006B3D89" w:rsidRPr="00992226">
        <w:rPr>
          <w:sz w:val="22"/>
          <w:szCs w:val="22"/>
        </w:rPr>
        <w:t>(další rozvoj a úpravy)</w:t>
      </w:r>
      <w:r w:rsidRPr="00992226">
        <w:rPr>
          <w:sz w:val="22"/>
          <w:szCs w:val="22"/>
        </w:rPr>
        <w:t xml:space="preserve"> je stanovena na ==</w:t>
      </w:r>
      <w:r w:rsidR="00B0132B">
        <w:rPr>
          <w:sz w:val="22"/>
          <w:szCs w:val="22"/>
        </w:rPr>
        <w:t>1.</w:t>
      </w:r>
      <w:r w:rsidR="00EE2328">
        <w:rPr>
          <w:sz w:val="22"/>
          <w:szCs w:val="22"/>
        </w:rPr>
        <w:t>440</w:t>
      </w:r>
      <w:r w:rsidRPr="00992226">
        <w:rPr>
          <w:sz w:val="22"/>
          <w:szCs w:val="22"/>
        </w:rPr>
        <w:t>== Kč bez DPH.</w:t>
      </w:r>
    </w:p>
    <w:p w14:paraId="4989F1F7" w14:textId="77777777" w:rsidR="00B0132B" w:rsidRDefault="00B0132B" w:rsidP="00FD0837">
      <w:pPr>
        <w:pStyle w:val="Odstavecseseznamem"/>
        <w:ind w:left="720"/>
        <w:jc w:val="both"/>
        <w:rPr>
          <w:sz w:val="22"/>
          <w:szCs w:val="22"/>
        </w:rPr>
      </w:pPr>
    </w:p>
    <w:p w14:paraId="383EE458" w14:textId="77777777" w:rsidR="00AF61E7" w:rsidRPr="00625912" w:rsidRDefault="00AF61E7" w:rsidP="00AF61E7">
      <w:pPr>
        <w:jc w:val="center"/>
        <w:outlineLvl w:val="0"/>
        <w:rPr>
          <w:b/>
        </w:rPr>
      </w:pPr>
      <w:r w:rsidRPr="00625912">
        <w:rPr>
          <w:b/>
        </w:rPr>
        <w:t>I</w:t>
      </w:r>
      <w:r>
        <w:rPr>
          <w:b/>
        </w:rPr>
        <w:t>V</w:t>
      </w:r>
      <w:r w:rsidRPr="00625912">
        <w:rPr>
          <w:b/>
        </w:rPr>
        <w:t>.</w:t>
      </w:r>
    </w:p>
    <w:p w14:paraId="5FCAC741" w14:textId="77777777" w:rsidR="00AF61E7" w:rsidRDefault="00AF61E7" w:rsidP="00AF61E7">
      <w:pPr>
        <w:jc w:val="center"/>
      </w:pPr>
      <w:r>
        <w:rPr>
          <w:b/>
        </w:rPr>
        <w:t>Doba a místo plnění</w:t>
      </w:r>
    </w:p>
    <w:p w14:paraId="014AE6CD" w14:textId="77777777" w:rsidR="00AF61E7" w:rsidRPr="00D416AF" w:rsidRDefault="00AF61E7" w:rsidP="00AF61E7">
      <w:pPr>
        <w:rPr>
          <w:sz w:val="22"/>
          <w:szCs w:val="22"/>
        </w:rPr>
      </w:pPr>
    </w:p>
    <w:p w14:paraId="31850650" w14:textId="36E90A9F" w:rsidR="00C421F3" w:rsidRDefault="000D6258" w:rsidP="007A018B">
      <w:pPr>
        <w:numPr>
          <w:ilvl w:val="1"/>
          <w:numId w:val="4"/>
        </w:numPr>
        <w:tabs>
          <w:tab w:val="clear" w:pos="1211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AF61E7">
        <w:rPr>
          <w:sz w:val="22"/>
          <w:szCs w:val="22"/>
        </w:rPr>
        <w:t xml:space="preserve"> se zavazuje </w:t>
      </w:r>
      <w:r w:rsidR="00F56524">
        <w:rPr>
          <w:sz w:val="22"/>
          <w:szCs w:val="22"/>
        </w:rPr>
        <w:t>zajistit</w:t>
      </w:r>
      <w:r w:rsidR="00AF61E7">
        <w:rPr>
          <w:sz w:val="22"/>
          <w:szCs w:val="22"/>
        </w:rPr>
        <w:t xml:space="preserve"> </w:t>
      </w:r>
      <w:r w:rsidR="00267943">
        <w:rPr>
          <w:sz w:val="22"/>
          <w:szCs w:val="22"/>
        </w:rPr>
        <w:t>objednatel</w:t>
      </w:r>
      <w:r w:rsidR="00D2143A">
        <w:rPr>
          <w:sz w:val="22"/>
          <w:szCs w:val="22"/>
        </w:rPr>
        <w:t>i</w:t>
      </w:r>
      <w:r w:rsidR="00AF61E7">
        <w:rPr>
          <w:sz w:val="22"/>
          <w:szCs w:val="22"/>
        </w:rPr>
        <w:t xml:space="preserve"> </w:t>
      </w:r>
      <w:r w:rsidR="008E3574" w:rsidRPr="008E3574">
        <w:rPr>
          <w:sz w:val="22"/>
          <w:szCs w:val="22"/>
        </w:rPr>
        <w:t xml:space="preserve">poskytování </w:t>
      </w:r>
      <w:r w:rsidR="002460BF">
        <w:rPr>
          <w:sz w:val="22"/>
          <w:szCs w:val="22"/>
        </w:rPr>
        <w:t>rozvoje, podpory</w:t>
      </w:r>
      <w:r w:rsidR="00244DEB">
        <w:rPr>
          <w:sz w:val="22"/>
          <w:szCs w:val="22"/>
        </w:rPr>
        <w:t xml:space="preserve"> a</w:t>
      </w:r>
      <w:r w:rsidR="008E3574" w:rsidRPr="008E3574">
        <w:rPr>
          <w:sz w:val="22"/>
          <w:szCs w:val="22"/>
        </w:rPr>
        <w:t xml:space="preserve"> údržby implementovaných modulů </w:t>
      </w:r>
      <w:r w:rsidR="002460BF">
        <w:rPr>
          <w:sz w:val="22"/>
          <w:szCs w:val="22"/>
        </w:rPr>
        <w:t>VERSO a OBD</w:t>
      </w:r>
      <w:r w:rsidR="008E3574" w:rsidRPr="008E3574">
        <w:rPr>
          <w:sz w:val="22"/>
          <w:szCs w:val="22"/>
        </w:rPr>
        <w:t xml:space="preserve"> </w:t>
      </w:r>
      <w:r w:rsidR="008D184D">
        <w:rPr>
          <w:sz w:val="22"/>
          <w:szCs w:val="22"/>
        </w:rPr>
        <w:t xml:space="preserve">na období od </w:t>
      </w:r>
      <w:r w:rsidR="00992226">
        <w:rPr>
          <w:sz w:val="22"/>
          <w:szCs w:val="22"/>
        </w:rPr>
        <w:t>1.</w:t>
      </w:r>
      <w:r w:rsidR="00641E13">
        <w:rPr>
          <w:sz w:val="22"/>
          <w:szCs w:val="22"/>
        </w:rPr>
        <w:t xml:space="preserve"> </w:t>
      </w:r>
      <w:r w:rsidR="00992226">
        <w:rPr>
          <w:sz w:val="22"/>
          <w:szCs w:val="22"/>
        </w:rPr>
        <w:t>1.</w:t>
      </w:r>
      <w:r w:rsidR="00641E13">
        <w:rPr>
          <w:sz w:val="22"/>
          <w:szCs w:val="22"/>
        </w:rPr>
        <w:t xml:space="preserve"> </w:t>
      </w:r>
      <w:r w:rsidR="00992226">
        <w:rPr>
          <w:sz w:val="22"/>
          <w:szCs w:val="22"/>
        </w:rPr>
        <w:t>201</w:t>
      </w:r>
      <w:r w:rsidR="00EE2328">
        <w:rPr>
          <w:sz w:val="22"/>
          <w:szCs w:val="22"/>
        </w:rPr>
        <w:t>7</w:t>
      </w:r>
      <w:r w:rsidR="00F56524" w:rsidRPr="00F56524">
        <w:rPr>
          <w:sz w:val="22"/>
          <w:szCs w:val="22"/>
        </w:rPr>
        <w:t xml:space="preserve"> do 31. 12.</w:t>
      </w:r>
      <w:r w:rsidR="00F56524">
        <w:rPr>
          <w:sz w:val="22"/>
          <w:szCs w:val="22"/>
        </w:rPr>
        <w:t xml:space="preserve"> </w:t>
      </w:r>
      <w:r w:rsidR="00A36539" w:rsidRPr="00A36539">
        <w:rPr>
          <w:sz w:val="22"/>
          <w:szCs w:val="22"/>
        </w:rPr>
        <w:t>201</w:t>
      </w:r>
      <w:r w:rsidR="00EE2328">
        <w:rPr>
          <w:sz w:val="22"/>
          <w:szCs w:val="22"/>
        </w:rPr>
        <w:t>7</w:t>
      </w:r>
      <w:r w:rsidR="00A36539">
        <w:rPr>
          <w:sz w:val="22"/>
          <w:szCs w:val="22"/>
        </w:rPr>
        <w:t xml:space="preserve"> </w:t>
      </w:r>
      <w:r w:rsidR="00F56524">
        <w:rPr>
          <w:sz w:val="22"/>
          <w:szCs w:val="22"/>
        </w:rPr>
        <w:t xml:space="preserve">dle </w:t>
      </w:r>
      <w:r w:rsidR="00A36539">
        <w:rPr>
          <w:sz w:val="22"/>
          <w:szCs w:val="22"/>
        </w:rPr>
        <w:t xml:space="preserve">bodu </w:t>
      </w:r>
      <w:r w:rsidR="00C421F3">
        <w:rPr>
          <w:sz w:val="22"/>
          <w:szCs w:val="22"/>
        </w:rPr>
        <w:t>3.</w:t>
      </w:r>
      <w:r w:rsidR="00A36539">
        <w:rPr>
          <w:sz w:val="22"/>
          <w:szCs w:val="22"/>
        </w:rPr>
        <w:t>1</w:t>
      </w:r>
      <w:r w:rsidR="002F5545">
        <w:rPr>
          <w:sz w:val="22"/>
          <w:szCs w:val="22"/>
        </w:rPr>
        <w:t>- 3.3</w:t>
      </w:r>
      <w:r w:rsidR="008D184D">
        <w:rPr>
          <w:sz w:val="22"/>
          <w:szCs w:val="22"/>
        </w:rPr>
        <w:t xml:space="preserve"> </w:t>
      </w:r>
      <w:r w:rsidR="00A36539">
        <w:rPr>
          <w:sz w:val="22"/>
          <w:szCs w:val="22"/>
        </w:rPr>
        <w:t>této smlouvy.</w:t>
      </w:r>
    </w:p>
    <w:p w14:paraId="574FFB9C" w14:textId="77777777" w:rsidR="002B442E" w:rsidRPr="00E87685" w:rsidRDefault="008D184D" w:rsidP="007A018B">
      <w:pPr>
        <w:numPr>
          <w:ilvl w:val="1"/>
          <w:numId w:val="4"/>
        </w:numPr>
        <w:tabs>
          <w:tab w:val="num" w:pos="567"/>
        </w:tabs>
        <w:ind w:left="567" w:hanging="567"/>
        <w:rPr>
          <w:b/>
        </w:rPr>
      </w:pPr>
      <w:r>
        <w:rPr>
          <w:sz w:val="22"/>
          <w:szCs w:val="22"/>
        </w:rPr>
        <w:t xml:space="preserve">Místem plnění je </w:t>
      </w:r>
      <w:r w:rsidR="00747495">
        <w:rPr>
          <w:sz w:val="22"/>
          <w:szCs w:val="22"/>
        </w:rPr>
        <w:t xml:space="preserve">sídlo </w:t>
      </w:r>
      <w:r w:rsidR="00267943">
        <w:rPr>
          <w:sz w:val="22"/>
          <w:szCs w:val="22"/>
        </w:rPr>
        <w:t>objednatel</w:t>
      </w:r>
      <w:r w:rsidR="00D2143A">
        <w:rPr>
          <w:sz w:val="22"/>
          <w:szCs w:val="22"/>
        </w:rPr>
        <w:t>e</w:t>
      </w:r>
      <w:r w:rsidR="00747495">
        <w:rPr>
          <w:sz w:val="22"/>
          <w:szCs w:val="22"/>
        </w:rPr>
        <w:t>.</w:t>
      </w:r>
    </w:p>
    <w:p w14:paraId="7E128653" w14:textId="77777777" w:rsidR="0013053F" w:rsidRDefault="0013053F" w:rsidP="00B0132B">
      <w:pPr>
        <w:outlineLvl w:val="0"/>
        <w:rPr>
          <w:b/>
        </w:rPr>
      </w:pPr>
    </w:p>
    <w:p w14:paraId="3A3DE2EA" w14:textId="77777777" w:rsidR="00AF61E7" w:rsidRPr="00625912" w:rsidRDefault="00AF61E7" w:rsidP="00AF61E7">
      <w:pPr>
        <w:jc w:val="center"/>
        <w:outlineLvl w:val="0"/>
        <w:rPr>
          <w:b/>
        </w:rPr>
      </w:pPr>
      <w:r>
        <w:rPr>
          <w:b/>
        </w:rPr>
        <w:t>V</w:t>
      </w:r>
      <w:r w:rsidRPr="00625912">
        <w:rPr>
          <w:b/>
        </w:rPr>
        <w:t>.</w:t>
      </w:r>
    </w:p>
    <w:p w14:paraId="7337013F" w14:textId="77777777" w:rsidR="00AF61E7" w:rsidRDefault="00AF61E7" w:rsidP="00AF61E7">
      <w:pPr>
        <w:jc w:val="center"/>
      </w:pPr>
      <w:r>
        <w:rPr>
          <w:b/>
        </w:rPr>
        <w:t>Cena</w:t>
      </w:r>
    </w:p>
    <w:p w14:paraId="27B82074" w14:textId="77777777" w:rsidR="0013053F" w:rsidRPr="00D416AF" w:rsidRDefault="0013053F" w:rsidP="00AF61E7">
      <w:pPr>
        <w:rPr>
          <w:sz w:val="22"/>
          <w:szCs w:val="22"/>
        </w:rPr>
      </w:pPr>
    </w:p>
    <w:p w14:paraId="184EB5A7" w14:textId="2A21EF5C" w:rsidR="00AF61E7" w:rsidRPr="004E39F3" w:rsidRDefault="0024039E" w:rsidP="007A018B">
      <w:pPr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rPr>
          <w:sz w:val="22"/>
          <w:szCs w:val="22"/>
        </w:rPr>
      </w:pPr>
      <w:r w:rsidRPr="0024039E">
        <w:rPr>
          <w:sz w:val="22"/>
          <w:szCs w:val="22"/>
        </w:rPr>
        <w:t xml:space="preserve">Cena za poskytování služeb je stanovena cenovou nabídkou poskytovatele, která byla součástí nabídky </w:t>
      </w:r>
      <w:r w:rsidRPr="004E39F3">
        <w:rPr>
          <w:sz w:val="22"/>
          <w:szCs w:val="22"/>
        </w:rPr>
        <w:t>uchazeče k veřejné zakázce „</w:t>
      </w:r>
      <w:r w:rsidR="00AE3708" w:rsidRPr="004E39F3">
        <w:rPr>
          <w:sz w:val="22"/>
          <w:szCs w:val="22"/>
        </w:rPr>
        <w:t>Rozvoj a údržba VERSO a OBD</w:t>
      </w:r>
      <w:r w:rsidRPr="004E39F3">
        <w:rPr>
          <w:sz w:val="22"/>
          <w:szCs w:val="22"/>
        </w:rPr>
        <w:t>“</w:t>
      </w:r>
      <w:r w:rsidR="00AF61E7" w:rsidRPr="004E39F3">
        <w:rPr>
          <w:sz w:val="22"/>
          <w:szCs w:val="22"/>
        </w:rPr>
        <w:t>.</w:t>
      </w:r>
    </w:p>
    <w:p w14:paraId="1E9B91D9" w14:textId="53940005" w:rsidR="0024039E" w:rsidRPr="004E39F3" w:rsidRDefault="005A5FC4" w:rsidP="007A018B">
      <w:pPr>
        <w:numPr>
          <w:ilvl w:val="1"/>
          <w:numId w:val="7"/>
        </w:numPr>
        <w:tabs>
          <w:tab w:val="clear" w:pos="360"/>
          <w:tab w:val="num" w:pos="540"/>
        </w:tabs>
        <w:ind w:left="540" w:hanging="540"/>
        <w:rPr>
          <w:b/>
          <w:sz w:val="22"/>
          <w:szCs w:val="22"/>
        </w:rPr>
      </w:pPr>
      <w:r w:rsidRPr="004E39F3">
        <w:rPr>
          <w:sz w:val="22"/>
          <w:szCs w:val="22"/>
        </w:rPr>
        <w:t>C</w:t>
      </w:r>
      <w:r w:rsidR="00AF61E7" w:rsidRPr="004E39F3">
        <w:rPr>
          <w:sz w:val="22"/>
          <w:szCs w:val="22"/>
        </w:rPr>
        <w:t xml:space="preserve">ena </w:t>
      </w:r>
      <w:r w:rsidRPr="004E39F3">
        <w:rPr>
          <w:sz w:val="22"/>
          <w:szCs w:val="22"/>
        </w:rPr>
        <w:t>služeb</w:t>
      </w:r>
      <w:r w:rsidR="0024039E" w:rsidRPr="004E39F3">
        <w:rPr>
          <w:sz w:val="22"/>
          <w:szCs w:val="22"/>
        </w:rPr>
        <w:t xml:space="preserve"> je bez DPH </w:t>
      </w:r>
      <w:r w:rsidR="004E39F3" w:rsidRPr="004E39F3">
        <w:rPr>
          <w:b/>
          <w:sz w:val="22"/>
          <w:szCs w:val="22"/>
        </w:rPr>
        <w:t>1.650.089</w:t>
      </w:r>
      <w:r w:rsidR="0024039E" w:rsidRPr="004E39F3" w:rsidDel="004C0C0E">
        <w:rPr>
          <w:sz w:val="22"/>
          <w:szCs w:val="22"/>
        </w:rPr>
        <w:t xml:space="preserve"> </w:t>
      </w:r>
      <w:r w:rsidR="0024039E" w:rsidRPr="004E39F3">
        <w:rPr>
          <w:b/>
          <w:sz w:val="22"/>
          <w:szCs w:val="22"/>
        </w:rPr>
        <w:t>Kč</w:t>
      </w:r>
      <w:r w:rsidR="0024039E" w:rsidRPr="004E39F3">
        <w:rPr>
          <w:sz w:val="22"/>
          <w:szCs w:val="22"/>
        </w:rPr>
        <w:t>, samostatně (21%)</w:t>
      </w:r>
      <w:r w:rsidR="0013053F" w:rsidRPr="004E39F3">
        <w:rPr>
          <w:sz w:val="22"/>
          <w:szCs w:val="22"/>
        </w:rPr>
        <w:t xml:space="preserve"> </w:t>
      </w:r>
      <w:r w:rsidR="0024039E" w:rsidRPr="004E39F3">
        <w:rPr>
          <w:sz w:val="22"/>
          <w:szCs w:val="22"/>
        </w:rPr>
        <w:t>DPH</w:t>
      </w:r>
      <w:r w:rsidR="004E39F3" w:rsidRPr="004E39F3">
        <w:rPr>
          <w:i/>
          <w:sz w:val="22"/>
          <w:szCs w:val="22"/>
        </w:rPr>
        <w:t xml:space="preserve"> </w:t>
      </w:r>
      <w:r w:rsidR="004E39F3" w:rsidRPr="004E39F3">
        <w:rPr>
          <w:b/>
          <w:sz w:val="22"/>
          <w:szCs w:val="22"/>
        </w:rPr>
        <w:t>346.519</w:t>
      </w:r>
      <w:r w:rsidR="00AC60A5" w:rsidRPr="004E39F3">
        <w:rPr>
          <w:b/>
          <w:sz w:val="22"/>
          <w:szCs w:val="22"/>
        </w:rPr>
        <w:t xml:space="preserve"> </w:t>
      </w:r>
      <w:r w:rsidR="0024039E" w:rsidRPr="004E39F3">
        <w:rPr>
          <w:b/>
          <w:sz w:val="22"/>
          <w:szCs w:val="22"/>
        </w:rPr>
        <w:t>Kč</w:t>
      </w:r>
      <w:r w:rsidR="0024039E" w:rsidRPr="004E39F3">
        <w:rPr>
          <w:sz w:val="22"/>
          <w:szCs w:val="22"/>
        </w:rPr>
        <w:t>,</w:t>
      </w:r>
    </w:p>
    <w:p w14:paraId="513704ED" w14:textId="455BC96E" w:rsidR="0024039E" w:rsidRDefault="0024039E" w:rsidP="0024039E">
      <w:pPr>
        <w:ind w:left="540"/>
        <w:rPr>
          <w:sz w:val="22"/>
          <w:szCs w:val="22"/>
        </w:rPr>
      </w:pPr>
      <w:r w:rsidRPr="004E39F3">
        <w:rPr>
          <w:sz w:val="22"/>
          <w:szCs w:val="22"/>
        </w:rPr>
        <w:t>a včetně DPH</w:t>
      </w:r>
      <w:r w:rsidRPr="004E39F3">
        <w:rPr>
          <w:i/>
          <w:sz w:val="22"/>
          <w:szCs w:val="22"/>
        </w:rPr>
        <w:t xml:space="preserve"> </w:t>
      </w:r>
      <w:r w:rsidR="004E39F3" w:rsidRPr="004E39F3">
        <w:rPr>
          <w:b/>
          <w:sz w:val="22"/>
          <w:szCs w:val="22"/>
        </w:rPr>
        <w:t>1.996.608</w:t>
      </w:r>
      <w:r w:rsidR="002E411E" w:rsidRPr="004E39F3">
        <w:rPr>
          <w:b/>
          <w:sz w:val="22"/>
          <w:szCs w:val="22"/>
        </w:rPr>
        <w:t xml:space="preserve"> </w:t>
      </w:r>
      <w:r w:rsidRPr="004E39F3">
        <w:rPr>
          <w:b/>
          <w:sz w:val="22"/>
          <w:szCs w:val="22"/>
        </w:rPr>
        <w:t>Kč</w:t>
      </w:r>
      <w:r w:rsidR="004E39F3">
        <w:rPr>
          <w:sz w:val="22"/>
          <w:szCs w:val="22"/>
        </w:rPr>
        <w:t>, tj. celkem slovy</w:t>
      </w:r>
      <w:r w:rsidR="00641E13" w:rsidRPr="004E39F3">
        <w:rPr>
          <w:sz w:val="22"/>
          <w:szCs w:val="22"/>
        </w:rPr>
        <w:t xml:space="preserve"> </w:t>
      </w:r>
      <w:r w:rsidR="004E39F3" w:rsidRPr="004E39F3">
        <w:rPr>
          <w:sz w:val="22"/>
          <w:szCs w:val="22"/>
        </w:rPr>
        <w:t>jeden milion devět set devadesát šest tisíc šest set osm k</w:t>
      </w:r>
      <w:r w:rsidRPr="004E39F3">
        <w:rPr>
          <w:sz w:val="22"/>
          <w:szCs w:val="22"/>
        </w:rPr>
        <w:t>orun českých. DPH bude vyúčtována v souladu s platným zněním zákona č. 235/2004 Sb., o dani z přidané hodnoty</w:t>
      </w:r>
    </w:p>
    <w:p w14:paraId="46C4E2CC" w14:textId="77777777" w:rsidR="00AF61E7" w:rsidRDefault="00AF61E7" w:rsidP="0061088A">
      <w:pPr>
        <w:ind w:left="540"/>
        <w:rPr>
          <w:sz w:val="22"/>
          <w:szCs w:val="22"/>
        </w:rPr>
      </w:pPr>
    </w:p>
    <w:p w14:paraId="1BB0A042" w14:textId="77777777" w:rsidR="0013053F" w:rsidRDefault="0013053F" w:rsidP="0061088A">
      <w:pPr>
        <w:ind w:left="540"/>
        <w:rPr>
          <w:sz w:val="22"/>
          <w:szCs w:val="22"/>
        </w:rPr>
      </w:pPr>
    </w:p>
    <w:p w14:paraId="6200BA13" w14:textId="77777777" w:rsidR="0013053F" w:rsidRDefault="0013053F" w:rsidP="0061088A">
      <w:pPr>
        <w:ind w:left="540"/>
        <w:rPr>
          <w:sz w:val="22"/>
          <w:szCs w:val="22"/>
        </w:rPr>
      </w:pPr>
    </w:p>
    <w:p w14:paraId="0A3D78C4" w14:textId="77777777" w:rsidR="002975AE" w:rsidRDefault="002975AE" w:rsidP="00AF61E7">
      <w:pPr>
        <w:rPr>
          <w:color w:val="FF00FF"/>
          <w:sz w:val="22"/>
          <w:szCs w:val="22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168"/>
        <w:gridCol w:w="1689"/>
        <w:gridCol w:w="1468"/>
        <w:gridCol w:w="1963"/>
      </w:tblGrid>
      <w:tr w:rsidR="00C643AE" w14:paraId="6CD1D553" w14:textId="77777777" w:rsidTr="00641E13">
        <w:trPr>
          <w:jc w:val="center"/>
        </w:trPr>
        <w:tc>
          <w:tcPr>
            <w:tcW w:w="2244" w:type="pct"/>
            <w:vAlign w:val="center"/>
          </w:tcPr>
          <w:p w14:paraId="734EA3B5" w14:textId="77777777" w:rsidR="00C643AE" w:rsidRPr="002E50A5" w:rsidRDefault="00C643AE" w:rsidP="00641E13">
            <w:pPr>
              <w:jc w:val="center"/>
              <w:rPr>
                <w:b/>
                <w:sz w:val="22"/>
                <w:szCs w:val="22"/>
              </w:rPr>
            </w:pPr>
            <w:r w:rsidRPr="002E50A5">
              <w:rPr>
                <w:b/>
                <w:sz w:val="22"/>
                <w:szCs w:val="22"/>
              </w:rPr>
              <w:t>Typ úhrady</w:t>
            </w:r>
          </w:p>
        </w:tc>
        <w:tc>
          <w:tcPr>
            <w:tcW w:w="909" w:type="pct"/>
            <w:vAlign w:val="center"/>
          </w:tcPr>
          <w:p w14:paraId="2AEB52E9" w14:textId="77777777" w:rsidR="00C643AE" w:rsidRPr="002E50A5" w:rsidRDefault="00C643AE" w:rsidP="00641E13">
            <w:pPr>
              <w:jc w:val="center"/>
              <w:rPr>
                <w:b/>
                <w:sz w:val="22"/>
                <w:szCs w:val="22"/>
              </w:rPr>
            </w:pPr>
            <w:r w:rsidRPr="002E50A5">
              <w:rPr>
                <w:b/>
                <w:sz w:val="22"/>
                <w:szCs w:val="22"/>
              </w:rPr>
              <w:t>Cena v Kč celkem bez DPH</w:t>
            </w:r>
          </w:p>
        </w:tc>
        <w:tc>
          <w:tcPr>
            <w:tcW w:w="790" w:type="pct"/>
            <w:vAlign w:val="center"/>
          </w:tcPr>
          <w:p w14:paraId="20D88DBD" w14:textId="77777777" w:rsidR="00C643AE" w:rsidRPr="002E50A5" w:rsidRDefault="00C643AE" w:rsidP="00641E13">
            <w:pPr>
              <w:jc w:val="center"/>
              <w:rPr>
                <w:b/>
                <w:sz w:val="22"/>
                <w:szCs w:val="22"/>
              </w:rPr>
            </w:pPr>
            <w:r w:rsidRPr="002E50A5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1057" w:type="pct"/>
            <w:vAlign w:val="center"/>
          </w:tcPr>
          <w:p w14:paraId="2EC23E03" w14:textId="77777777" w:rsidR="00C643AE" w:rsidRPr="002E50A5" w:rsidRDefault="00C643AE" w:rsidP="00641E13">
            <w:pPr>
              <w:jc w:val="center"/>
              <w:rPr>
                <w:b/>
                <w:sz w:val="22"/>
                <w:szCs w:val="22"/>
              </w:rPr>
            </w:pPr>
            <w:r w:rsidRPr="002E50A5">
              <w:rPr>
                <w:b/>
                <w:sz w:val="22"/>
                <w:szCs w:val="22"/>
              </w:rPr>
              <w:t>Cena s DPH</w:t>
            </w:r>
          </w:p>
        </w:tc>
      </w:tr>
      <w:tr w:rsidR="00723B4F" w14:paraId="11ADC07F" w14:textId="77777777" w:rsidTr="0095332B">
        <w:trPr>
          <w:jc w:val="center"/>
        </w:trPr>
        <w:tc>
          <w:tcPr>
            <w:tcW w:w="2244" w:type="pct"/>
          </w:tcPr>
          <w:p w14:paraId="48F1C1FF" w14:textId="77777777" w:rsidR="00723B4F" w:rsidRPr="002975AE" w:rsidRDefault="00723B4F" w:rsidP="00723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Produkt VERSO – údržba </w:t>
            </w:r>
          </w:p>
        </w:tc>
        <w:tc>
          <w:tcPr>
            <w:tcW w:w="909" w:type="pct"/>
            <w:vAlign w:val="center"/>
          </w:tcPr>
          <w:p w14:paraId="7DAC1C63" w14:textId="7C01FDF0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403.486 Kč</w:t>
            </w:r>
          </w:p>
        </w:tc>
        <w:tc>
          <w:tcPr>
            <w:tcW w:w="790" w:type="pct"/>
            <w:vAlign w:val="center"/>
          </w:tcPr>
          <w:p w14:paraId="4ECA107A" w14:textId="37FCD6A7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84.732 Kč</w:t>
            </w:r>
          </w:p>
        </w:tc>
        <w:tc>
          <w:tcPr>
            <w:tcW w:w="1057" w:type="pct"/>
            <w:vAlign w:val="center"/>
          </w:tcPr>
          <w:p w14:paraId="38E704BE" w14:textId="7C392993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488.218 Kč</w:t>
            </w:r>
          </w:p>
        </w:tc>
      </w:tr>
      <w:tr w:rsidR="00723B4F" w14:paraId="224F7253" w14:textId="77777777" w:rsidTr="0095332B">
        <w:trPr>
          <w:jc w:val="center"/>
        </w:trPr>
        <w:tc>
          <w:tcPr>
            <w:tcW w:w="2244" w:type="pct"/>
          </w:tcPr>
          <w:p w14:paraId="5E12FA35" w14:textId="25EEAAD1" w:rsidR="00723B4F" w:rsidRDefault="00723B4F" w:rsidP="00723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Produkt OBD - údržba</w:t>
            </w:r>
          </w:p>
        </w:tc>
        <w:tc>
          <w:tcPr>
            <w:tcW w:w="909" w:type="pct"/>
            <w:vAlign w:val="center"/>
          </w:tcPr>
          <w:p w14:paraId="19159920" w14:textId="7377CE67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49.703 Kč</w:t>
            </w:r>
          </w:p>
        </w:tc>
        <w:tc>
          <w:tcPr>
            <w:tcW w:w="790" w:type="pct"/>
            <w:vAlign w:val="center"/>
          </w:tcPr>
          <w:p w14:paraId="6CA01A3E" w14:textId="79C38E05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10.438 Kč</w:t>
            </w:r>
          </w:p>
        </w:tc>
        <w:tc>
          <w:tcPr>
            <w:tcW w:w="1057" w:type="pct"/>
            <w:vAlign w:val="center"/>
          </w:tcPr>
          <w:p w14:paraId="551BB083" w14:textId="5E2C4F59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60.141 Kč</w:t>
            </w:r>
          </w:p>
        </w:tc>
      </w:tr>
      <w:tr w:rsidR="00723B4F" w14:paraId="390B6841" w14:textId="77777777" w:rsidTr="0095332B">
        <w:trPr>
          <w:jc w:val="center"/>
        </w:trPr>
        <w:tc>
          <w:tcPr>
            <w:tcW w:w="2244" w:type="pct"/>
          </w:tcPr>
          <w:p w14:paraId="2DDCADFB" w14:textId="56BEFB3E" w:rsidR="00723B4F" w:rsidRDefault="00533115" w:rsidP="00723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Doplňkové služby</w:t>
            </w:r>
          </w:p>
        </w:tc>
        <w:tc>
          <w:tcPr>
            <w:tcW w:w="909" w:type="pct"/>
            <w:vAlign w:val="center"/>
          </w:tcPr>
          <w:p w14:paraId="060B3128" w14:textId="56364D1D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44.900 Kč</w:t>
            </w:r>
          </w:p>
        </w:tc>
        <w:tc>
          <w:tcPr>
            <w:tcW w:w="790" w:type="pct"/>
            <w:vAlign w:val="center"/>
          </w:tcPr>
          <w:p w14:paraId="76697D21" w14:textId="64ECFB25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9.429</w:t>
            </w:r>
          </w:p>
        </w:tc>
        <w:tc>
          <w:tcPr>
            <w:tcW w:w="1057" w:type="pct"/>
            <w:vAlign w:val="center"/>
          </w:tcPr>
          <w:p w14:paraId="47F264A2" w14:textId="726BB745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54.329 Kč</w:t>
            </w:r>
          </w:p>
        </w:tc>
      </w:tr>
      <w:tr w:rsidR="00533115" w14:paraId="0AAD6ECB" w14:textId="77777777" w:rsidTr="0095332B">
        <w:trPr>
          <w:jc w:val="center"/>
        </w:trPr>
        <w:tc>
          <w:tcPr>
            <w:tcW w:w="2244" w:type="pct"/>
          </w:tcPr>
          <w:p w14:paraId="542E92EB" w14:textId="241617B9" w:rsidR="00533115" w:rsidRDefault="00533115" w:rsidP="00723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Rozv</w:t>
            </w:r>
            <w:r w:rsidR="00EE2328">
              <w:rPr>
                <w:sz w:val="22"/>
                <w:szCs w:val="22"/>
              </w:rPr>
              <w:t>oj ekonomických agend – max. 350</w:t>
            </w:r>
            <w:r>
              <w:rPr>
                <w:sz w:val="22"/>
                <w:szCs w:val="22"/>
              </w:rPr>
              <w:t xml:space="preserve"> hodin</w:t>
            </w:r>
          </w:p>
        </w:tc>
        <w:tc>
          <w:tcPr>
            <w:tcW w:w="909" w:type="pct"/>
            <w:vAlign w:val="center"/>
          </w:tcPr>
          <w:p w14:paraId="19C7196A" w14:textId="2D98EEB5" w:rsidR="00533115" w:rsidRPr="007133CC" w:rsidRDefault="0095332B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504.000 Kč</w:t>
            </w:r>
          </w:p>
        </w:tc>
        <w:tc>
          <w:tcPr>
            <w:tcW w:w="790" w:type="pct"/>
            <w:vAlign w:val="center"/>
          </w:tcPr>
          <w:p w14:paraId="0626BB66" w14:textId="5F0A6C72" w:rsidR="00533115" w:rsidRPr="007133CC" w:rsidRDefault="0095332B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105.840 Kč</w:t>
            </w:r>
          </w:p>
        </w:tc>
        <w:tc>
          <w:tcPr>
            <w:tcW w:w="1057" w:type="pct"/>
            <w:vAlign w:val="center"/>
          </w:tcPr>
          <w:p w14:paraId="16EFDAE6" w14:textId="2DEF3153" w:rsidR="00533115" w:rsidRPr="007133CC" w:rsidRDefault="0095332B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609.840 Kč</w:t>
            </w:r>
          </w:p>
        </w:tc>
      </w:tr>
      <w:tr w:rsidR="00723B4F" w14:paraId="1AD91509" w14:textId="77777777" w:rsidTr="0095332B">
        <w:trPr>
          <w:jc w:val="center"/>
        </w:trPr>
        <w:tc>
          <w:tcPr>
            <w:tcW w:w="2244" w:type="pct"/>
          </w:tcPr>
          <w:p w14:paraId="264C36B3" w14:textId="667E53E0" w:rsidR="00723B4F" w:rsidRDefault="00723B4F" w:rsidP="005331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Rozvoj </w:t>
            </w:r>
            <w:r w:rsidR="00533115">
              <w:rPr>
                <w:sz w:val="22"/>
                <w:szCs w:val="22"/>
              </w:rPr>
              <w:t xml:space="preserve">agendy VaV  </w:t>
            </w:r>
            <w:r w:rsidR="00BB1316">
              <w:rPr>
                <w:sz w:val="22"/>
                <w:szCs w:val="22"/>
              </w:rPr>
              <w:t xml:space="preserve">a </w:t>
            </w:r>
            <w:r w:rsidR="00533115">
              <w:rPr>
                <w:sz w:val="22"/>
                <w:szCs w:val="22"/>
              </w:rPr>
              <w:t>inovace</w:t>
            </w:r>
            <w:r>
              <w:rPr>
                <w:sz w:val="22"/>
                <w:szCs w:val="22"/>
              </w:rPr>
              <w:t xml:space="preserve"> – max. </w:t>
            </w:r>
            <w:r w:rsidR="00EE2328"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 xml:space="preserve"> hodin</w:t>
            </w:r>
          </w:p>
        </w:tc>
        <w:tc>
          <w:tcPr>
            <w:tcW w:w="909" w:type="pct"/>
            <w:vAlign w:val="center"/>
          </w:tcPr>
          <w:p w14:paraId="54DB4612" w14:textId="4C4403CF" w:rsidR="00723B4F" w:rsidRPr="007133CC" w:rsidRDefault="0095332B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648.000 Kč</w:t>
            </w:r>
          </w:p>
        </w:tc>
        <w:tc>
          <w:tcPr>
            <w:tcW w:w="790" w:type="pct"/>
            <w:vAlign w:val="center"/>
          </w:tcPr>
          <w:p w14:paraId="7B1C0098" w14:textId="6853010D" w:rsidR="00723B4F" w:rsidRPr="007133CC" w:rsidRDefault="0095332B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136.080 Kč</w:t>
            </w:r>
          </w:p>
        </w:tc>
        <w:tc>
          <w:tcPr>
            <w:tcW w:w="1057" w:type="pct"/>
            <w:vAlign w:val="center"/>
          </w:tcPr>
          <w:p w14:paraId="7C4FC22C" w14:textId="46A1E4FE" w:rsidR="00723B4F" w:rsidRPr="007133CC" w:rsidRDefault="0095332B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784.080 Kč</w:t>
            </w:r>
          </w:p>
        </w:tc>
      </w:tr>
      <w:tr w:rsidR="00723B4F" w14:paraId="741BD141" w14:textId="77777777" w:rsidTr="0095332B">
        <w:trPr>
          <w:jc w:val="center"/>
        </w:trPr>
        <w:tc>
          <w:tcPr>
            <w:tcW w:w="2244" w:type="pct"/>
          </w:tcPr>
          <w:p w14:paraId="1508C846" w14:textId="77777777" w:rsidR="00723B4F" w:rsidRPr="002975AE" w:rsidRDefault="00723B4F" w:rsidP="00723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cena zakázky</w:t>
            </w:r>
          </w:p>
        </w:tc>
        <w:tc>
          <w:tcPr>
            <w:tcW w:w="909" w:type="pct"/>
            <w:vAlign w:val="center"/>
          </w:tcPr>
          <w:p w14:paraId="0CF7DC48" w14:textId="2962C36F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1.650.089 Kč</w:t>
            </w:r>
          </w:p>
        </w:tc>
        <w:tc>
          <w:tcPr>
            <w:tcW w:w="790" w:type="pct"/>
            <w:vAlign w:val="center"/>
          </w:tcPr>
          <w:p w14:paraId="1BCA6823" w14:textId="4CF04C6B" w:rsidR="00723B4F" w:rsidRPr="007133CC" w:rsidRDefault="004E39F3" w:rsidP="0095332B">
            <w:pPr>
              <w:tabs>
                <w:tab w:val="left" w:pos="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346.519 Kč</w:t>
            </w:r>
          </w:p>
        </w:tc>
        <w:tc>
          <w:tcPr>
            <w:tcW w:w="1057" w:type="pct"/>
            <w:vAlign w:val="center"/>
          </w:tcPr>
          <w:p w14:paraId="3F09C01C" w14:textId="39B08F92" w:rsidR="00723B4F" w:rsidRPr="007133CC" w:rsidRDefault="004E39F3" w:rsidP="0095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1.996.608 Kč</w:t>
            </w:r>
          </w:p>
        </w:tc>
      </w:tr>
    </w:tbl>
    <w:p w14:paraId="6A3797B5" w14:textId="77777777" w:rsidR="002975AE" w:rsidRDefault="002975AE" w:rsidP="00AF61E7">
      <w:pPr>
        <w:rPr>
          <w:color w:val="FF00FF"/>
          <w:sz w:val="22"/>
          <w:szCs w:val="22"/>
        </w:rPr>
      </w:pPr>
    </w:p>
    <w:p w14:paraId="71C3E693" w14:textId="77777777" w:rsidR="00071431" w:rsidRDefault="00071431" w:rsidP="00AF61E7">
      <w:pPr>
        <w:rPr>
          <w:color w:val="FF00FF"/>
          <w:sz w:val="22"/>
          <w:szCs w:val="22"/>
        </w:rPr>
      </w:pPr>
    </w:p>
    <w:p w14:paraId="03717DDB" w14:textId="77777777" w:rsidR="00AF61E7" w:rsidRPr="00071431" w:rsidRDefault="00AF61E7" w:rsidP="00324061">
      <w:pPr>
        <w:keepNext/>
        <w:jc w:val="center"/>
        <w:outlineLvl w:val="0"/>
        <w:rPr>
          <w:b/>
        </w:rPr>
      </w:pPr>
      <w:r w:rsidRPr="00071431">
        <w:rPr>
          <w:b/>
        </w:rPr>
        <w:t>VI.</w:t>
      </w:r>
    </w:p>
    <w:p w14:paraId="33F5F621" w14:textId="77777777" w:rsidR="00AF61E7" w:rsidRDefault="00AF61E7" w:rsidP="00324061">
      <w:pPr>
        <w:keepNext/>
        <w:jc w:val="center"/>
      </w:pPr>
      <w:r>
        <w:rPr>
          <w:b/>
        </w:rPr>
        <w:t>Platební podmínky</w:t>
      </w:r>
    </w:p>
    <w:p w14:paraId="7DF012F9" w14:textId="77777777" w:rsidR="00AF61E7" w:rsidRPr="00D416AF" w:rsidRDefault="00AF61E7" w:rsidP="00324061">
      <w:pPr>
        <w:keepNext/>
        <w:rPr>
          <w:sz w:val="22"/>
          <w:szCs w:val="22"/>
        </w:rPr>
      </w:pPr>
    </w:p>
    <w:p w14:paraId="7E14C321" w14:textId="2EBEAAA6" w:rsidR="007218C8" w:rsidRDefault="00AF61E7" w:rsidP="007A018B">
      <w:pPr>
        <w:numPr>
          <w:ilvl w:val="1"/>
          <w:numId w:val="6"/>
        </w:numPr>
        <w:tabs>
          <w:tab w:val="clear" w:pos="644"/>
          <w:tab w:val="num" w:pos="0"/>
          <w:tab w:val="num" w:pos="284"/>
        </w:tabs>
        <w:ind w:left="567" w:hanging="567"/>
        <w:jc w:val="both"/>
        <w:rPr>
          <w:sz w:val="22"/>
          <w:szCs w:val="22"/>
        </w:rPr>
      </w:pPr>
      <w:r w:rsidRPr="00244DEB">
        <w:rPr>
          <w:sz w:val="22"/>
          <w:szCs w:val="22"/>
        </w:rPr>
        <w:t>Úhrada ceny</w:t>
      </w:r>
      <w:r w:rsidR="005A5FC4">
        <w:rPr>
          <w:sz w:val="22"/>
          <w:szCs w:val="22"/>
        </w:rPr>
        <w:t xml:space="preserve"> </w:t>
      </w:r>
      <w:r w:rsidR="00244DEB" w:rsidRPr="00244DEB">
        <w:rPr>
          <w:sz w:val="22"/>
          <w:szCs w:val="22"/>
        </w:rPr>
        <w:t xml:space="preserve">za plnění dle článku 3.1 </w:t>
      </w:r>
      <w:r w:rsidR="004D3AF4">
        <w:rPr>
          <w:sz w:val="22"/>
          <w:szCs w:val="22"/>
        </w:rPr>
        <w:t>a 3.2</w:t>
      </w:r>
      <w:r w:rsidRPr="00244DEB">
        <w:rPr>
          <w:sz w:val="22"/>
          <w:szCs w:val="22"/>
        </w:rPr>
        <w:t xml:space="preserve"> bude uskutečněna</w:t>
      </w:r>
      <w:r w:rsidR="008F4BAA" w:rsidRPr="00244DEB">
        <w:rPr>
          <w:sz w:val="22"/>
          <w:szCs w:val="22"/>
        </w:rPr>
        <w:t xml:space="preserve"> na základě faktur</w:t>
      </w:r>
      <w:r w:rsidR="004D3AF4">
        <w:rPr>
          <w:sz w:val="22"/>
          <w:szCs w:val="22"/>
        </w:rPr>
        <w:t>y</w:t>
      </w:r>
      <w:r w:rsidRPr="00244DEB">
        <w:rPr>
          <w:sz w:val="22"/>
          <w:szCs w:val="22"/>
        </w:rPr>
        <w:t xml:space="preserve"> vystaven</w:t>
      </w:r>
      <w:r w:rsidR="004D3AF4">
        <w:rPr>
          <w:sz w:val="22"/>
          <w:szCs w:val="22"/>
        </w:rPr>
        <w:t>é</w:t>
      </w:r>
      <w:r w:rsidR="008F4BAA" w:rsidRPr="00244DEB">
        <w:rPr>
          <w:sz w:val="22"/>
          <w:szCs w:val="22"/>
        </w:rPr>
        <w:t xml:space="preserve"> </w:t>
      </w:r>
      <w:r w:rsidR="004D3AF4" w:rsidRPr="00986247">
        <w:rPr>
          <w:sz w:val="22"/>
          <w:szCs w:val="22"/>
        </w:rPr>
        <w:t>po</w:t>
      </w:r>
      <w:r w:rsidR="00670D7C">
        <w:rPr>
          <w:sz w:val="22"/>
          <w:szCs w:val="22"/>
        </w:rPr>
        <w:t xml:space="preserve"> </w:t>
      </w:r>
      <w:r w:rsidR="00A27555">
        <w:rPr>
          <w:sz w:val="22"/>
          <w:szCs w:val="22"/>
        </w:rPr>
        <w:t>podpisu smlouvy</w:t>
      </w:r>
      <w:r w:rsidR="008F4BAA" w:rsidRPr="00986247">
        <w:rPr>
          <w:sz w:val="22"/>
          <w:szCs w:val="22"/>
        </w:rPr>
        <w:t>.</w:t>
      </w:r>
      <w:r w:rsidR="008F4BAA" w:rsidRPr="00244DEB">
        <w:rPr>
          <w:sz w:val="22"/>
          <w:szCs w:val="22"/>
        </w:rPr>
        <w:t xml:space="preserve"> </w:t>
      </w:r>
    </w:p>
    <w:p w14:paraId="7D8EBFBF" w14:textId="77777777" w:rsidR="00244DEB" w:rsidRPr="007218C8" w:rsidRDefault="00244DEB" w:rsidP="007A018B">
      <w:pPr>
        <w:numPr>
          <w:ilvl w:val="1"/>
          <w:numId w:val="6"/>
        </w:numPr>
        <w:tabs>
          <w:tab w:val="clear" w:pos="644"/>
          <w:tab w:val="num" w:pos="284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Úhrada ceny za plnění dle článku 3.</w:t>
      </w:r>
      <w:r w:rsidR="004D3AF4">
        <w:rPr>
          <w:sz w:val="22"/>
          <w:szCs w:val="22"/>
        </w:rPr>
        <w:t>3</w:t>
      </w:r>
      <w:r>
        <w:rPr>
          <w:sz w:val="22"/>
          <w:szCs w:val="22"/>
        </w:rPr>
        <w:t xml:space="preserve"> bude uskutečněna na z</w:t>
      </w:r>
      <w:r w:rsidR="008258A4">
        <w:rPr>
          <w:sz w:val="22"/>
          <w:szCs w:val="22"/>
        </w:rPr>
        <w:t>ákladě skutečně provedené práce</w:t>
      </w:r>
      <w:r>
        <w:rPr>
          <w:sz w:val="22"/>
          <w:szCs w:val="22"/>
        </w:rPr>
        <w:t xml:space="preserve">, </w:t>
      </w:r>
      <w:r w:rsidR="007218C8">
        <w:rPr>
          <w:sz w:val="22"/>
          <w:szCs w:val="22"/>
        </w:rPr>
        <w:t>po vzájemném odsouhlasení oběma stranami</w:t>
      </w:r>
      <w:r w:rsidR="00330052">
        <w:rPr>
          <w:sz w:val="22"/>
          <w:szCs w:val="22"/>
        </w:rPr>
        <w:t>,</w:t>
      </w:r>
      <w:r w:rsidR="007218C8">
        <w:rPr>
          <w:sz w:val="22"/>
          <w:szCs w:val="22"/>
        </w:rPr>
        <w:t xml:space="preserve"> na základě</w:t>
      </w:r>
      <w:r w:rsidR="008258A4">
        <w:rPr>
          <w:sz w:val="22"/>
          <w:szCs w:val="22"/>
        </w:rPr>
        <w:t xml:space="preserve"> vystavených</w:t>
      </w:r>
      <w:r w:rsidR="007218C8">
        <w:rPr>
          <w:sz w:val="22"/>
          <w:szCs w:val="22"/>
        </w:rPr>
        <w:t xml:space="preserve"> faktur</w:t>
      </w:r>
      <w:r>
        <w:rPr>
          <w:sz w:val="22"/>
          <w:szCs w:val="22"/>
        </w:rPr>
        <w:t xml:space="preserve">. </w:t>
      </w:r>
    </w:p>
    <w:p w14:paraId="685EFED7" w14:textId="77777777" w:rsidR="00244DEB" w:rsidRPr="007218C8" w:rsidRDefault="007218C8" w:rsidP="007A018B">
      <w:pPr>
        <w:numPr>
          <w:ilvl w:val="1"/>
          <w:numId w:val="6"/>
        </w:numPr>
        <w:tabs>
          <w:tab w:val="clear" w:pos="644"/>
          <w:tab w:val="num" w:pos="284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Faktury budou splatné</w:t>
      </w:r>
      <w:r w:rsidR="00AF61E7">
        <w:rPr>
          <w:sz w:val="22"/>
          <w:szCs w:val="22"/>
        </w:rPr>
        <w:t xml:space="preserve"> do 30 dnů od jejího doručení </w:t>
      </w:r>
      <w:r w:rsidR="00267943">
        <w:rPr>
          <w:sz w:val="22"/>
          <w:szCs w:val="22"/>
        </w:rPr>
        <w:t>objednatel</w:t>
      </w:r>
      <w:r w:rsidR="00D2143A">
        <w:rPr>
          <w:sz w:val="22"/>
          <w:szCs w:val="22"/>
        </w:rPr>
        <w:t>i</w:t>
      </w:r>
      <w:r w:rsidR="00AF61E7">
        <w:rPr>
          <w:sz w:val="22"/>
          <w:szCs w:val="22"/>
        </w:rPr>
        <w:t xml:space="preserve"> za předpokladu, že faktura bude mít všechny náležitosti daňového dokladu</w:t>
      </w:r>
      <w:r w:rsidR="00E41A9C">
        <w:rPr>
          <w:sz w:val="22"/>
          <w:szCs w:val="22"/>
        </w:rPr>
        <w:t>, platby budou probíhat výhradně v CZK</w:t>
      </w:r>
      <w:r w:rsidR="00AF61E7">
        <w:rPr>
          <w:sz w:val="22"/>
          <w:szCs w:val="22"/>
        </w:rPr>
        <w:t xml:space="preserve">. </w:t>
      </w:r>
    </w:p>
    <w:p w14:paraId="1F637312" w14:textId="77777777" w:rsidR="00AF61E7" w:rsidRDefault="00AF61E7" w:rsidP="007A018B">
      <w:pPr>
        <w:numPr>
          <w:ilvl w:val="1"/>
          <w:numId w:val="6"/>
        </w:numPr>
        <w:tabs>
          <w:tab w:val="clear" w:pos="644"/>
          <w:tab w:val="num" w:pos="284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platby </w:t>
      </w:r>
      <w:r w:rsidR="00BE40A2" w:rsidRPr="00BE40A2">
        <w:rPr>
          <w:sz w:val="22"/>
          <w:szCs w:val="22"/>
        </w:rPr>
        <w:t xml:space="preserve">ze strany </w:t>
      </w:r>
      <w:r w:rsidR="002865B9">
        <w:rPr>
          <w:sz w:val="22"/>
          <w:szCs w:val="22"/>
        </w:rPr>
        <w:t>objednatele</w:t>
      </w:r>
      <w:r w:rsidR="00BE40A2" w:rsidRPr="00BE40A2">
        <w:rPr>
          <w:sz w:val="22"/>
          <w:szCs w:val="22"/>
        </w:rPr>
        <w:t xml:space="preserve"> </w:t>
      </w:r>
      <w:r>
        <w:rPr>
          <w:sz w:val="22"/>
          <w:szCs w:val="22"/>
        </w:rPr>
        <w:t>se sjednávají úroky z prodlení ve výši 0,</w:t>
      </w:r>
      <w:r w:rsidR="000F1DEB">
        <w:rPr>
          <w:sz w:val="22"/>
          <w:szCs w:val="22"/>
        </w:rPr>
        <w:t>0</w:t>
      </w:r>
      <w:r>
        <w:rPr>
          <w:sz w:val="22"/>
          <w:szCs w:val="22"/>
        </w:rPr>
        <w:t xml:space="preserve">5 </w:t>
      </w:r>
      <w:r w:rsidRPr="002554BE">
        <w:rPr>
          <w:sz w:val="22"/>
          <w:szCs w:val="22"/>
        </w:rPr>
        <w:t>% z</w:t>
      </w:r>
      <w:r>
        <w:rPr>
          <w:sz w:val="22"/>
          <w:szCs w:val="22"/>
        </w:rPr>
        <w:t> </w:t>
      </w:r>
      <w:r w:rsidRPr="002554BE">
        <w:rPr>
          <w:sz w:val="22"/>
          <w:szCs w:val="22"/>
        </w:rPr>
        <w:t>nezaplacen</w:t>
      </w:r>
      <w:r w:rsidR="00EA7B5E">
        <w:rPr>
          <w:sz w:val="22"/>
          <w:szCs w:val="22"/>
        </w:rPr>
        <w:t>é částky za každý den prodlení</w:t>
      </w:r>
      <w:r w:rsidR="00460331">
        <w:rPr>
          <w:sz w:val="22"/>
          <w:szCs w:val="22"/>
        </w:rPr>
        <w:t>.</w:t>
      </w:r>
    </w:p>
    <w:p w14:paraId="454241C5" w14:textId="77777777" w:rsidR="00AF61E7" w:rsidRDefault="00884CE8" w:rsidP="00AF61E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E2004E" w14:textId="77777777" w:rsidR="00D02CF7" w:rsidRDefault="00D02CF7" w:rsidP="00AF61E7">
      <w:pPr>
        <w:rPr>
          <w:sz w:val="22"/>
          <w:szCs w:val="22"/>
        </w:rPr>
      </w:pPr>
    </w:p>
    <w:p w14:paraId="0E326CBB" w14:textId="77777777" w:rsidR="00933FF3" w:rsidRPr="00D416AF" w:rsidRDefault="00933FF3" w:rsidP="00AF61E7">
      <w:pPr>
        <w:rPr>
          <w:sz w:val="22"/>
          <w:szCs w:val="22"/>
        </w:rPr>
      </w:pPr>
    </w:p>
    <w:p w14:paraId="3F8204D8" w14:textId="77777777" w:rsidR="00AF61E7" w:rsidRPr="00625912" w:rsidRDefault="003F5354" w:rsidP="00AF61E7">
      <w:pPr>
        <w:jc w:val="center"/>
        <w:outlineLvl w:val="0"/>
        <w:rPr>
          <w:b/>
        </w:rPr>
      </w:pPr>
      <w:r>
        <w:rPr>
          <w:b/>
        </w:rPr>
        <w:t>VII</w:t>
      </w:r>
      <w:r w:rsidR="00AF61E7" w:rsidRPr="00625912">
        <w:rPr>
          <w:b/>
        </w:rPr>
        <w:t>.</w:t>
      </w:r>
    </w:p>
    <w:p w14:paraId="7A00B42C" w14:textId="77777777" w:rsidR="00AF61E7" w:rsidRDefault="0061088A" w:rsidP="00AF61E7">
      <w:pPr>
        <w:jc w:val="center"/>
        <w:rPr>
          <w:b/>
        </w:rPr>
      </w:pPr>
      <w:r w:rsidRPr="0061088A">
        <w:rPr>
          <w:b/>
        </w:rPr>
        <w:t>Sankční a další ustanovení</w:t>
      </w:r>
    </w:p>
    <w:p w14:paraId="080CF6CC" w14:textId="77777777" w:rsidR="00AF61E7" w:rsidRPr="00D416AF" w:rsidRDefault="00AF61E7" w:rsidP="00AF61E7">
      <w:pPr>
        <w:rPr>
          <w:sz w:val="22"/>
          <w:szCs w:val="22"/>
        </w:rPr>
      </w:pPr>
    </w:p>
    <w:p w14:paraId="7464987E" w14:textId="68C9E61C" w:rsidR="00F516A9" w:rsidRDefault="0061088A" w:rsidP="007A018B">
      <w:pPr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6B1B36">
        <w:rPr>
          <w:sz w:val="22"/>
          <w:szCs w:val="22"/>
        </w:rPr>
        <w:t xml:space="preserve">Pokud bude </w:t>
      </w:r>
      <w:r w:rsidR="000D6258">
        <w:rPr>
          <w:sz w:val="22"/>
          <w:szCs w:val="22"/>
        </w:rPr>
        <w:t>poskytovatel</w:t>
      </w:r>
      <w:r w:rsidRPr="006B1B36">
        <w:rPr>
          <w:sz w:val="22"/>
          <w:szCs w:val="22"/>
        </w:rPr>
        <w:t xml:space="preserve"> v prodlení </w:t>
      </w:r>
      <w:r w:rsidR="007218C8">
        <w:rPr>
          <w:sz w:val="22"/>
          <w:szCs w:val="22"/>
        </w:rPr>
        <w:t xml:space="preserve">s poskytováním </w:t>
      </w:r>
      <w:r w:rsidR="00684977" w:rsidRPr="006B1B36">
        <w:rPr>
          <w:sz w:val="22"/>
          <w:szCs w:val="22"/>
        </w:rPr>
        <w:t>servisní podpor</w:t>
      </w:r>
      <w:r w:rsidR="007218C8">
        <w:rPr>
          <w:sz w:val="22"/>
          <w:szCs w:val="22"/>
        </w:rPr>
        <w:t>y</w:t>
      </w:r>
      <w:r w:rsidRPr="006B1B36">
        <w:rPr>
          <w:sz w:val="22"/>
          <w:szCs w:val="22"/>
        </w:rPr>
        <w:t xml:space="preserve">, </w:t>
      </w:r>
      <w:r w:rsidR="007B5A89" w:rsidRPr="006B1B36">
        <w:rPr>
          <w:sz w:val="22"/>
          <w:szCs w:val="22"/>
        </w:rPr>
        <w:t>tak jak je uvedeno v bodě</w:t>
      </w:r>
      <w:r w:rsidR="007218C8">
        <w:rPr>
          <w:sz w:val="22"/>
          <w:szCs w:val="22"/>
        </w:rPr>
        <w:t xml:space="preserve"> 3.2</w:t>
      </w:r>
      <w:r w:rsidR="004D3AF4">
        <w:rPr>
          <w:sz w:val="22"/>
          <w:szCs w:val="22"/>
        </w:rPr>
        <w:t xml:space="preserve"> a)</w:t>
      </w:r>
      <w:r w:rsidR="00C31C0F" w:rsidRPr="006B1B36">
        <w:rPr>
          <w:sz w:val="22"/>
          <w:szCs w:val="22"/>
        </w:rPr>
        <w:t xml:space="preserve">, </w:t>
      </w:r>
      <w:r w:rsidRPr="006B1B36">
        <w:rPr>
          <w:sz w:val="22"/>
          <w:szCs w:val="22"/>
        </w:rPr>
        <w:t xml:space="preserve">je povinen zaplatit </w:t>
      </w:r>
      <w:r w:rsidR="00267943">
        <w:rPr>
          <w:sz w:val="22"/>
          <w:szCs w:val="22"/>
        </w:rPr>
        <w:t>objednatel</w:t>
      </w:r>
      <w:r w:rsidR="00D2143A">
        <w:rPr>
          <w:sz w:val="22"/>
          <w:szCs w:val="22"/>
        </w:rPr>
        <w:t>i</w:t>
      </w:r>
      <w:r w:rsidRPr="006B1B36">
        <w:rPr>
          <w:sz w:val="22"/>
          <w:szCs w:val="22"/>
        </w:rPr>
        <w:t xml:space="preserve"> smluvní pokutu ve výši </w:t>
      </w:r>
      <w:r w:rsidR="00C643AE">
        <w:rPr>
          <w:sz w:val="22"/>
          <w:szCs w:val="22"/>
        </w:rPr>
        <w:t>1</w:t>
      </w:r>
      <w:r w:rsidR="00066701">
        <w:rPr>
          <w:sz w:val="22"/>
          <w:szCs w:val="22"/>
        </w:rPr>
        <w:t xml:space="preserve"> 000</w:t>
      </w:r>
      <w:r w:rsidRPr="006B1B36">
        <w:rPr>
          <w:sz w:val="22"/>
          <w:szCs w:val="22"/>
        </w:rPr>
        <w:t xml:space="preserve"> Kč za každý </w:t>
      </w:r>
      <w:r w:rsidR="00F516A9">
        <w:rPr>
          <w:sz w:val="22"/>
          <w:szCs w:val="22"/>
        </w:rPr>
        <w:t xml:space="preserve">jednotlivý </w:t>
      </w:r>
      <w:r w:rsidR="00684977" w:rsidRPr="006B1B36">
        <w:rPr>
          <w:sz w:val="22"/>
          <w:szCs w:val="22"/>
        </w:rPr>
        <w:t>případ</w:t>
      </w:r>
      <w:r w:rsidR="00747495">
        <w:rPr>
          <w:sz w:val="22"/>
          <w:szCs w:val="22"/>
        </w:rPr>
        <w:t xml:space="preserve"> a každý</w:t>
      </w:r>
      <w:r w:rsidR="00F516A9">
        <w:rPr>
          <w:sz w:val="22"/>
          <w:szCs w:val="22"/>
        </w:rPr>
        <w:t xml:space="preserve"> i</w:t>
      </w:r>
      <w:r w:rsidR="00747495">
        <w:rPr>
          <w:sz w:val="22"/>
          <w:szCs w:val="22"/>
        </w:rPr>
        <w:t xml:space="preserve"> </w:t>
      </w:r>
      <w:r w:rsidR="00F516A9">
        <w:rPr>
          <w:sz w:val="22"/>
          <w:szCs w:val="22"/>
        </w:rPr>
        <w:t xml:space="preserve">započatý </w:t>
      </w:r>
      <w:r w:rsidR="00747495">
        <w:rPr>
          <w:sz w:val="22"/>
          <w:szCs w:val="22"/>
        </w:rPr>
        <w:t>den prodlení</w:t>
      </w:r>
    </w:p>
    <w:p w14:paraId="523B164E" w14:textId="77777777" w:rsidR="00F516A9" w:rsidRPr="002E50A5" w:rsidRDefault="00F516A9" w:rsidP="007A018B">
      <w:pPr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2E50A5">
        <w:rPr>
          <w:sz w:val="22"/>
          <w:szCs w:val="22"/>
        </w:rPr>
        <w:t>Smluvní strany vylučují použití ust. § 2050 NOZ.</w:t>
      </w:r>
    </w:p>
    <w:p w14:paraId="799F8753" w14:textId="77777777" w:rsidR="0061088A" w:rsidRDefault="0061088A" w:rsidP="007A018B">
      <w:pPr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Splatnost </w:t>
      </w:r>
      <w:r w:rsidR="00BE40A2" w:rsidRPr="00BE40A2">
        <w:rPr>
          <w:sz w:val="22"/>
          <w:szCs w:val="22"/>
        </w:rPr>
        <w:t xml:space="preserve">smluvních pokut je do 14ti dnů od doručení daňového dokladu vystaveného </w:t>
      </w:r>
      <w:r w:rsidR="002865B9">
        <w:rPr>
          <w:sz w:val="22"/>
          <w:szCs w:val="22"/>
        </w:rPr>
        <w:t>objednatelem</w:t>
      </w:r>
      <w:r w:rsidR="00BE40A2" w:rsidRPr="00BE40A2">
        <w:rPr>
          <w:sz w:val="22"/>
          <w:szCs w:val="22"/>
        </w:rPr>
        <w:t xml:space="preserve">. Pokud je </w:t>
      </w:r>
      <w:r w:rsidR="005A5FC4">
        <w:rPr>
          <w:sz w:val="22"/>
          <w:szCs w:val="22"/>
        </w:rPr>
        <w:t>poskytovatel</w:t>
      </w:r>
      <w:r w:rsidR="00BE40A2" w:rsidRPr="00BE40A2">
        <w:rPr>
          <w:sz w:val="22"/>
          <w:szCs w:val="22"/>
        </w:rPr>
        <w:t xml:space="preserve"> v prodlení s placením smluvní pokuty, je povinen zaplatit </w:t>
      </w:r>
      <w:r w:rsidR="002865B9">
        <w:rPr>
          <w:sz w:val="22"/>
          <w:szCs w:val="22"/>
        </w:rPr>
        <w:t>objednateli</w:t>
      </w:r>
      <w:r w:rsidR="00BE40A2" w:rsidRPr="00BE40A2">
        <w:rPr>
          <w:sz w:val="22"/>
          <w:szCs w:val="22"/>
        </w:rPr>
        <w:t xml:space="preserve"> úrok z prodlení ve výši 0,05% z neuhrazené smluvní pokuty za každý den prodlení. Písemné oznámení o uplatnění smluvní pokuty musí vždy obsahovat popis a časové určení události, která v souladu s uzavřenou smlouvou zakládá oprávnění </w:t>
      </w:r>
      <w:r w:rsidR="002865B9">
        <w:rPr>
          <w:sz w:val="22"/>
          <w:szCs w:val="22"/>
        </w:rPr>
        <w:t>objednatele</w:t>
      </w:r>
      <w:r w:rsidR="00BE40A2" w:rsidRPr="00BE40A2">
        <w:rPr>
          <w:sz w:val="22"/>
          <w:szCs w:val="22"/>
        </w:rPr>
        <w:t xml:space="preserve"> účtovat smluvní pokutu. Oznámení musí dále obsahovat informaci o způsobu úhrady smluvní pokuty</w:t>
      </w:r>
      <w:r>
        <w:rPr>
          <w:sz w:val="22"/>
          <w:szCs w:val="22"/>
        </w:rPr>
        <w:t>.</w:t>
      </w:r>
    </w:p>
    <w:p w14:paraId="7817811F" w14:textId="77777777" w:rsidR="004D3AF4" w:rsidRDefault="004D3AF4" w:rsidP="007A018B">
      <w:pPr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Závazky smluvních stran:</w:t>
      </w:r>
    </w:p>
    <w:p w14:paraId="38C179C6" w14:textId="77777777" w:rsidR="004D3AF4" w:rsidRPr="00262459" w:rsidRDefault="000D6258" w:rsidP="007A018B">
      <w:pPr>
        <w:pStyle w:val="Odstavecseseznamem"/>
        <w:numPr>
          <w:ilvl w:val="0"/>
          <w:numId w:val="15"/>
        </w:numPr>
        <w:ind w:left="567" w:hanging="567"/>
        <w:rPr>
          <w:sz w:val="22"/>
        </w:rPr>
      </w:pPr>
      <w:r w:rsidRPr="00262459">
        <w:rPr>
          <w:sz w:val="22"/>
        </w:rPr>
        <w:t>Poskytovatel</w:t>
      </w:r>
      <w:r w:rsidR="004D3AF4" w:rsidRPr="00262459">
        <w:rPr>
          <w:sz w:val="22"/>
        </w:rPr>
        <w:t xml:space="preserve"> se zavazuje:</w:t>
      </w:r>
    </w:p>
    <w:p w14:paraId="71696FFA" w14:textId="77777777" w:rsidR="004D3AF4" w:rsidRPr="00262459" w:rsidRDefault="004D3AF4" w:rsidP="007A018B">
      <w:pPr>
        <w:pStyle w:val="Odstavecseseznamem"/>
        <w:numPr>
          <w:ilvl w:val="0"/>
          <w:numId w:val="16"/>
        </w:numPr>
        <w:ind w:left="851" w:hanging="284"/>
        <w:jc w:val="both"/>
        <w:rPr>
          <w:sz w:val="22"/>
        </w:rPr>
      </w:pPr>
      <w:r w:rsidRPr="00262459">
        <w:rPr>
          <w:sz w:val="22"/>
        </w:rPr>
        <w:t>dodržet podmínky uvedené v této Smlouvě a jejích přílohách;</w:t>
      </w:r>
    </w:p>
    <w:p w14:paraId="74F9BBDC" w14:textId="77777777" w:rsidR="004D3AF4" w:rsidRPr="00262459" w:rsidRDefault="004D3AF4" w:rsidP="007A018B">
      <w:pPr>
        <w:pStyle w:val="Odstavecseseznamem"/>
        <w:numPr>
          <w:ilvl w:val="0"/>
          <w:numId w:val="16"/>
        </w:numPr>
        <w:ind w:left="851" w:hanging="284"/>
        <w:jc w:val="both"/>
        <w:rPr>
          <w:sz w:val="22"/>
        </w:rPr>
      </w:pPr>
      <w:r w:rsidRPr="00262459">
        <w:rPr>
          <w:sz w:val="22"/>
        </w:rPr>
        <w:t xml:space="preserve">zachovat mlčenlivost o všech informacích, se kterými při provádění servisní podpory dle této Smlouvy u </w:t>
      </w:r>
      <w:r w:rsidR="00267943" w:rsidRPr="00262459">
        <w:rPr>
          <w:sz w:val="22"/>
        </w:rPr>
        <w:t>objednatel</w:t>
      </w:r>
      <w:r w:rsidR="00D2143A" w:rsidRPr="00262459">
        <w:rPr>
          <w:sz w:val="22"/>
        </w:rPr>
        <w:t>e</w:t>
      </w:r>
      <w:r w:rsidRPr="00262459">
        <w:rPr>
          <w:sz w:val="22"/>
        </w:rPr>
        <w:t xml:space="preserve"> přišel do styku, a postupovat při provádění podpory vždy tak, aby zachoval bezpečnost a důvěrnost všech dat, jež mu </w:t>
      </w:r>
      <w:r w:rsidR="00267943" w:rsidRPr="00262459">
        <w:rPr>
          <w:sz w:val="22"/>
        </w:rPr>
        <w:t>objednatel</w:t>
      </w:r>
      <w:r w:rsidRPr="00262459">
        <w:rPr>
          <w:sz w:val="22"/>
        </w:rPr>
        <w:t xml:space="preserve"> v souvislosti s prováděním servisní podpory dle této Smlouvy poskytl. Povinnost mlčenlivosti trvá i po ukončení této Smlouvy;</w:t>
      </w:r>
    </w:p>
    <w:p w14:paraId="2BA8D272" w14:textId="77777777" w:rsidR="004D3AF4" w:rsidRPr="00262459" w:rsidRDefault="004D3AF4" w:rsidP="007A018B">
      <w:pPr>
        <w:pStyle w:val="Odstavecseseznamem"/>
        <w:numPr>
          <w:ilvl w:val="0"/>
          <w:numId w:val="16"/>
        </w:numPr>
        <w:ind w:left="851" w:hanging="284"/>
        <w:jc w:val="both"/>
        <w:rPr>
          <w:sz w:val="22"/>
        </w:rPr>
      </w:pPr>
      <w:r w:rsidRPr="00262459">
        <w:rPr>
          <w:sz w:val="22"/>
        </w:rPr>
        <w:t xml:space="preserve">postupovat při nakládání s osobními údaji v souladu se zákonem č. 101/2000 Sb., o ochraně osobních údajů; </w:t>
      </w:r>
    </w:p>
    <w:p w14:paraId="069E2C12" w14:textId="77777777" w:rsidR="004D3AF4" w:rsidRPr="00262459" w:rsidRDefault="000D6258" w:rsidP="007A018B">
      <w:pPr>
        <w:pStyle w:val="Odstavecseseznamem"/>
        <w:numPr>
          <w:ilvl w:val="0"/>
          <w:numId w:val="16"/>
        </w:numPr>
        <w:ind w:left="851" w:hanging="284"/>
        <w:jc w:val="both"/>
        <w:rPr>
          <w:sz w:val="22"/>
        </w:rPr>
      </w:pPr>
      <w:r w:rsidRPr="00262459">
        <w:rPr>
          <w:sz w:val="22"/>
        </w:rPr>
        <w:lastRenderedPageBreak/>
        <w:t>Poskytovatel</w:t>
      </w:r>
      <w:r w:rsidR="004D3AF4" w:rsidRPr="00262459">
        <w:rPr>
          <w:sz w:val="22"/>
        </w:rPr>
        <w:t xml:space="preserve"> odpovídá pouze za služby výslovně uvedené a předplacené </w:t>
      </w:r>
      <w:r w:rsidR="00267943" w:rsidRPr="00262459">
        <w:rPr>
          <w:sz w:val="22"/>
        </w:rPr>
        <w:t>objednatel</w:t>
      </w:r>
      <w:r w:rsidR="00D2143A" w:rsidRPr="00262459">
        <w:rPr>
          <w:sz w:val="22"/>
        </w:rPr>
        <w:t>e</w:t>
      </w:r>
      <w:r w:rsidR="00912015" w:rsidRPr="00262459">
        <w:rPr>
          <w:sz w:val="22"/>
        </w:rPr>
        <w:t>m</w:t>
      </w:r>
      <w:r w:rsidR="004D3AF4" w:rsidRPr="00262459">
        <w:rPr>
          <w:sz w:val="22"/>
        </w:rPr>
        <w:t xml:space="preserve"> v rámci této Smlouvy; </w:t>
      </w:r>
    </w:p>
    <w:p w14:paraId="7D0D5B0B" w14:textId="2B9B6554" w:rsidR="004D3AF4" w:rsidRPr="00262459" w:rsidRDefault="004D3AF4" w:rsidP="007A018B">
      <w:pPr>
        <w:pStyle w:val="Odstavecseseznamem"/>
        <w:numPr>
          <w:ilvl w:val="0"/>
          <w:numId w:val="16"/>
        </w:numPr>
        <w:ind w:left="851" w:hanging="284"/>
        <w:jc w:val="both"/>
        <w:rPr>
          <w:sz w:val="22"/>
        </w:rPr>
      </w:pPr>
      <w:r w:rsidRPr="00262459">
        <w:rPr>
          <w:sz w:val="22"/>
        </w:rPr>
        <w:t>Smluvní strany sjednávají, že za maximálně předvídatelnou výši škody (tj. skutečná škoda a</w:t>
      </w:r>
      <w:r w:rsidR="00641E13">
        <w:rPr>
          <w:sz w:val="22"/>
        </w:rPr>
        <w:t> </w:t>
      </w:r>
      <w:r w:rsidRPr="00262459">
        <w:rPr>
          <w:sz w:val="22"/>
        </w:rPr>
        <w:t xml:space="preserve">ušlý zisk), jež by mohla v souvislosti s touto Smlouvou </w:t>
      </w:r>
      <w:r w:rsidR="00267943" w:rsidRPr="00262459">
        <w:rPr>
          <w:sz w:val="22"/>
        </w:rPr>
        <w:t>objednatel</w:t>
      </w:r>
      <w:r w:rsidR="00D2143A" w:rsidRPr="00262459">
        <w:rPr>
          <w:sz w:val="22"/>
        </w:rPr>
        <w:t>i</w:t>
      </w:r>
      <w:r w:rsidRPr="00262459">
        <w:rPr>
          <w:sz w:val="22"/>
        </w:rPr>
        <w:t xml:space="preserve"> vzniknout, považují částku odpovídající sjednané ceně za roční mimozáruční servisní podporu uhrazenou </w:t>
      </w:r>
      <w:r w:rsidR="00267943" w:rsidRPr="00262459">
        <w:rPr>
          <w:sz w:val="22"/>
        </w:rPr>
        <w:t>objednatel</w:t>
      </w:r>
      <w:r w:rsidR="00D2143A" w:rsidRPr="00262459">
        <w:rPr>
          <w:sz w:val="22"/>
        </w:rPr>
        <w:t>e</w:t>
      </w:r>
      <w:r w:rsidR="00912015" w:rsidRPr="00262459">
        <w:rPr>
          <w:sz w:val="22"/>
        </w:rPr>
        <w:t>m</w:t>
      </w:r>
      <w:r w:rsidRPr="00262459">
        <w:rPr>
          <w:sz w:val="22"/>
        </w:rPr>
        <w:t xml:space="preserve">. Škoda, jež mohla být Smluvními stranami předvídána, tak v žádném případě nepřevýší tuto částku. </w:t>
      </w:r>
      <w:r w:rsidR="000D6258" w:rsidRPr="00262459">
        <w:rPr>
          <w:sz w:val="22"/>
        </w:rPr>
        <w:t>Poskytovatel</w:t>
      </w:r>
      <w:r w:rsidRPr="00262459">
        <w:rPr>
          <w:sz w:val="22"/>
        </w:rPr>
        <w:t xml:space="preserve"> tak odpovídá </w:t>
      </w:r>
      <w:r w:rsidR="00267943" w:rsidRPr="00262459">
        <w:rPr>
          <w:sz w:val="22"/>
        </w:rPr>
        <w:t>objednatel</w:t>
      </w:r>
      <w:r w:rsidR="00D2143A" w:rsidRPr="00262459">
        <w:rPr>
          <w:sz w:val="22"/>
        </w:rPr>
        <w:t>i</w:t>
      </w:r>
      <w:r w:rsidRPr="00262459">
        <w:rPr>
          <w:sz w:val="22"/>
        </w:rPr>
        <w:t xml:space="preserve"> za jakoukoliv škodu vzniklou v souvislosti s touto Smlouvou pouze do výše této ceny.</w:t>
      </w:r>
    </w:p>
    <w:p w14:paraId="046AB128" w14:textId="77777777" w:rsidR="004D3AF4" w:rsidRPr="00262459" w:rsidRDefault="00267943" w:rsidP="007A018B">
      <w:pPr>
        <w:pStyle w:val="Odstavecseseznamem"/>
        <w:numPr>
          <w:ilvl w:val="0"/>
          <w:numId w:val="15"/>
        </w:numPr>
        <w:ind w:left="567" w:hanging="567"/>
        <w:jc w:val="both"/>
        <w:rPr>
          <w:sz w:val="22"/>
        </w:rPr>
      </w:pPr>
      <w:r w:rsidRPr="00262459">
        <w:rPr>
          <w:sz w:val="22"/>
        </w:rPr>
        <w:t>Objednatel</w:t>
      </w:r>
      <w:r w:rsidR="004D3AF4" w:rsidRPr="00262459">
        <w:rPr>
          <w:sz w:val="22"/>
        </w:rPr>
        <w:t xml:space="preserve"> se v rámci této Smlouvy zavazuje:</w:t>
      </w:r>
    </w:p>
    <w:p w14:paraId="0C1AFE43" w14:textId="77777777" w:rsidR="004D3AF4" w:rsidRPr="00262459" w:rsidRDefault="004D3AF4" w:rsidP="007A018B">
      <w:pPr>
        <w:pStyle w:val="Odstavecseseznamem"/>
        <w:numPr>
          <w:ilvl w:val="0"/>
          <w:numId w:val="17"/>
        </w:numPr>
        <w:ind w:left="851" w:hanging="284"/>
        <w:jc w:val="both"/>
        <w:rPr>
          <w:sz w:val="22"/>
        </w:rPr>
      </w:pPr>
      <w:r w:rsidRPr="00262459">
        <w:rPr>
          <w:sz w:val="22"/>
        </w:rPr>
        <w:t xml:space="preserve">umožnit </w:t>
      </w:r>
      <w:r w:rsidR="00D2143A" w:rsidRPr="00262459">
        <w:rPr>
          <w:sz w:val="22"/>
        </w:rPr>
        <w:t>p</w:t>
      </w:r>
      <w:r w:rsidRPr="00262459">
        <w:rPr>
          <w:sz w:val="22"/>
        </w:rPr>
        <w:t xml:space="preserve">oskytovateli komunikaci s klíčovými pracovníky </w:t>
      </w:r>
      <w:r w:rsidR="00267943" w:rsidRPr="00262459">
        <w:rPr>
          <w:sz w:val="22"/>
        </w:rPr>
        <w:t>objednatel</w:t>
      </w:r>
      <w:r w:rsidR="00B84422" w:rsidRPr="00262459">
        <w:rPr>
          <w:sz w:val="22"/>
        </w:rPr>
        <w:t>e</w:t>
      </w:r>
      <w:r w:rsidRPr="00262459">
        <w:rPr>
          <w:sz w:val="22"/>
        </w:rPr>
        <w:t xml:space="preserve"> a poskytnout všechny další nezbytné informace pro zajištění chodu Produkt</w:t>
      </w:r>
      <w:r w:rsidR="00912015" w:rsidRPr="00262459">
        <w:rPr>
          <w:sz w:val="22"/>
        </w:rPr>
        <w:t>ů</w:t>
      </w:r>
      <w:r w:rsidRPr="00262459">
        <w:rPr>
          <w:sz w:val="22"/>
        </w:rPr>
        <w:t xml:space="preserve"> a plnění povinností </w:t>
      </w:r>
      <w:r w:rsidR="000D6258" w:rsidRPr="00262459">
        <w:rPr>
          <w:sz w:val="22"/>
        </w:rPr>
        <w:t>poskytovatel</w:t>
      </w:r>
      <w:r w:rsidR="00B84422" w:rsidRPr="00262459">
        <w:rPr>
          <w:sz w:val="22"/>
        </w:rPr>
        <w:t>e</w:t>
      </w:r>
      <w:r w:rsidRPr="00262459">
        <w:rPr>
          <w:sz w:val="22"/>
        </w:rPr>
        <w:t xml:space="preserve"> vyplývajících z této Smlouvy;</w:t>
      </w:r>
    </w:p>
    <w:p w14:paraId="029902B2" w14:textId="77777777" w:rsidR="004D3AF4" w:rsidRPr="00262459" w:rsidRDefault="004D3AF4" w:rsidP="007A018B">
      <w:pPr>
        <w:pStyle w:val="Odstavecseseznamem"/>
        <w:numPr>
          <w:ilvl w:val="0"/>
          <w:numId w:val="17"/>
        </w:numPr>
        <w:ind w:left="851" w:hanging="284"/>
        <w:jc w:val="both"/>
        <w:rPr>
          <w:sz w:val="22"/>
        </w:rPr>
      </w:pPr>
      <w:r w:rsidRPr="00262459">
        <w:rPr>
          <w:sz w:val="22"/>
        </w:rPr>
        <w:t xml:space="preserve">spolupracovat při organizaci školení zaměstnanců </w:t>
      </w:r>
      <w:r w:rsidR="00267943" w:rsidRPr="00262459">
        <w:rPr>
          <w:sz w:val="22"/>
        </w:rPr>
        <w:t>objednatel</w:t>
      </w:r>
      <w:r w:rsidR="00B84422" w:rsidRPr="00262459">
        <w:rPr>
          <w:sz w:val="22"/>
        </w:rPr>
        <w:t>e</w:t>
      </w:r>
      <w:r w:rsidRPr="00262459">
        <w:rPr>
          <w:sz w:val="22"/>
        </w:rPr>
        <w:t xml:space="preserve">, pokud si </w:t>
      </w:r>
      <w:r w:rsidR="00267943" w:rsidRPr="00262459">
        <w:rPr>
          <w:sz w:val="22"/>
        </w:rPr>
        <w:t>objednatel</w:t>
      </w:r>
      <w:r w:rsidRPr="00262459">
        <w:rPr>
          <w:sz w:val="22"/>
        </w:rPr>
        <w:t xml:space="preserve"> tuto službu objedná;</w:t>
      </w:r>
    </w:p>
    <w:p w14:paraId="43091C8A" w14:textId="77777777" w:rsidR="004D3AF4" w:rsidRPr="00262459" w:rsidRDefault="004D3AF4" w:rsidP="007A018B">
      <w:pPr>
        <w:pStyle w:val="Odstavecseseznamem"/>
        <w:numPr>
          <w:ilvl w:val="0"/>
          <w:numId w:val="17"/>
        </w:numPr>
        <w:ind w:left="851" w:hanging="284"/>
        <w:jc w:val="both"/>
        <w:rPr>
          <w:sz w:val="22"/>
        </w:rPr>
      </w:pPr>
      <w:r w:rsidRPr="00262459">
        <w:rPr>
          <w:sz w:val="22"/>
        </w:rPr>
        <w:t xml:space="preserve">umožnit realizaci dálkové administrace datového serveru </w:t>
      </w:r>
      <w:r w:rsidR="00267943" w:rsidRPr="00262459">
        <w:rPr>
          <w:sz w:val="22"/>
        </w:rPr>
        <w:t>objednatel</w:t>
      </w:r>
      <w:r w:rsidR="00B84422" w:rsidRPr="00262459">
        <w:rPr>
          <w:sz w:val="22"/>
        </w:rPr>
        <w:t>e</w:t>
      </w:r>
      <w:r w:rsidRPr="00262459">
        <w:rPr>
          <w:sz w:val="22"/>
        </w:rPr>
        <w:t xml:space="preserve">, v případě, že si ji </w:t>
      </w:r>
      <w:r w:rsidR="00267943" w:rsidRPr="00262459">
        <w:rPr>
          <w:sz w:val="22"/>
        </w:rPr>
        <w:t>objednatel</w:t>
      </w:r>
      <w:r w:rsidRPr="00262459">
        <w:rPr>
          <w:sz w:val="22"/>
        </w:rPr>
        <w:t xml:space="preserve"> objedná a poskytnout </w:t>
      </w:r>
      <w:r w:rsidR="000D6258" w:rsidRPr="00262459">
        <w:rPr>
          <w:sz w:val="22"/>
        </w:rPr>
        <w:t>poskytovatel</w:t>
      </w:r>
      <w:r w:rsidR="00B84422" w:rsidRPr="00262459">
        <w:rPr>
          <w:sz w:val="22"/>
        </w:rPr>
        <w:t>i</w:t>
      </w:r>
      <w:r w:rsidRPr="00262459">
        <w:rPr>
          <w:sz w:val="22"/>
        </w:rPr>
        <w:t xml:space="preserve"> veškerou součinnost požadovanou </w:t>
      </w:r>
      <w:r w:rsidR="000D6258" w:rsidRPr="00262459">
        <w:rPr>
          <w:sz w:val="22"/>
        </w:rPr>
        <w:t>poskytovatel</w:t>
      </w:r>
      <w:r w:rsidR="00B84422" w:rsidRPr="00262459">
        <w:rPr>
          <w:sz w:val="22"/>
        </w:rPr>
        <w:t>e</w:t>
      </w:r>
      <w:r w:rsidR="00243128" w:rsidRPr="00262459">
        <w:rPr>
          <w:sz w:val="22"/>
        </w:rPr>
        <w:t>m</w:t>
      </w:r>
      <w:r w:rsidRPr="00262459">
        <w:rPr>
          <w:sz w:val="22"/>
        </w:rPr>
        <w:t xml:space="preserve"> za tímto účelem;</w:t>
      </w:r>
    </w:p>
    <w:p w14:paraId="4F98A49D" w14:textId="77777777" w:rsidR="004D3AF4" w:rsidRPr="00262459" w:rsidRDefault="004D3AF4" w:rsidP="007A018B">
      <w:pPr>
        <w:pStyle w:val="Odstavecseseznamem"/>
        <w:numPr>
          <w:ilvl w:val="0"/>
          <w:numId w:val="17"/>
        </w:numPr>
        <w:ind w:left="851" w:hanging="284"/>
        <w:jc w:val="both"/>
        <w:rPr>
          <w:sz w:val="22"/>
        </w:rPr>
      </w:pPr>
      <w:r w:rsidRPr="00262459">
        <w:rPr>
          <w:sz w:val="22"/>
        </w:rPr>
        <w:t xml:space="preserve">zachovat důvěrnost všech informací, jež mu </w:t>
      </w:r>
      <w:r w:rsidR="000D6258" w:rsidRPr="00262459">
        <w:rPr>
          <w:sz w:val="22"/>
        </w:rPr>
        <w:t>poskytovatel</w:t>
      </w:r>
      <w:r w:rsidRPr="00262459">
        <w:rPr>
          <w:sz w:val="22"/>
        </w:rPr>
        <w:t xml:space="preserve"> v souvislosti s prováděním servisní podpory dle této Smlouvy sdělil. Povinnost mlčenlivosti trvá i po ukončení této Smlouvy</w:t>
      </w:r>
    </w:p>
    <w:p w14:paraId="2DEFFAA5" w14:textId="77777777" w:rsidR="004D3AF4" w:rsidRPr="00243128" w:rsidRDefault="004D3AF4" w:rsidP="00917255">
      <w:pPr>
        <w:jc w:val="both"/>
        <w:rPr>
          <w:sz w:val="22"/>
          <w:szCs w:val="22"/>
        </w:rPr>
      </w:pPr>
    </w:p>
    <w:p w14:paraId="6A6F5D16" w14:textId="77777777" w:rsidR="00933FF3" w:rsidRDefault="00933FF3">
      <w:pPr>
        <w:rPr>
          <w:sz w:val="22"/>
          <w:szCs w:val="22"/>
        </w:rPr>
      </w:pPr>
    </w:p>
    <w:p w14:paraId="4D530A54" w14:textId="77777777" w:rsidR="00AF61E7" w:rsidRPr="001C77CD" w:rsidRDefault="003F5354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VII</w:t>
      </w:r>
      <w:r w:rsidR="000D6258">
        <w:rPr>
          <w:b/>
        </w:rPr>
        <w:t>I</w:t>
      </w:r>
      <w:r w:rsidR="00AF61E7" w:rsidRPr="001C77CD">
        <w:rPr>
          <w:b/>
        </w:rPr>
        <w:t>.</w:t>
      </w:r>
    </w:p>
    <w:p w14:paraId="05C02398" w14:textId="77777777" w:rsidR="00AF61E7" w:rsidRPr="001C77CD" w:rsidRDefault="00AF61E7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jc w:val="center"/>
        <w:rPr>
          <w:b/>
        </w:rPr>
      </w:pPr>
      <w:r w:rsidRPr="001C77CD">
        <w:rPr>
          <w:b/>
        </w:rPr>
        <w:t>Změny smlouvy</w:t>
      </w:r>
    </w:p>
    <w:p w14:paraId="372220FD" w14:textId="77777777" w:rsidR="00AF61E7" w:rsidRPr="00D416AF" w:rsidRDefault="00AF61E7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rPr>
          <w:sz w:val="22"/>
          <w:szCs w:val="22"/>
        </w:rPr>
      </w:pPr>
    </w:p>
    <w:p w14:paraId="3358482D" w14:textId="77777777" w:rsidR="00AF61E7" w:rsidRPr="00D416AF" w:rsidRDefault="00AF61E7" w:rsidP="007A018B">
      <w:pPr>
        <w:widowControl w:val="0"/>
        <w:numPr>
          <w:ilvl w:val="1"/>
          <w:numId w:val="9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D416AF">
        <w:rPr>
          <w:sz w:val="22"/>
          <w:szCs w:val="22"/>
        </w:rPr>
        <w:t xml:space="preserve">Tuto smlouvu lze měnit </w:t>
      </w:r>
      <w:r>
        <w:rPr>
          <w:sz w:val="22"/>
          <w:szCs w:val="22"/>
        </w:rPr>
        <w:t xml:space="preserve">nebo doplňovat </w:t>
      </w:r>
      <w:r w:rsidRPr="00D416AF">
        <w:rPr>
          <w:sz w:val="22"/>
          <w:szCs w:val="22"/>
        </w:rPr>
        <w:t xml:space="preserve">pouze číslovaným písemným oboustranně potvrzeným ujednáním výslovně nazvaným "Dodatek ke smlouvě". </w:t>
      </w:r>
    </w:p>
    <w:p w14:paraId="5CD5BE03" w14:textId="77777777" w:rsidR="00AF61E7" w:rsidRPr="00D416AF" w:rsidRDefault="00AF61E7" w:rsidP="007A018B">
      <w:pPr>
        <w:widowControl w:val="0"/>
        <w:numPr>
          <w:ilvl w:val="1"/>
          <w:numId w:val="9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D416AF">
        <w:rPr>
          <w:sz w:val="22"/>
          <w:szCs w:val="22"/>
        </w:rPr>
        <w:t xml:space="preserve">Nastanou-li u některé ze stran skutečnosti bránící řádnému plnění této smlouvy, je povinna to ihned bez zbytečného odkladu oznámit druhé straně a vyvolat jednání zástupců </w:t>
      </w:r>
      <w:r w:rsidR="00267943">
        <w:rPr>
          <w:sz w:val="22"/>
          <w:szCs w:val="22"/>
        </w:rPr>
        <w:t>objednatel</w:t>
      </w:r>
      <w:r w:rsidR="00D2143A">
        <w:rPr>
          <w:sz w:val="22"/>
          <w:szCs w:val="22"/>
        </w:rPr>
        <w:t>e</w:t>
      </w:r>
      <w:r>
        <w:rPr>
          <w:sz w:val="22"/>
          <w:szCs w:val="22"/>
        </w:rPr>
        <w:t xml:space="preserve"> a </w:t>
      </w:r>
      <w:r w:rsidR="000D6258">
        <w:rPr>
          <w:sz w:val="22"/>
          <w:szCs w:val="22"/>
        </w:rPr>
        <w:t>poskytovatel</w:t>
      </w:r>
      <w:r w:rsidR="00D2143A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0EE766DD" w14:textId="77777777" w:rsidR="00AF61E7" w:rsidRDefault="00D2143A" w:rsidP="007A018B">
      <w:pPr>
        <w:widowControl w:val="0"/>
        <w:numPr>
          <w:ilvl w:val="1"/>
          <w:numId w:val="9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Hodlá</w:t>
      </w:r>
      <w:r w:rsidR="00AF61E7" w:rsidRPr="00D416AF">
        <w:rPr>
          <w:sz w:val="22"/>
          <w:szCs w:val="22"/>
        </w:rPr>
        <w:t xml:space="preserve">-li </w:t>
      </w:r>
      <w:r w:rsidRPr="00D2143A">
        <w:rPr>
          <w:sz w:val="22"/>
          <w:szCs w:val="22"/>
        </w:rPr>
        <w:t xml:space="preserve">některá ze stran od této smlouvy odstoupit na základě ujednání z této smlouvy vyplývajících, je povinna odstoupení doručit druhé straně s uvedením dne, ke kterému od smlouvy odstupuje. V odstoupení musí být dále uveden důvod, pro který strana odstupuje a přesná citace toho zákonného ustanovení nebo bodu smlouvy, který ji k takovému kroku opravňuje. Odstoupením od smlouvy se tato smlouva od počátku ruší. Písemné odstoupení od smlouvy musí být doručeno na adresu sídla smluvní strany, uvedenou v záhlaví této smlouvy, jíž je odstoupení od smlouvy určeno. </w:t>
      </w:r>
      <w:r w:rsidR="00267943">
        <w:rPr>
          <w:sz w:val="22"/>
          <w:szCs w:val="22"/>
        </w:rPr>
        <w:t>Objednatel</w:t>
      </w:r>
      <w:r w:rsidRPr="00D2143A">
        <w:rPr>
          <w:sz w:val="22"/>
          <w:szCs w:val="22"/>
        </w:rPr>
        <w:t xml:space="preserve"> je dále oprávněn doručit poskytovateli jakoukoli písemnost, dle této smlouvy, také na adresu poskytovatele, na níž se poskytovatel dočasně zdržuje, popř. kde má poskytovatel obchodní závod</w:t>
      </w:r>
      <w:r w:rsidR="00AF61E7" w:rsidRPr="00D416AF">
        <w:rPr>
          <w:sz w:val="22"/>
          <w:szCs w:val="22"/>
        </w:rPr>
        <w:t>.</w:t>
      </w:r>
      <w:r w:rsidR="00A6578E">
        <w:rPr>
          <w:sz w:val="22"/>
          <w:szCs w:val="22"/>
        </w:rPr>
        <w:t xml:space="preserve"> </w:t>
      </w:r>
    </w:p>
    <w:p w14:paraId="5E61E3BB" w14:textId="77777777" w:rsidR="00A6578E" w:rsidRPr="0024039E" w:rsidRDefault="00A6578E" w:rsidP="007A018B">
      <w:pPr>
        <w:pStyle w:val="Odstavecseseznamem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24039E">
        <w:rPr>
          <w:sz w:val="22"/>
          <w:szCs w:val="22"/>
        </w:rPr>
        <w:t xml:space="preserve">Výpovědní lhůta činí 3 měsíce a začíná běžet 1. den kalendářního měsíce následujícího po doručení výpovědi druhé Smluvní straně. Smluvní strany po uplynutí výpovědní lhůty provedou vzájemné vyrovnání závazků. Vyrovnání bude provedeno poměrným způsobem, kdy </w:t>
      </w:r>
      <w:r w:rsidR="000D6258" w:rsidRPr="0024039E">
        <w:rPr>
          <w:sz w:val="22"/>
          <w:szCs w:val="22"/>
        </w:rPr>
        <w:t>poskytovatel</w:t>
      </w:r>
      <w:r w:rsidR="00267943" w:rsidRPr="0024039E">
        <w:rPr>
          <w:sz w:val="22"/>
          <w:szCs w:val="22"/>
        </w:rPr>
        <w:t>i</w:t>
      </w:r>
      <w:r w:rsidRPr="0024039E">
        <w:rPr>
          <w:sz w:val="22"/>
          <w:szCs w:val="22"/>
        </w:rPr>
        <w:t xml:space="preserve"> náleží poměrná část z ceny uvedené v kapitole 4.1 Smlouvy za měsíce, ve kterých byla servisní podpora poskytována. Na tuto poměrnou část ceny vystaví Poskytovatel fakturu se 30 denní splatností. V př</w:t>
      </w:r>
      <w:r w:rsidR="00267943" w:rsidRPr="0024039E">
        <w:rPr>
          <w:sz w:val="22"/>
          <w:szCs w:val="22"/>
        </w:rPr>
        <w:t>ípadě, že byla cena dle kapitoly</w:t>
      </w:r>
      <w:r w:rsidRPr="0024039E">
        <w:rPr>
          <w:sz w:val="22"/>
          <w:szCs w:val="22"/>
        </w:rPr>
        <w:t xml:space="preserve"> VI</w:t>
      </w:r>
      <w:r w:rsidR="00267943" w:rsidRPr="0024039E">
        <w:rPr>
          <w:sz w:val="22"/>
          <w:szCs w:val="22"/>
        </w:rPr>
        <w:t>.</w:t>
      </w:r>
      <w:r w:rsidRPr="0024039E">
        <w:rPr>
          <w:sz w:val="22"/>
          <w:szCs w:val="22"/>
        </w:rPr>
        <w:t xml:space="preserve"> Smlouvy </w:t>
      </w:r>
      <w:r w:rsidR="00267943" w:rsidRPr="0024039E">
        <w:rPr>
          <w:sz w:val="22"/>
          <w:szCs w:val="22"/>
        </w:rPr>
        <w:t>objednatele</w:t>
      </w:r>
      <w:r w:rsidRPr="0024039E">
        <w:rPr>
          <w:sz w:val="22"/>
          <w:szCs w:val="22"/>
        </w:rPr>
        <w:t xml:space="preserve">m již uhrazena bude ze strany </w:t>
      </w:r>
      <w:r w:rsidR="000D6258" w:rsidRPr="0024039E">
        <w:rPr>
          <w:sz w:val="22"/>
          <w:szCs w:val="22"/>
        </w:rPr>
        <w:t>poskytovatel</w:t>
      </w:r>
      <w:r w:rsidR="00267943" w:rsidRPr="0024039E">
        <w:rPr>
          <w:sz w:val="22"/>
          <w:szCs w:val="22"/>
        </w:rPr>
        <w:t>e</w:t>
      </w:r>
      <w:r w:rsidRPr="0024039E">
        <w:rPr>
          <w:sz w:val="22"/>
          <w:szCs w:val="22"/>
        </w:rPr>
        <w:t xml:space="preserve"> vystaven Opravný daňový doklad, který bude následně do 30 dnů proplacen.</w:t>
      </w:r>
    </w:p>
    <w:p w14:paraId="6C6A66A8" w14:textId="77777777" w:rsidR="00A6578E" w:rsidRDefault="00A6578E" w:rsidP="009172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F1202F" w14:textId="77777777" w:rsidR="00DC0EC4" w:rsidRDefault="00DC0EC4" w:rsidP="00DC0EC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56C8D4E" w14:textId="77777777" w:rsidR="00AF61E7" w:rsidRDefault="00E45331" w:rsidP="00AF61E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I</w:t>
      </w:r>
      <w:r w:rsidR="00AF61E7">
        <w:rPr>
          <w:b/>
        </w:rPr>
        <w:t>X.</w:t>
      </w:r>
    </w:p>
    <w:p w14:paraId="1075C833" w14:textId="77777777" w:rsidR="00AF61E7" w:rsidRPr="00FD2602" w:rsidRDefault="00AF61E7" w:rsidP="00AF61E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Závěrečná ustanovení</w:t>
      </w:r>
    </w:p>
    <w:p w14:paraId="118DFE5C" w14:textId="77777777" w:rsidR="00AF61E7" w:rsidRPr="00D416AF" w:rsidRDefault="00AF61E7" w:rsidP="00AF61E7">
      <w:pPr>
        <w:widowControl w:val="0"/>
        <w:autoSpaceDE w:val="0"/>
        <w:autoSpaceDN w:val="0"/>
        <w:adjustRightInd w:val="0"/>
        <w:ind w:left="-180"/>
        <w:jc w:val="both"/>
        <w:rPr>
          <w:sz w:val="22"/>
          <w:szCs w:val="22"/>
        </w:rPr>
      </w:pPr>
    </w:p>
    <w:p w14:paraId="00053112" w14:textId="77777777" w:rsidR="00AF61E7" w:rsidRPr="003B7CFC" w:rsidRDefault="00AF61E7" w:rsidP="007A018B">
      <w:pPr>
        <w:widowControl w:val="0"/>
        <w:numPr>
          <w:ilvl w:val="1"/>
          <w:numId w:val="18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D416AF">
        <w:rPr>
          <w:sz w:val="22"/>
          <w:szCs w:val="22"/>
        </w:rPr>
        <w:t>Vztahy, které nejsou upraveny touto Smlouvou</w:t>
      </w:r>
      <w:r w:rsidR="00C31C0F">
        <w:rPr>
          <w:sz w:val="22"/>
          <w:szCs w:val="22"/>
        </w:rPr>
        <w:t>,</w:t>
      </w:r>
      <w:r w:rsidRPr="00D416AF">
        <w:rPr>
          <w:sz w:val="22"/>
          <w:szCs w:val="22"/>
        </w:rPr>
        <w:t xml:space="preserve"> se řídí příslušnými ustanoveními </w:t>
      </w:r>
      <w:r w:rsidR="000D6258" w:rsidRPr="000D6258">
        <w:rPr>
          <w:sz w:val="22"/>
          <w:szCs w:val="22"/>
        </w:rPr>
        <w:t>Zák. č. 89/2012Sb., občanský zákoník, v platném znění.</w:t>
      </w:r>
    </w:p>
    <w:p w14:paraId="62381F28" w14:textId="0B4F1473" w:rsidR="00AF61E7" w:rsidRPr="003B7CFC" w:rsidRDefault="00AF61E7" w:rsidP="007A018B">
      <w:pPr>
        <w:widowControl w:val="0"/>
        <w:numPr>
          <w:ilvl w:val="1"/>
          <w:numId w:val="18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b/>
          <w:sz w:val="22"/>
          <w:szCs w:val="22"/>
        </w:rPr>
      </w:pPr>
      <w:r w:rsidRPr="003B7CFC">
        <w:rPr>
          <w:sz w:val="22"/>
          <w:szCs w:val="22"/>
        </w:rPr>
        <w:t xml:space="preserve">Smlouva je vyhotovena ve </w:t>
      </w:r>
      <w:r w:rsidR="00C421F3">
        <w:rPr>
          <w:sz w:val="22"/>
          <w:szCs w:val="22"/>
        </w:rPr>
        <w:t>4</w:t>
      </w:r>
      <w:r w:rsidRPr="003B7CFC">
        <w:rPr>
          <w:sz w:val="22"/>
          <w:szCs w:val="22"/>
        </w:rPr>
        <w:t xml:space="preserve"> stejnopisech, z nichž </w:t>
      </w:r>
      <w:r w:rsidR="000D6258">
        <w:rPr>
          <w:sz w:val="22"/>
          <w:szCs w:val="22"/>
        </w:rPr>
        <w:t>poskytovatel</w:t>
      </w:r>
      <w:r w:rsidR="002B442E" w:rsidRPr="003B7CFC">
        <w:rPr>
          <w:sz w:val="22"/>
          <w:szCs w:val="22"/>
        </w:rPr>
        <w:t xml:space="preserve"> obdrží po 1 exempláři </w:t>
      </w:r>
      <w:r w:rsidR="002B442E" w:rsidRPr="003B7CFC">
        <w:rPr>
          <w:sz w:val="22"/>
          <w:szCs w:val="22"/>
        </w:rPr>
        <w:lastRenderedPageBreak/>
        <w:t>a</w:t>
      </w:r>
      <w:r w:rsidR="00641E13">
        <w:rPr>
          <w:sz w:val="22"/>
          <w:szCs w:val="22"/>
        </w:rPr>
        <w:t> </w:t>
      </w:r>
      <w:r w:rsidR="00267943">
        <w:rPr>
          <w:sz w:val="22"/>
          <w:szCs w:val="22"/>
        </w:rPr>
        <w:t>objednatel</w:t>
      </w:r>
      <w:r w:rsidRPr="003B7CFC">
        <w:rPr>
          <w:sz w:val="22"/>
          <w:szCs w:val="22"/>
        </w:rPr>
        <w:t xml:space="preserve"> obdrží po </w:t>
      </w:r>
      <w:r w:rsidR="00C421F3">
        <w:rPr>
          <w:sz w:val="22"/>
          <w:szCs w:val="22"/>
        </w:rPr>
        <w:t>3</w:t>
      </w:r>
      <w:r w:rsidRPr="003B7CFC">
        <w:rPr>
          <w:sz w:val="22"/>
          <w:szCs w:val="22"/>
        </w:rPr>
        <w:t> exemplář</w:t>
      </w:r>
      <w:r w:rsidR="002B442E" w:rsidRPr="003B7CFC">
        <w:rPr>
          <w:sz w:val="22"/>
          <w:szCs w:val="22"/>
        </w:rPr>
        <w:t>ích</w:t>
      </w:r>
      <w:r w:rsidRPr="003B7CFC">
        <w:rPr>
          <w:sz w:val="22"/>
          <w:szCs w:val="22"/>
        </w:rPr>
        <w:t>.</w:t>
      </w:r>
    </w:p>
    <w:p w14:paraId="1E103466" w14:textId="77777777" w:rsidR="00AF61E7" w:rsidRPr="003B7CFC" w:rsidRDefault="00AF61E7" w:rsidP="007A018B">
      <w:pPr>
        <w:widowControl w:val="0"/>
        <w:numPr>
          <w:ilvl w:val="1"/>
          <w:numId w:val="18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b/>
          <w:sz w:val="22"/>
          <w:szCs w:val="22"/>
        </w:rPr>
      </w:pPr>
      <w:r w:rsidRPr="003B7CFC">
        <w:rPr>
          <w:sz w:val="22"/>
          <w:szCs w:val="22"/>
        </w:rPr>
        <w:t>Smlouva je platná a účinná ode dne jejího podpisu oběma smluvními stranami.</w:t>
      </w:r>
    </w:p>
    <w:p w14:paraId="6EB6FFD9" w14:textId="16B2661F" w:rsidR="00AF61E7" w:rsidRPr="000D2F32" w:rsidRDefault="00AF61E7" w:rsidP="007A018B">
      <w:pPr>
        <w:widowControl w:val="0"/>
        <w:numPr>
          <w:ilvl w:val="1"/>
          <w:numId w:val="18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b/>
          <w:sz w:val="22"/>
          <w:szCs w:val="22"/>
        </w:rPr>
      </w:pPr>
      <w:r w:rsidRPr="00D416AF">
        <w:rPr>
          <w:sz w:val="22"/>
          <w:szCs w:val="22"/>
        </w:rPr>
        <w:t>Smluvní strany svými níže připojenými podpisy potvrzují, že jsou seznámeny a srozuměny s celým obsahem této smlouvy a že pokud jim z této smlouvy plynou jakékoliv povinnosti či</w:t>
      </w:r>
      <w:r w:rsidR="00641E13">
        <w:rPr>
          <w:sz w:val="22"/>
          <w:szCs w:val="22"/>
        </w:rPr>
        <w:t> </w:t>
      </w:r>
      <w:r w:rsidRPr="00D416AF">
        <w:rPr>
          <w:sz w:val="22"/>
          <w:szCs w:val="22"/>
        </w:rPr>
        <w:t>naopak práva, bez výhrad je přijímají.</w:t>
      </w:r>
    </w:p>
    <w:p w14:paraId="7D821D04" w14:textId="2F281FB1" w:rsidR="000D2F32" w:rsidRPr="00EA1591" w:rsidRDefault="000D6258" w:rsidP="007A018B">
      <w:pPr>
        <w:widowControl w:val="0"/>
        <w:numPr>
          <w:ilvl w:val="1"/>
          <w:numId w:val="18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Poskytovatel</w:t>
      </w:r>
      <w:r w:rsidR="000D2F32">
        <w:rPr>
          <w:sz w:val="22"/>
          <w:szCs w:val="22"/>
        </w:rPr>
        <w:t xml:space="preserve"> prohlašuje, že si je vědom povinnosti, že ve smyslu § 2 písm. e) zákona č.</w:t>
      </w:r>
      <w:r w:rsidR="00641E13">
        <w:rPr>
          <w:sz w:val="22"/>
          <w:szCs w:val="22"/>
        </w:rPr>
        <w:t> </w:t>
      </w:r>
      <w:r w:rsidR="000D2F32">
        <w:rPr>
          <w:sz w:val="22"/>
          <w:szCs w:val="22"/>
        </w:rPr>
        <w:t>320/2001 sb., o finanční kontrole ve veřejné správě a o změně některých zákonů (zákon o</w:t>
      </w:r>
      <w:r w:rsidR="00641E13">
        <w:rPr>
          <w:sz w:val="22"/>
          <w:szCs w:val="22"/>
        </w:rPr>
        <w:t> </w:t>
      </w:r>
      <w:r w:rsidR="000D2F32">
        <w:rPr>
          <w:sz w:val="22"/>
          <w:szCs w:val="22"/>
        </w:rPr>
        <w:t xml:space="preserve">finanční kontrole), ve znění pozdějších předpisů, spolupůsobit při výkonu finanční kontroly. </w:t>
      </w:r>
    </w:p>
    <w:p w14:paraId="03A025F5" w14:textId="12632309" w:rsidR="00EA1591" w:rsidRPr="00EE2328" w:rsidRDefault="000D6258" w:rsidP="007A018B">
      <w:pPr>
        <w:widowControl w:val="0"/>
        <w:numPr>
          <w:ilvl w:val="1"/>
          <w:numId w:val="18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b/>
          <w:sz w:val="22"/>
          <w:szCs w:val="22"/>
        </w:rPr>
      </w:pPr>
      <w:r w:rsidRPr="00D2143A">
        <w:rPr>
          <w:sz w:val="22"/>
          <w:szCs w:val="22"/>
        </w:rPr>
        <w:t>Poskytovatel</w:t>
      </w:r>
      <w:r w:rsidR="00EA1591" w:rsidRPr="00D2143A">
        <w:rPr>
          <w:sz w:val="22"/>
          <w:szCs w:val="22"/>
        </w:rPr>
        <w:t xml:space="preserve"> prohlašuje, že si je vědom povinnosti, kterou má veřejný zadavatel ve smyslu §</w:t>
      </w:r>
      <w:r w:rsidR="00641E13">
        <w:rPr>
          <w:sz w:val="22"/>
          <w:szCs w:val="22"/>
        </w:rPr>
        <w:t> </w:t>
      </w:r>
      <w:r w:rsidR="00EA1591" w:rsidRPr="00D2143A">
        <w:rPr>
          <w:sz w:val="22"/>
          <w:szCs w:val="22"/>
        </w:rPr>
        <w:t>147a  zákona č. 137/2006 Sb., o veřejných zakázkác</w:t>
      </w:r>
      <w:r w:rsidR="00C31C0F" w:rsidRPr="00D2143A">
        <w:rPr>
          <w:sz w:val="22"/>
          <w:szCs w:val="22"/>
        </w:rPr>
        <w:t xml:space="preserve">h ve znění pozdějších předpisů </w:t>
      </w:r>
      <w:r w:rsidR="00EA1591" w:rsidRPr="00D2143A">
        <w:rPr>
          <w:sz w:val="22"/>
          <w:szCs w:val="22"/>
        </w:rPr>
        <w:t>uveřejňovat na profilu zadavatele smlouv</w:t>
      </w:r>
      <w:r w:rsidR="00A81735" w:rsidRPr="00D2143A">
        <w:rPr>
          <w:sz w:val="22"/>
          <w:szCs w:val="22"/>
        </w:rPr>
        <w:t>y</w:t>
      </w:r>
      <w:r w:rsidR="00EA1591" w:rsidRPr="00D2143A">
        <w:rPr>
          <w:sz w:val="22"/>
          <w:szCs w:val="22"/>
        </w:rPr>
        <w:t xml:space="preserve"> uzavřen</w:t>
      </w:r>
      <w:r w:rsidR="00A81735" w:rsidRPr="00D2143A">
        <w:rPr>
          <w:sz w:val="22"/>
          <w:szCs w:val="22"/>
        </w:rPr>
        <w:t>é</w:t>
      </w:r>
      <w:r w:rsidR="00EA1591" w:rsidRPr="00D2143A">
        <w:rPr>
          <w:sz w:val="22"/>
          <w:szCs w:val="22"/>
        </w:rPr>
        <w:t xml:space="preserve"> na veřejn</w:t>
      </w:r>
      <w:r w:rsidR="00A81735" w:rsidRPr="00D2143A">
        <w:rPr>
          <w:sz w:val="22"/>
          <w:szCs w:val="22"/>
        </w:rPr>
        <w:t>é</w:t>
      </w:r>
      <w:r w:rsidR="00EA1591" w:rsidRPr="00D2143A">
        <w:rPr>
          <w:sz w:val="22"/>
          <w:szCs w:val="22"/>
        </w:rPr>
        <w:t xml:space="preserve"> zakázk</w:t>
      </w:r>
      <w:r w:rsidR="00A81735" w:rsidRPr="00D2143A">
        <w:rPr>
          <w:sz w:val="22"/>
          <w:szCs w:val="22"/>
        </w:rPr>
        <w:t>y s vítězem,</w:t>
      </w:r>
      <w:r w:rsidR="00EA1591" w:rsidRPr="00D2143A">
        <w:rPr>
          <w:sz w:val="22"/>
          <w:szCs w:val="22"/>
        </w:rPr>
        <w:t xml:space="preserve"> jejichž cena přesáhne 500 000 Kč bez DPH</w:t>
      </w:r>
      <w:r w:rsidR="00A81735" w:rsidRPr="00D2143A">
        <w:rPr>
          <w:sz w:val="22"/>
          <w:szCs w:val="22"/>
        </w:rPr>
        <w:t xml:space="preserve"> a potvrzuje tímto svojí součinnost a souhlas s uveřejněním</w:t>
      </w:r>
      <w:r w:rsidR="00A81735">
        <w:rPr>
          <w:sz w:val="22"/>
          <w:szCs w:val="22"/>
        </w:rPr>
        <w:t>.</w:t>
      </w:r>
    </w:p>
    <w:p w14:paraId="1D76C060" w14:textId="232D8734" w:rsidR="00EE2328" w:rsidRPr="00EE2328" w:rsidRDefault="00EE2328" w:rsidP="00EE2328">
      <w:pPr>
        <w:widowControl w:val="0"/>
        <w:numPr>
          <w:ilvl w:val="1"/>
          <w:numId w:val="18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EE2328">
        <w:rPr>
          <w:sz w:val="22"/>
          <w:szCs w:val="22"/>
        </w:rPr>
        <w:t>Kupující je povinným subjektem dle zákona č. 340/2015 Sb., o zvláštních podmínkách účinnosti některých smluv, uveřejňování těchto smluv a registru smluv, v platném znění (dále jen „zákon o registru smluv“). Prodávající bere na vědomí a výslovně souhlasí s tím, aby Smlouva byla uveřejněna v souladu se zákonem o registru smluv. Smluvní strany se dohodly, že uveřejnění Smlouvy prostřednictvím registru smluv v souladu se zákonem o registru smluv zajistí Kupující.</w:t>
      </w:r>
    </w:p>
    <w:p w14:paraId="31DCD317" w14:textId="77777777" w:rsidR="00243128" w:rsidRPr="0024039E" w:rsidRDefault="00243128" w:rsidP="007A018B">
      <w:pPr>
        <w:widowControl w:val="0"/>
        <w:numPr>
          <w:ilvl w:val="1"/>
          <w:numId w:val="18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4039E">
        <w:rPr>
          <w:sz w:val="22"/>
          <w:szCs w:val="22"/>
        </w:rPr>
        <w:t xml:space="preserve">Nedílnou součástí této Smlouvy je její </w:t>
      </w:r>
      <w:r w:rsidRPr="002E50A5">
        <w:rPr>
          <w:i/>
          <w:sz w:val="22"/>
          <w:szCs w:val="22"/>
        </w:rPr>
        <w:t>Příloha č. 1 –</w:t>
      </w:r>
      <w:r w:rsidRPr="002E50A5" w:rsidDel="00A30A7A">
        <w:rPr>
          <w:i/>
          <w:sz w:val="22"/>
          <w:szCs w:val="22"/>
        </w:rPr>
        <w:t xml:space="preserve"> </w:t>
      </w:r>
      <w:r w:rsidRPr="002E50A5">
        <w:rPr>
          <w:i/>
          <w:sz w:val="22"/>
          <w:szCs w:val="22"/>
        </w:rPr>
        <w:t xml:space="preserve">Servisní podmínky a Příloha č. 2 – </w:t>
      </w:r>
      <w:r w:rsidR="002865B9" w:rsidRPr="002E50A5">
        <w:rPr>
          <w:i/>
          <w:sz w:val="22"/>
          <w:szCs w:val="22"/>
        </w:rPr>
        <w:t>Cenová nabídka a specifikace</w:t>
      </w:r>
      <w:r w:rsidRPr="002E50A5">
        <w:rPr>
          <w:i/>
          <w:sz w:val="22"/>
          <w:szCs w:val="22"/>
        </w:rPr>
        <w:t>.</w:t>
      </w:r>
      <w:r w:rsidRPr="0024039E">
        <w:rPr>
          <w:sz w:val="22"/>
          <w:szCs w:val="22"/>
        </w:rPr>
        <w:t xml:space="preserve"> </w:t>
      </w:r>
      <w:r w:rsidR="00267943" w:rsidRPr="0024039E">
        <w:rPr>
          <w:sz w:val="22"/>
          <w:szCs w:val="22"/>
        </w:rPr>
        <w:t>Objednatel</w:t>
      </w:r>
      <w:r w:rsidRPr="0024039E">
        <w:rPr>
          <w:sz w:val="22"/>
          <w:szCs w:val="22"/>
        </w:rPr>
        <w:t xml:space="preserve"> výslovně potvrzuje, že je seznámen se Servisními podmínkami i s</w:t>
      </w:r>
      <w:r w:rsidR="002865B9" w:rsidRPr="0024039E">
        <w:rPr>
          <w:sz w:val="22"/>
          <w:szCs w:val="22"/>
        </w:rPr>
        <w:t> Cenovou nabídkou</w:t>
      </w:r>
      <w:r w:rsidRPr="0024039E">
        <w:rPr>
          <w:sz w:val="22"/>
          <w:szCs w:val="22"/>
        </w:rPr>
        <w:t xml:space="preserve"> a podpisem této Smlouvy s nimi vyslovuje svůj souhlas</w:t>
      </w:r>
      <w:r w:rsidR="0024039E">
        <w:rPr>
          <w:sz w:val="22"/>
          <w:szCs w:val="22"/>
        </w:rPr>
        <w:t>.</w:t>
      </w:r>
    </w:p>
    <w:p w14:paraId="7F9ADDD6" w14:textId="77777777" w:rsidR="00AF61E7" w:rsidRDefault="00AF61E7" w:rsidP="00AF61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3D5BB1" w14:textId="77777777" w:rsidR="002431E7" w:rsidRDefault="002431E7" w:rsidP="00AF61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F3865F" w14:textId="77777777" w:rsidR="000654C1" w:rsidRDefault="006F39C0" w:rsidP="0090327C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Příloha č. 1: Servisní podmínky</w:t>
      </w:r>
    </w:p>
    <w:p w14:paraId="0076A1BD" w14:textId="77777777" w:rsidR="00B375C3" w:rsidRPr="007B5A89" w:rsidRDefault="00861F46" w:rsidP="00AF61E7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7133CC">
        <w:rPr>
          <w:b/>
          <w:i/>
          <w:sz w:val="22"/>
          <w:szCs w:val="22"/>
        </w:rPr>
        <w:t>Příloha</w:t>
      </w:r>
      <w:r w:rsidR="006F39C0" w:rsidRPr="007133CC">
        <w:rPr>
          <w:b/>
          <w:i/>
          <w:sz w:val="22"/>
          <w:szCs w:val="22"/>
        </w:rPr>
        <w:t xml:space="preserve"> č. 2</w:t>
      </w:r>
      <w:r w:rsidRPr="007133CC">
        <w:rPr>
          <w:b/>
          <w:i/>
          <w:sz w:val="22"/>
          <w:szCs w:val="22"/>
        </w:rPr>
        <w:t xml:space="preserve">: </w:t>
      </w:r>
      <w:r w:rsidR="006A6CD5" w:rsidRPr="007133CC">
        <w:rPr>
          <w:b/>
          <w:i/>
          <w:sz w:val="22"/>
          <w:szCs w:val="22"/>
        </w:rPr>
        <w:t>Cenová nabídka a specifikace</w:t>
      </w:r>
    </w:p>
    <w:p w14:paraId="62277E1D" w14:textId="77777777" w:rsidR="00B375C3" w:rsidRDefault="00B375C3" w:rsidP="00AF61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1E100E" w14:textId="77777777" w:rsidR="00B375C3" w:rsidRDefault="00B375C3" w:rsidP="00AF61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5AAF25" w14:textId="77777777" w:rsidR="00B375C3" w:rsidRPr="00D416AF" w:rsidRDefault="00B375C3" w:rsidP="00AF61E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FDF1E8" w14:textId="77777777" w:rsidR="007B5A89" w:rsidRPr="00D416AF" w:rsidRDefault="007B5A89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rPr>
          <w:sz w:val="22"/>
          <w:szCs w:val="22"/>
        </w:rPr>
      </w:pPr>
    </w:p>
    <w:p w14:paraId="12365ED3" w14:textId="77777777" w:rsidR="00D4668C" w:rsidRDefault="00D4668C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rPr>
          <w:sz w:val="22"/>
          <w:szCs w:val="22"/>
        </w:rPr>
      </w:pPr>
    </w:p>
    <w:p w14:paraId="4AE07CC6" w14:textId="77777777" w:rsidR="00AF61E7" w:rsidRPr="00D416AF" w:rsidRDefault="00AF61E7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rPr>
          <w:sz w:val="22"/>
          <w:szCs w:val="22"/>
        </w:rPr>
      </w:pPr>
      <w:r w:rsidRPr="00D416AF">
        <w:rPr>
          <w:sz w:val="22"/>
          <w:szCs w:val="22"/>
        </w:rPr>
        <w:t xml:space="preserve">Za </w:t>
      </w:r>
      <w:r w:rsidR="000D6258">
        <w:rPr>
          <w:sz w:val="22"/>
          <w:szCs w:val="22"/>
        </w:rPr>
        <w:t>poskytovatel</w:t>
      </w:r>
      <w:r w:rsidR="00B84422">
        <w:rPr>
          <w:sz w:val="22"/>
          <w:szCs w:val="22"/>
        </w:rPr>
        <w:t>e</w:t>
      </w:r>
      <w:r w:rsidRPr="00D416AF">
        <w:rPr>
          <w:sz w:val="22"/>
          <w:szCs w:val="22"/>
        </w:rPr>
        <w:t>:</w:t>
      </w:r>
    </w:p>
    <w:p w14:paraId="211F93A5" w14:textId="77777777" w:rsidR="00AF61E7" w:rsidRPr="00D416AF" w:rsidRDefault="00AF61E7" w:rsidP="00AF61E7">
      <w:pPr>
        <w:rPr>
          <w:sz w:val="22"/>
          <w:szCs w:val="22"/>
        </w:rPr>
      </w:pPr>
    </w:p>
    <w:p w14:paraId="09D143D3" w14:textId="77777777" w:rsidR="0058152D" w:rsidRDefault="0058152D" w:rsidP="00AF61E7">
      <w:pPr>
        <w:rPr>
          <w:sz w:val="22"/>
          <w:szCs w:val="22"/>
        </w:rPr>
      </w:pPr>
    </w:p>
    <w:p w14:paraId="3C23A6F5" w14:textId="77777777" w:rsidR="0058152D" w:rsidRDefault="0058152D" w:rsidP="00AF61E7">
      <w:pPr>
        <w:rPr>
          <w:sz w:val="22"/>
          <w:szCs w:val="22"/>
        </w:rPr>
      </w:pPr>
    </w:p>
    <w:p w14:paraId="536FE101" w14:textId="17679019" w:rsidR="00AF61E7" w:rsidRPr="00D416AF" w:rsidRDefault="007350FD" w:rsidP="00AF61E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124CDC">
        <w:rPr>
          <w:sz w:val="22"/>
          <w:szCs w:val="22"/>
        </w:rPr>
        <w:t>V</w:t>
      </w:r>
      <w:r>
        <w:rPr>
          <w:sz w:val="22"/>
          <w:szCs w:val="22"/>
        </w:rPr>
        <w:t xml:space="preserve"> Hradci Králové </w:t>
      </w:r>
      <w:r w:rsidR="00AF61E7" w:rsidRPr="00D416AF">
        <w:rPr>
          <w:sz w:val="22"/>
          <w:szCs w:val="22"/>
        </w:rPr>
        <w:t>dne :</w:t>
      </w:r>
    </w:p>
    <w:p w14:paraId="0617C8D2" w14:textId="77777777" w:rsidR="00AF61E7" w:rsidRPr="00D416AF" w:rsidRDefault="00AF61E7" w:rsidP="002618F5">
      <w:pPr>
        <w:rPr>
          <w:sz w:val="22"/>
          <w:szCs w:val="22"/>
        </w:rPr>
      </w:pPr>
      <w:r w:rsidRPr="00D416AF">
        <w:rPr>
          <w:sz w:val="22"/>
          <w:szCs w:val="22"/>
        </w:rPr>
        <w:t>.................................................................</w:t>
      </w:r>
      <w:r w:rsidRPr="00D416AF">
        <w:rPr>
          <w:sz w:val="22"/>
          <w:szCs w:val="22"/>
        </w:rPr>
        <w:tab/>
      </w:r>
      <w:r w:rsidRPr="00D416AF">
        <w:rPr>
          <w:sz w:val="22"/>
          <w:szCs w:val="22"/>
        </w:rPr>
        <w:tab/>
      </w:r>
      <w:r w:rsidRPr="00D416AF">
        <w:rPr>
          <w:sz w:val="22"/>
          <w:szCs w:val="22"/>
        </w:rPr>
        <w:tab/>
      </w:r>
    </w:p>
    <w:p w14:paraId="597FD184" w14:textId="77777777" w:rsidR="00D4668C" w:rsidRDefault="00D4668C" w:rsidP="00AF61E7">
      <w:pPr>
        <w:rPr>
          <w:sz w:val="22"/>
          <w:szCs w:val="22"/>
        </w:rPr>
      </w:pPr>
    </w:p>
    <w:p w14:paraId="17959BC2" w14:textId="77777777" w:rsidR="00AF61E7" w:rsidRDefault="00AF61E7" w:rsidP="00262459">
      <w:pPr>
        <w:rPr>
          <w:sz w:val="22"/>
          <w:szCs w:val="22"/>
        </w:rPr>
      </w:pPr>
      <w:r w:rsidRPr="00D416AF">
        <w:rPr>
          <w:sz w:val="22"/>
          <w:szCs w:val="22"/>
        </w:rPr>
        <w:t>Razítko:</w:t>
      </w:r>
    </w:p>
    <w:p w14:paraId="7B0FDFC7" w14:textId="77777777" w:rsidR="007350FD" w:rsidRDefault="007350FD" w:rsidP="00A91071">
      <w:pPr>
        <w:rPr>
          <w:sz w:val="22"/>
          <w:szCs w:val="22"/>
        </w:rPr>
      </w:pPr>
    </w:p>
    <w:p w14:paraId="4AB81858" w14:textId="77777777" w:rsidR="00B375C3" w:rsidRDefault="00A91071" w:rsidP="00A91071">
      <w:pPr>
        <w:rPr>
          <w:sz w:val="22"/>
          <w:szCs w:val="22"/>
        </w:rPr>
      </w:pPr>
      <w:r w:rsidRPr="00D416AF">
        <w:rPr>
          <w:sz w:val="22"/>
          <w:szCs w:val="22"/>
        </w:rPr>
        <w:tab/>
      </w:r>
      <w:r w:rsidRPr="00D416AF">
        <w:rPr>
          <w:sz w:val="22"/>
          <w:szCs w:val="22"/>
        </w:rPr>
        <w:tab/>
      </w:r>
      <w:r w:rsidRPr="00D416AF">
        <w:rPr>
          <w:sz w:val="22"/>
          <w:szCs w:val="22"/>
        </w:rPr>
        <w:tab/>
      </w:r>
      <w:r w:rsidRPr="00D416AF">
        <w:rPr>
          <w:sz w:val="22"/>
          <w:szCs w:val="22"/>
        </w:rPr>
        <w:tab/>
      </w:r>
      <w:r w:rsidRPr="00D416AF">
        <w:rPr>
          <w:sz w:val="22"/>
          <w:szCs w:val="22"/>
        </w:rPr>
        <w:tab/>
      </w:r>
      <w:r w:rsidRPr="00D416AF">
        <w:rPr>
          <w:sz w:val="22"/>
          <w:szCs w:val="22"/>
        </w:rPr>
        <w:tab/>
      </w:r>
    </w:p>
    <w:p w14:paraId="1DEFC4CB" w14:textId="77777777" w:rsidR="006A6CD5" w:rsidRDefault="006A6CD5" w:rsidP="00A91071">
      <w:pPr>
        <w:rPr>
          <w:sz w:val="22"/>
          <w:szCs w:val="22"/>
        </w:rPr>
      </w:pPr>
    </w:p>
    <w:p w14:paraId="125D64C2" w14:textId="77777777" w:rsidR="00B375C3" w:rsidRDefault="00B375C3" w:rsidP="00A91071">
      <w:pPr>
        <w:rPr>
          <w:sz w:val="22"/>
          <w:szCs w:val="22"/>
        </w:rPr>
      </w:pPr>
      <w:r w:rsidRPr="00B375C3">
        <w:rPr>
          <w:sz w:val="22"/>
          <w:szCs w:val="22"/>
        </w:rPr>
        <w:t xml:space="preserve">Za </w:t>
      </w:r>
      <w:r w:rsidR="00267943">
        <w:rPr>
          <w:sz w:val="22"/>
          <w:szCs w:val="22"/>
        </w:rPr>
        <w:t>objednatel</w:t>
      </w:r>
      <w:r w:rsidR="00B84422">
        <w:rPr>
          <w:sz w:val="22"/>
          <w:szCs w:val="22"/>
        </w:rPr>
        <w:t>e</w:t>
      </w:r>
      <w:r w:rsidRPr="00B375C3">
        <w:rPr>
          <w:sz w:val="22"/>
          <w:szCs w:val="22"/>
        </w:rPr>
        <w:t>:</w:t>
      </w:r>
    </w:p>
    <w:p w14:paraId="23EF251E" w14:textId="77777777" w:rsidR="00B375C3" w:rsidRDefault="00B375C3" w:rsidP="00A91071">
      <w:pPr>
        <w:rPr>
          <w:sz w:val="22"/>
          <w:szCs w:val="22"/>
        </w:rPr>
      </w:pPr>
    </w:p>
    <w:p w14:paraId="286FC40B" w14:textId="3AC207CE" w:rsidR="00A91071" w:rsidRPr="00D416AF" w:rsidRDefault="00933FF3" w:rsidP="00262459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A91071" w:rsidRPr="00D416AF">
        <w:rPr>
          <w:sz w:val="22"/>
          <w:szCs w:val="22"/>
        </w:rPr>
        <w:t> Praze dne:</w:t>
      </w:r>
      <w:r w:rsidR="006A6CD5">
        <w:rPr>
          <w:sz w:val="22"/>
          <w:szCs w:val="22"/>
        </w:rPr>
        <w:t xml:space="preserve"> …………………</w:t>
      </w:r>
    </w:p>
    <w:p w14:paraId="5F95E9FC" w14:textId="04F661AD" w:rsidR="00641E13" w:rsidRDefault="00641E13" w:rsidP="00F61B5B">
      <w:pPr>
        <w:rPr>
          <w:rFonts w:eastAsia="Calibri"/>
          <w:szCs w:val="22"/>
          <w:lang w:eastAsia="en-US"/>
        </w:rPr>
      </w:pPr>
    </w:p>
    <w:p w14:paraId="5C4CB6D9" w14:textId="0980DAD7" w:rsidR="00F61B5B" w:rsidRPr="00432109" w:rsidRDefault="00F61B5B" w:rsidP="00F61B5B">
      <w:pPr>
        <w:rPr>
          <w:rFonts w:eastAsia="Calibri"/>
          <w:szCs w:val="22"/>
          <w:lang w:eastAsia="en-US"/>
        </w:rPr>
      </w:pPr>
    </w:p>
    <w:p w14:paraId="4B983860" w14:textId="77777777" w:rsidR="00432109" w:rsidRDefault="00432109" w:rsidP="00432109">
      <w:pPr>
        <w:rPr>
          <w:rFonts w:eastAsia="Calibri"/>
          <w:szCs w:val="22"/>
          <w:lang w:eastAsia="en-US"/>
        </w:rPr>
      </w:pPr>
    </w:p>
    <w:p w14:paraId="4029E8BF" w14:textId="77777777" w:rsidR="007B0C46" w:rsidRDefault="007B0C46" w:rsidP="00432109">
      <w:pPr>
        <w:rPr>
          <w:rFonts w:eastAsia="Calibri"/>
          <w:szCs w:val="22"/>
          <w:lang w:eastAsia="en-US"/>
        </w:rPr>
      </w:pPr>
    </w:p>
    <w:p w14:paraId="08D8BE34" w14:textId="77777777" w:rsidR="007B0C46" w:rsidRPr="00432109" w:rsidRDefault="007B0C46" w:rsidP="00432109">
      <w:pPr>
        <w:rPr>
          <w:rFonts w:eastAsia="Calibri"/>
          <w:szCs w:val="22"/>
          <w:lang w:eastAsia="en-US"/>
        </w:rPr>
      </w:pPr>
    </w:p>
    <w:p w14:paraId="021AA818" w14:textId="77777777" w:rsidR="006A6CD5" w:rsidRPr="00934BA1" w:rsidRDefault="006A6CD5" w:rsidP="00A91071">
      <w:pPr>
        <w:widowControl w:val="0"/>
        <w:tabs>
          <w:tab w:val="left" w:leader="dot" w:pos="7574"/>
        </w:tabs>
        <w:autoSpaceDE w:val="0"/>
        <w:autoSpaceDN w:val="0"/>
        <w:adjustRightInd w:val="0"/>
        <w:rPr>
          <w:sz w:val="22"/>
          <w:szCs w:val="22"/>
        </w:rPr>
      </w:pPr>
    </w:p>
    <w:p w14:paraId="53AF401D" w14:textId="77777777" w:rsidR="00A91071" w:rsidRPr="00934BA1" w:rsidRDefault="00A91071" w:rsidP="00A91071">
      <w:pPr>
        <w:widowControl w:val="0"/>
        <w:tabs>
          <w:tab w:val="left" w:leader="dot" w:pos="7574"/>
        </w:tabs>
        <w:autoSpaceDE w:val="0"/>
        <w:autoSpaceDN w:val="0"/>
        <w:adjustRightInd w:val="0"/>
        <w:rPr>
          <w:sz w:val="22"/>
          <w:szCs w:val="22"/>
        </w:rPr>
      </w:pPr>
      <w:r w:rsidRPr="00934BA1">
        <w:rPr>
          <w:sz w:val="22"/>
          <w:szCs w:val="22"/>
        </w:rPr>
        <w:t>…………………………………</w:t>
      </w:r>
    </w:p>
    <w:p w14:paraId="053B7680" w14:textId="77777777" w:rsidR="00A91071" w:rsidRPr="00D416AF" w:rsidRDefault="00A91071" w:rsidP="00D4668C">
      <w:pPr>
        <w:ind w:left="1416"/>
        <w:rPr>
          <w:sz w:val="22"/>
          <w:szCs w:val="22"/>
        </w:rPr>
      </w:pPr>
    </w:p>
    <w:p w14:paraId="553DCE70" w14:textId="77777777" w:rsidR="00933FF3" w:rsidRDefault="00933FF3" w:rsidP="00933FF3">
      <w:pPr>
        <w:rPr>
          <w:sz w:val="22"/>
          <w:szCs w:val="22"/>
        </w:rPr>
      </w:pPr>
      <w:r w:rsidRPr="00D416AF">
        <w:rPr>
          <w:sz w:val="22"/>
          <w:szCs w:val="22"/>
        </w:rPr>
        <w:t>Razítko:</w:t>
      </w:r>
    </w:p>
    <w:p w14:paraId="3F257288" w14:textId="77777777" w:rsidR="00AF61E7" w:rsidRPr="00D416AF" w:rsidRDefault="00AF61E7" w:rsidP="00AF61E7">
      <w:pPr>
        <w:rPr>
          <w:sz w:val="22"/>
          <w:szCs w:val="22"/>
        </w:rPr>
      </w:pPr>
    </w:p>
    <w:p w14:paraId="1AA7AF10" w14:textId="77777777" w:rsidR="00AF61E7" w:rsidRDefault="00AF61E7" w:rsidP="00C31C0F">
      <w:pPr>
        <w:jc w:val="both"/>
        <w:rPr>
          <w:color w:val="0070C0"/>
          <w:sz w:val="22"/>
          <w:szCs w:val="22"/>
        </w:rPr>
      </w:pPr>
    </w:p>
    <w:p w14:paraId="36F847EE" w14:textId="13D5CE42" w:rsidR="00933FF3" w:rsidRDefault="00933FF3">
      <w:pPr>
        <w:rPr>
          <w:b/>
          <w:bCs/>
          <w:noProof/>
          <w:color w:val="8A003E"/>
          <w:sz w:val="40"/>
          <w:szCs w:val="40"/>
          <w:lang w:eastAsia="en-US"/>
        </w:rPr>
      </w:pPr>
      <w:bookmarkStart w:id="0" w:name="_Toc188848303"/>
      <w:bookmarkStart w:id="1" w:name="_Ref187680124"/>
      <w:bookmarkStart w:id="2" w:name="_Toc187680761"/>
      <w:bookmarkStart w:id="3" w:name="_Toc187680835"/>
    </w:p>
    <w:p w14:paraId="3E4D8D13" w14:textId="77777777" w:rsidR="007B0C46" w:rsidRDefault="007B0C46">
      <w:pPr>
        <w:rPr>
          <w:b/>
          <w:bCs/>
          <w:noProof/>
          <w:color w:val="8A003E"/>
          <w:sz w:val="40"/>
          <w:szCs w:val="40"/>
          <w:lang w:eastAsia="en-US"/>
        </w:rPr>
      </w:pPr>
    </w:p>
    <w:p w14:paraId="34584E7E" w14:textId="2707310D" w:rsidR="00855217" w:rsidRDefault="00855217" w:rsidP="00855217">
      <w:pPr>
        <w:tabs>
          <w:tab w:val="left" w:pos="1418"/>
        </w:tabs>
        <w:spacing w:before="40" w:after="40"/>
        <w:jc w:val="both"/>
        <w:outlineLvl w:val="3"/>
        <w:rPr>
          <w:b/>
          <w:bCs/>
          <w:noProof/>
          <w:sz w:val="40"/>
          <w:szCs w:val="40"/>
          <w:lang w:eastAsia="en-US"/>
        </w:rPr>
      </w:pPr>
      <w:bookmarkStart w:id="4" w:name="_GoBack"/>
      <w:bookmarkEnd w:id="0"/>
      <w:bookmarkEnd w:id="1"/>
      <w:bookmarkEnd w:id="2"/>
      <w:bookmarkEnd w:id="3"/>
      <w:bookmarkEnd w:id="4"/>
      <w:r>
        <w:rPr>
          <w:b/>
          <w:bCs/>
          <w:noProof/>
          <w:color w:val="8A003E"/>
          <w:sz w:val="40"/>
          <w:szCs w:val="40"/>
          <w:lang w:eastAsia="en-US"/>
        </w:rPr>
        <w:t>Příloha č. 2</w:t>
      </w:r>
      <w:r w:rsidR="00054A89">
        <w:rPr>
          <w:b/>
          <w:bCs/>
          <w:noProof/>
          <w:color w:val="8A003E"/>
          <w:sz w:val="40"/>
          <w:szCs w:val="40"/>
          <w:lang w:eastAsia="en-US"/>
        </w:rPr>
        <w:t xml:space="preserve"> S</w:t>
      </w:r>
      <w:r w:rsidRPr="001F55F7">
        <w:rPr>
          <w:b/>
          <w:bCs/>
          <w:noProof/>
          <w:color w:val="8A003E"/>
          <w:sz w:val="40"/>
          <w:szCs w:val="40"/>
          <w:lang w:eastAsia="en-US"/>
        </w:rPr>
        <w:t>mlouvy:</w:t>
      </w:r>
      <w:r w:rsidR="00054A89">
        <w:rPr>
          <w:b/>
          <w:bCs/>
          <w:noProof/>
          <w:color w:val="8A003E"/>
          <w:sz w:val="40"/>
          <w:szCs w:val="40"/>
          <w:lang w:eastAsia="en-US"/>
        </w:rPr>
        <w:t xml:space="preserve"> </w:t>
      </w:r>
      <w:r w:rsidR="00054A89" w:rsidRPr="00054A89">
        <w:rPr>
          <w:b/>
          <w:bCs/>
          <w:noProof/>
          <w:sz w:val="40"/>
          <w:szCs w:val="40"/>
          <w:lang w:eastAsia="en-US"/>
        </w:rPr>
        <w:t>Cenová nabídka a specifikace</w:t>
      </w:r>
    </w:p>
    <w:p w14:paraId="7D0C1430" w14:textId="77777777" w:rsidR="006423CA" w:rsidRDefault="006423CA" w:rsidP="00855217">
      <w:pPr>
        <w:tabs>
          <w:tab w:val="left" w:pos="1418"/>
        </w:tabs>
        <w:spacing w:before="40" w:after="40"/>
        <w:jc w:val="both"/>
        <w:outlineLvl w:val="3"/>
        <w:rPr>
          <w:sz w:val="18"/>
          <w:szCs w:val="18"/>
          <w:lang w:eastAsia="en-US"/>
        </w:rPr>
      </w:pPr>
    </w:p>
    <w:tbl>
      <w:tblPr>
        <w:tblW w:w="9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500"/>
        <w:gridCol w:w="1780"/>
        <w:gridCol w:w="602"/>
        <w:gridCol w:w="1480"/>
        <w:gridCol w:w="1038"/>
      </w:tblGrid>
      <w:tr w:rsidR="006423CA" w14:paraId="64D093EF" w14:textId="77777777" w:rsidTr="006423CA">
        <w:trPr>
          <w:trHeight w:val="255"/>
        </w:trPr>
        <w:tc>
          <w:tcPr>
            <w:tcW w:w="6760" w:type="dxa"/>
            <w:gridSpan w:val="3"/>
            <w:tcBorders>
              <w:top w:val="single" w:sz="8" w:space="0" w:color="CA005D"/>
              <w:left w:val="single" w:sz="8" w:space="0" w:color="CA005D"/>
              <w:bottom w:val="single" w:sz="4" w:space="0" w:color="CA005D"/>
              <w:right w:val="single" w:sz="8" w:space="0" w:color="CA005D"/>
            </w:tcBorders>
            <w:shd w:val="clear" w:color="000000" w:fill="CA005D"/>
            <w:noWrap/>
            <w:vAlign w:val="bottom"/>
            <w:hideMark/>
          </w:tcPr>
          <w:p w14:paraId="38DC0F87" w14:textId="77777777" w:rsidR="006423CA" w:rsidRDefault="006423C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Základní služby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7C7E" w14:textId="77777777" w:rsidR="006423CA" w:rsidRDefault="006423C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CE6F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C3816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7298FF80" w14:textId="77777777" w:rsidTr="006423CA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0C8200D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08825F9A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základních služeb servisní podpory provozně ekonomických agend 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0C9A585C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237 944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8ADB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7A755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556C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2AD64867" w14:textId="77777777" w:rsidTr="006423CA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28EC7A9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6A8E8977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základních služeb servisní podpory agend výzkumu, vývoje a inovací 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793C89CC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172 305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42B5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EED4E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26AC1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54B74554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9A46C89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33E4AACC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Výše servisní podpory 2016 celkem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667924A8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410 249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24FC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BD39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2034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042BED22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5EB8A93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D9D9D9"/>
            <w:vAlign w:val="bottom"/>
            <w:hideMark/>
          </w:tcPr>
          <w:p w14:paraId="082FE1D4" w14:textId="77777777" w:rsidR="006423CA" w:rsidRDefault="006423CA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Změny v roce 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2FF72CE0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6352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0160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AFBE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01E9C114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2434F46A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1E914FCA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Agenda MIS - aktivity zaměstnanců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47AEC496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7DEB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6887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DD9CF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3734D721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FA0DECC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599043B4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Agenda DČ - vyúčtování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0E822A15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2B5D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D706B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8658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3CB06B44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012DDBD1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575697B3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Agenda XLS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30067F67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25B67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2EBF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354C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60431D86" w14:textId="77777777" w:rsidTr="006423CA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570FF48E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1A25D829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Agenda OBD - PULL rozhraní pro institucionální</w:t>
            </w:r>
            <w:r>
              <w:rPr>
                <w:rFonts w:ascii="Calibri" w:hAnsi="Calibri"/>
                <w:sz w:val="20"/>
                <w:szCs w:val="20"/>
              </w:rPr>
              <w:br/>
              <w:t>repozitář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38E257F0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32 000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711F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916B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A9EF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3E99E320" w14:textId="77777777" w:rsidTr="006423CA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09D08682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1FC4E120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Agenda CUL - připojení úložiště jako sdíleného</w:t>
            </w:r>
            <w:r>
              <w:rPr>
                <w:rFonts w:ascii="Calibri" w:hAnsi="Calibri"/>
                <w:sz w:val="20"/>
                <w:szCs w:val="20"/>
              </w:rPr>
              <w:br/>
              <w:t>disku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5EFD4F6E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124 000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21C1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A714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8C6D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6F2944F6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0AB1EF0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2FCEAEA3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Koncentrátor plateb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270E67B3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70 000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189D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3008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5315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47FD23A5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D47922C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5DBF5EC0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Procento paušálu za základní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11A2D181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0EF7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F00C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DFCA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2EF0487F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nil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554D53EC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2995C8E" w14:textId="77777777" w:rsidR="006423CA" w:rsidRDefault="006423CA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Navýšení ceny základních služeb v roce 2016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20806291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42 940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2A3E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7700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F2D3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2AB03A59" w14:textId="77777777" w:rsidTr="006423CA">
        <w:trPr>
          <w:trHeight w:val="510"/>
        </w:trPr>
        <w:tc>
          <w:tcPr>
            <w:tcW w:w="480" w:type="dxa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5319F153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CA005D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254BD80B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Celková cena základních služeb ("roční paušál"): cena základních služeb v roce 2016 + 19% z vylepšení</w:t>
            </w:r>
          </w:p>
        </w:tc>
        <w:tc>
          <w:tcPr>
            <w:tcW w:w="1780" w:type="dxa"/>
            <w:tcBorders>
              <w:top w:val="single" w:sz="4" w:space="0" w:color="CA005D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69ABDE22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453 189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AC7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4167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CD3C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2007A15D" w14:textId="77777777" w:rsidTr="006423CA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5BB255C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37952562" w14:textId="77777777" w:rsidR="006423CA" w:rsidRDefault="006423CA">
            <w:pPr>
              <w:ind w:firstLineChars="300" w:firstLine="6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toho servisní podpora provozně ekonomických agend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6FC7F26C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262 850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008F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5A5F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C1FC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6969E91A" w14:textId="77777777" w:rsidTr="006423CA">
        <w:trPr>
          <w:trHeight w:val="52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5FC624D4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4F7FD41F" w14:textId="77777777" w:rsidR="006423CA" w:rsidRDefault="006423CA">
            <w:pPr>
              <w:ind w:firstLineChars="300" w:firstLine="6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toho servisní podpora agend výzkumu, vývoje a inovací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75F993CF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190 339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5148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EBFC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D833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09D1D5BB" w14:textId="77777777" w:rsidTr="006423CA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7CB7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2C08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78C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5B22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CF97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9C16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733F3A54" w14:textId="77777777" w:rsidTr="006423CA">
        <w:trPr>
          <w:trHeight w:val="255"/>
        </w:trPr>
        <w:tc>
          <w:tcPr>
            <w:tcW w:w="4980" w:type="dxa"/>
            <w:gridSpan w:val="2"/>
            <w:tcBorders>
              <w:top w:val="single" w:sz="8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52012353" w14:textId="77777777" w:rsidR="006423CA" w:rsidRDefault="006423C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Doplňkové služby</w:t>
            </w:r>
          </w:p>
        </w:tc>
        <w:tc>
          <w:tcPr>
            <w:tcW w:w="1780" w:type="dxa"/>
            <w:tcBorders>
              <w:top w:val="single" w:sz="8" w:space="0" w:color="CA005D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10B5106E" w14:textId="77777777" w:rsidR="006423CA" w:rsidRDefault="006423CA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CA005D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0D44074F" w14:textId="77777777" w:rsidR="006423CA" w:rsidRDefault="006423CA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2540" w:type="dxa"/>
            <w:gridSpan w:val="2"/>
            <w:tcBorders>
              <w:top w:val="single" w:sz="8" w:space="0" w:color="CA005D"/>
              <w:left w:val="nil"/>
              <w:bottom w:val="nil"/>
              <w:right w:val="single" w:sz="8" w:space="0" w:color="CA005D"/>
            </w:tcBorders>
            <w:shd w:val="clear" w:color="000000" w:fill="CA005D"/>
            <w:vAlign w:val="center"/>
            <w:hideMark/>
          </w:tcPr>
          <w:p w14:paraId="05D90FC9" w14:textId="77777777" w:rsidR="006423CA" w:rsidRDefault="006423CA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 jednotková cena za rok </w:t>
            </w:r>
          </w:p>
        </w:tc>
      </w:tr>
      <w:tr w:rsidR="006423CA" w14:paraId="0359AF31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5BAD9E14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2E963EF5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Správa číselníků forem RIV a liter. Forem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54FA00BD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26 000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15FB344B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CA005D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6111EEB8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26 000 Kč </w:t>
            </w:r>
          </w:p>
        </w:tc>
        <w:tc>
          <w:tcPr>
            <w:tcW w:w="1060" w:type="dxa"/>
            <w:tcBorders>
              <w:top w:val="single" w:sz="4" w:space="0" w:color="CA005D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08000202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6423CA" w14:paraId="24C233FA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22A2A193" w14:textId="77777777" w:rsidR="006423CA" w:rsidRDefault="006423CA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541D55C6" w14:textId="77777777" w:rsidR="006423CA" w:rsidRDefault="006423CA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školení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047070D0" w14:textId="77777777" w:rsidR="006423CA" w:rsidRDefault="006423CA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68A493E8" w14:textId="77777777" w:rsidR="006423CA" w:rsidRDefault="006423CA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A005D"/>
            <w:vAlign w:val="center"/>
            <w:hideMark/>
          </w:tcPr>
          <w:p w14:paraId="0CCB1BE7" w14:textId="77777777" w:rsidR="006423CA" w:rsidRDefault="006423CA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CA005D"/>
            </w:tcBorders>
            <w:shd w:val="clear" w:color="000000" w:fill="CA005D"/>
            <w:vAlign w:val="center"/>
            <w:hideMark/>
          </w:tcPr>
          <w:p w14:paraId="66FA209E" w14:textId="77777777" w:rsidR="006423CA" w:rsidRDefault="006423CA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jednotka</w:t>
            </w:r>
          </w:p>
        </w:tc>
      </w:tr>
      <w:tr w:rsidR="006423CA" w14:paraId="03E20D57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950CAD9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B82B62F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školení uživatelů na místě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2093EA44" w14:textId="74407A7F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-  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658EE73A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6498293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10 000 Kč </w:t>
            </w:r>
          </w:p>
        </w:tc>
        <w:tc>
          <w:tcPr>
            <w:tcW w:w="1060" w:type="dxa"/>
            <w:tcBorders>
              <w:top w:val="single" w:sz="4" w:space="0" w:color="CA005D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3D230776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den</w:t>
            </w:r>
          </w:p>
        </w:tc>
      </w:tr>
      <w:tr w:rsidR="006423CA" w14:paraId="5ADC3BCA" w14:textId="77777777" w:rsidTr="006423CA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226836C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6A8C7E47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Poskytování dalších vyžádaných služeb v oblasti</w:t>
            </w:r>
            <w:r>
              <w:rPr>
                <w:rFonts w:ascii="Calibri" w:hAnsi="Calibri"/>
                <w:sz w:val="20"/>
                <w:szCs w:val="20"/>
              </w:rPr>
              <w:br/>
              <w:t>provozně ekonomických agend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2AD564E7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504 000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578CB61A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C32E886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1 440 Kč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580F37CB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hodina</w:t>
            </w:r>
          </w:p>
        </w:tc>
      </w:tr>
      <w:tr w:rsidR="006423CA" w14:paraId="530488A2" w14:textId="77777777" w:rsidTr="006423CA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DEE9471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bottom"/>
            <w:hideMark/>
          </w:tcPr>
          <w:p w14:paraId="54C187A5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Poskytování dalších vyžádaných služeb v oblasti</w:t>
            </w:r>
            <w:r>
              <w:rPr>
                <w:rFonts w:ascii="Calibri" w:hAnsi="Calibri"/>
                <w:sz w:val="20"/>
                <w:szCs w:val="20"/>
              </w:rPr>
              <w:br/>
              <w:t>vavai agend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1F7DA18E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648 000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31AB8B8B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D152DDD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1 440 Kč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508D2D02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hodina</w:t>
            </w:r>
          </w:p>
        </w:tc>
      </w:tr>
      <w:tr w:rsidR="006423CA" w14:paraId="076987D5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6FFA7FB2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801CF7D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výjezdní školení VERSO (3 dny)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7881EA1D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9 900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2AFF568B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20A7DDA7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9 900 Kč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62EF0A43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osoba</w:t>
            </w:r>
          </w:p>
        </w:tc>
      </w:tr>
      <w:tr w:rsidR="006423CA" w14:paraId="5186E8A3" w14:textId="77777777" w:rsidTr="006423CA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68CA189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0C1DF697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výjezdní setkání správců OBD a Konference RIV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7489AF08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9 000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000000" w:fill="CCFFCC"/>
            <w:vAlign w:val="center"/>
            <w:hideMark/>
          </w:tcPr>
          <w:p w14:paraId="610CBE3D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0EB1F93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9 000 Kč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17271615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osoba</w:t>
            </w:r>
          </w:p>
        </w:tc>
      </w:tr>
      <w:tr w:rsidR="006423CA" w14:paraId="233537A1" w14:textId="77777777" w:rsidTr="006423CA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CA005D"/>
              <w:bottom w:val="single" w:sz="8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F979A38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36042A7D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Cena doplňkových služeb celkem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58DED693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1 196 900 Kč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77DAA515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CA005D"/>
              <w:right w:val="single" w:sz="4" w:space="0" w:color="CA005D"/>
            </w:tcBorders>
            <w:shd w:val="clear" w:color="auto" w:fill="auto"/>
            <w:vAlign w:val="center"/>
            <w:hideMark/>
          </w:tcPr>
          <w:p w14:paraId="19FC151C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shd w:val="clear" w:color="auto" w:fill="auto"/>
            <w:vAlign w:val="center"/>
            <w:hideMark/>
          </w:tcPr>
          <w:p w14:paraId="76C29E06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6423CA" w14:paraId="52CE5034" w14:textId="77777777" w:rsidTr="006423CA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E13F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BD8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45522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AFE7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ED64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C459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39CC3312" w14:textId="77777777" w:rsidTr="006423CA">
        <w:trPr>
          <w:trHeight w:val="255"/>
        </w:trPr>
        <w:tc>
          <w:tcPr>
            <w:tcW w:w="6760" w:type="dxa"/>
            <w:gridSpan w:val="3"/>
            <w:tcBorders>
              <w:top w:val="single" w:sz="8" w:space="0" w:color="CA005D"/>
              <w:left w:val="single" w:sz="8" w:space="0" w:color="CA005D"/>
              <w:bottom w:val="single" w:sz="4" w:space="0" w:color="CA005D"/>
              <w:right w:val="single" w:sz="8" w:space="0" w:color="CA005D"/>
            </w:tcBorders>
            <w:shd w:val="clear" w:color="000000" w:fill="CA005D"/>
            <w:noWrap/>
            <w:vAlign w:val="bottom"/>
            <w:hideMark/>
          </w:tcPr>
          <w:p w14:paraId="4FE7B01F" w14:textId="77777777" w:rsidR="006423CA" w:rsidRDefault="006423C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Kalkulace celkové ceny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7386" w14:textId="77777777" w:rsidR="006423CA" w:rsidRDefault="006423C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A27D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61D6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527E246B" w14:textId="77777777" w:rsidTr="006423CA">
        <w:trPr>
          <w:trHeight w:val="255"/>
        </w:trPr>
        <w:tc>
          <w:tcPr>
            <w:tcW w:w="4980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69D01BB1" w14:textId="77777777" w:rsidR="006423CA" w:rsidRDefault="006423C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Servisní smlouva platná                              od: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000000" w:fill="CCFFCC"/>
            <w:vAlign w:val="center"/>
            <w:hideMark/>
          </w:tcPr>
          <w:p w14:paraId="6FC3538D" w14:textId="77777777" w:rsidR="006423CA" w:rsidRDefault="006423C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1.1.2017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94AE6" w14:textId="77777777" w:rsidR="006423CA" w:rsidRDefault="006423C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B2B00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89D9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21BE3DE3" w14:textId="77777777" w:rsidTr="006423CA">
        <w:trPr>
          <w:trHeight w:val="255"/>
        </w:trPr>
        <w:tc>
          <w:tcPr>
            <w:tcW w:w="4980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4C480DDD" w14:textId="77777777" w:rsidR="006423CA" w:rsidRDefault="006423C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                                     do: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000000" w:fill="CCFFCC"/>
            <w:vAlign w:val="center"/>
            <w:hideMark/>
          </w:tcPr>
          <w:p w14:paraId="0348ADD5" w14:textId="23148DFC" w:rsidR="006423CA" w:rsidRDefault="006423C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31.12.201</w:t>
            </w:r>
            <w:r w:rsidR="003C171E"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6FFD" w14:textId="77777777" w:rsidR="006423CA" w:rsidRDefault="006423C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20BCF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FF4F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078E642A" w14:textId="77777777" w:rsidTr="006423CA">
        <w:trPr>
          <w:trHeight w:val="255"/>
        </w:trPr>
        <w:tc>
          <w:tcPr>
            <w:tcW w:w="4980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1A58EC2F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základních služeb za období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60697BD2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453 189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2B2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E6B8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1BCC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621CBBB9" w14:textId="77777777" w:rsidTr="006423CA">
        <w:trPr>
          <w:trHeight w:val="255"/>
        </w:trPr>
        <w:tc>
          <w:tcPr>
            <w:tcW w:w="4980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CA546E4" w14:textId="77777777" w:rsidR="006423CA" w:rsidRDefault="006423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doplňkových služeb za období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6B9D9C66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1 196 900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F3C3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394F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71C1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29AD3232" w14:textId="77777777" w:rsidTr="006423CA">
        <w:trPr>
          <w:trHeight w:val="255"/>
        </w:trPr>
        <w:tc>
          <w:tcPr>
            <w:tcW w:w="4980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035A9468" w14:textId="77777777" w:rsidR="006423CA" w:rsidRDefault="006423C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servisní smlouvy (po slevě)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44FC1859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1 650 089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DB83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E784" w14:textId="77777777" w:rsidR="006423CA" w:rsidRDefault="0064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96BE7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22C62605" w14:textId="77777777" w:rsidTr="006423CA">
        <w:trPr>
          <w:trHeight w:val="255"/>
        </w:trPr>
        <w:tc>
          <w:tcPr>
            <w:tcW w:w="4980" w:type="dxa"/>
            <w:gridSpan w:val="2"/>
            <w:tcBorders>
              <w:top w:val="single" w:sz="4" w:space="0" w:color="CA005D"/>
              <w:left w:val="single" w:sz="8" w:space="0" w:color="CA005D"/>
              <w:bottom w:val="single" w:sz="4" w:space="0" w:color="CA005D"/>
              <w:right w:val="single" w:sz="4" w:space="0" w:color="CA005D"/>
            </w:tcBorders>
            <w:shd w:val="clear" w:color="auto" w:fill="auto"/>
            <w:noWrap/>
            <w:vAlign w:val="bottom"/>
            <w:hideMark/>
          </w:tcPr>
          <w:p w14:paraId="746B6142" w14:textId="77777777" w:rsidR="006423CA" w:rsidRDefault="006423C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DPH 21 %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A005D"/>
              <w:right w:val="single" w:sz="8" w:space="0" w:color="CA005D"/>
            </w:tcBorders>
            <w:shd w:val="clear" w:color="auto" w:fill="auto"/>
            <w:noWrap/>
            <w:vAlign w:val="bottom"/>
            <w:hideMark/>
          </w:tcPr>
          <w:p w14:paraId="567F0A8D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346 519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9A83" w14:textId="77777777" w:rsidR="006423CA" w:rsidRDefault="006423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84E2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9E27" w14:textId="77777777" w:rsidR="006423CA" w:rsidRDefault="006423CA">
            <w:pPr>
              <w:rPr>
                <w:sz w:val="20"/>
                <w:szCs w:val="20"/>
              </w:rPr>
            </w:pPr>
          </w:p>
        </w:tc>
      </w:tr>
      <w:tr w:rsidR="006423CA" w14:paraId="7DDF5D52" w14:textId="77777777" w:rsidTr="006423CA">
        <w:trPr>
          <w:trHeight w:val="270"/>
        </w:trPr>
        <w:tc>
          <w:tcPr>
            <w:tcW w:w="4980" w:type="dxa"/>
            <w:gridSpan w:val="2"/>
            <w:tcBorders>
              <w:top w:val="single" w:sz="4" w:space="0" w:color="CA005D"/>
              <w:left w:val="single" w:sz="8" w:space="0" w:color="CA005D"/>
              <w:bottom w:val="single" w:sz="8" w:space="0" w:color="CA005D"/>
              <w:right w:val="single" w:sz="4" w:space="0" w:color="CA005D"/>
            </w:tcBorders>
            <w:shd w:val="clear" w:color="000000" w:fill="CA005D"/>
            <w:noWrap/>
            <w:vAlign w:val="bottom"/>
            <w:hideMark/>
          </w:tcPr>
          <w:p w14:paraId="26AD5E37" w14:textId="77777777" w:rsidR="006423CA" w:rsidRDefault="006423C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Cena servisní smlouvy (po slevě včetně DPH)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CA005D"/>
              <w:right w:val="single" w:sz="8" w:space="0" w:color="CA005D"/>
            </w:tcBorders>
            <w:shd w:val="clear" w:color="000000" w:fill="CA005D"/>
            <w:noWrap/>
            <w:vAlign w:val="bottom"/>
            <w:hideMark/>
          </w:tcPr>
          <w:p w14:paraId="640439FF" w14:textId="77777777" w:rsidR="006423CA" w:rsidRDefault="006423C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          1 996 608 Kč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D98F" w14:textId="77777777" w:rsidR="006423CA" w:rsidRDefault="006423CA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0855" w14:textId="77777777" w:rsidR="006423CA" w:rsidRDefault="0064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865C" w14:textId="77777777" w:rsidR="006423CA" w:rsidRDefault="006423CA">
            <w:pPr>
              <w:rPr>
                <w:sz w:val="20"/>
                <w:szCs w:val="20"/>
              </w:rPr>
            </w:pPr>
          </w:p>
        </w:tc>
      </w:tr>
    </w:tbl>
    <w:p w14:paraId="3AC80BD8" w14:textId="77777777" w:rsidR="00855217" w:rsidRDefault="00855217" w:rsidP="00855217">
      <w:pPr>
        <w:tabs>
          <w:tab w:val="left" w:pos="1418"/>
        </w:tabs>
        <w:spacing w:before="40" w:after="40"/>
        <w:jc w:val="both"/>
        <w:outlineLvl w:val="3"/>
        <w:rPr>
          <w:sz w:val="18"/>
          <w:szCs w:val="18"/>
          <w:lang w:eastAsia="en-US"/>
        </w:rPr>
      </w:pPr>
    </w:p>
    <w:sectPr w:rsidR="00855217" w:rsidSect="001F467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90914" w14:textId="77777777" w:rsidR="006E6D3B" w:rsidRDefault="006E6D3B">
      <w:r>
        <w:separator/>
      </w:r>
    </w:p>
  </w:endnote>
  <w:endnote w:type="continuationSeparator" w:id="0">
    <w:p w14:paraId="37E3D638" w14:textId="77777777" w:rsidR="006E6D3B" w:rsidRDefault="006E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00D16" w14:textId="77777777" w:rsidR="00992226" w:rsidRDefault="00992226" w:rsidP="008559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72EECB" w14:textId="77777777" w:rsidR="00992226" w:rsidRDefault="009922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586629"/>
      <w:docPartObj>
        <w:docPartGallery w:val="Page Numbers (Bottom of Page)"/>
        <w:docPartUnique/>
      </w:docPartObj>
    </w:sdtPr>
    <w:sdtEndPr/>
    <w:sdtContent>
      <w:p w14:paraId="6F09DDD2" w14:textId="77777777" w:rsidR="00992226" w:rsidRDefault="009922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39">
          <w:rPr>
            <w:noProof/>
          </w:rPr>
          <w:t>6</w:t>
        </w:r>
        <w:r>
          <w:fldChar w:fldCharType="end"/>
        </w:r>
      </w:p>
    </w:sdtContent>
  </w:sdt>
  <w:p w14:paraId="688FB8F3" w14:textId="77777777" w:rsidR="00992226" w:rsidRDefault="009922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3B25D" w14:textId="77777777" w:rsidR="006E6D3B" w:rsidRDefault="006E6D3B">
      <w:r>
        <w:separator/>
      </w:r>
    </w:p>
  </w:footnote>
  <w:footnote w:type="continuationSeparator" w:id="0">
    <w:p w14:paraId="789B346B" w14:textId="77777777" w:rsidR="006E6D3B" w:rsidRDefault="006E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46AD24C"/>
    <w:lvl w:ilvl="0">
      <w:start w:val="1"/>
      <w:numFmt w:val="decimal"/>
      <w:pStyle w:val="Odrazkysmlouv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2062FE"/>
    <w:multiLevelType w:val="multilevel"/>
    <w:tmpl w:val="A1FCC9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Odstavecsmlouvy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>
    <w:nsid w:val="0AE23BF3"/>
    <w:multiLevelType w:val="multilevel"/>
    <w:tmpl w:val="9B64EA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FAA2671"/>
    <w:multiLevelType w:val="hybridMultilevel"/>
    <w:tmpl w:val="4A9A7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5D86"/>
    <w:multiLevelType w:val="multilevel"/>
    <w:tmpl w:val="6FC8D35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>
    <w:nsid w:val="13ED13AA"/>
    <w:multiLevelType w:val="hybridMultilevel"/>
    <w:tmpl w:val="1D1AE3E4"/>
    <w:lvl w:ilvl="0" w:tplc="7048F9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7345E"/>
    <w:multiLevelType w:val="multilevel"/>
    <w:tmpl w:val="5F6AB9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262B06F9"/>
    <w:multiLevelType w:val="multilevel"/>
    <w:tmpl w:val="FD4044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29E746D4"/>
    <w:multiLevelType w:val="hybridMultilevel"/>
    <w:tmpl w:val="E3E8EBB6"/>
    <w:lvl w:ilvl="0" w:tplc="A2DEA314">
      <w:start w:val="5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92716"/>
    <w:multiLevelType w:val="hybridMultilevel"/>
    <w:tmpl w:val="1B3AF2F0"/>
    <w:lvl w:ilvl="0" w:tplc="806E71D0">
      <w:start w:val="1"/>
      <w:numFmt w:val="decimal"/>
      <w:lvlText w:val="7.4.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730687F"/>
    <w:multiLevelType w:val="hybridMultilevel"/>
    <w:tmpl w:val="FEC099CA"/>
    <w:lvl w:ilvl="0" w:tplc="23782B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A7E09"/>
    <w:multiLevelType w:val="multilevel"/>
    <w:tmpl w:val="564AC9BC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422C51CE"/>
    <w:multiLevelType w:val="hybridMultilevel"/>
    <w:tmpl w:val="B748C9E6"/>
    <w:lvl w:ilvl="0" w:tplc="D9CE45B6">
      <w:start w:val="5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B705F"/>
    <w:multiLevelType w:val="multilevel"/>
    <w:tmpl w:val="82406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4D230DF0"/>
    <w:multiLevelType w:val="hybridMultilevel"/>
    <w:tmpl w:val="A992CD2A"/>
    <w:lvl w:ilvl="0" w:tplc="6246B3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839F7"/>
    <w:multiLevelType w:val="hybridMultilevel"/>
    <w:tmpl w:val="AC1A0112"/>
    <w:lvl w:ilvl="0" w:tplc="975C1CC2">
      <w:start w:val="5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E1E97"/>
    <w:multiLevelType w:val="hybridMultilevel"/>
    <w:tmpl w:val="4412C510"/>
    <w:lvl w:ilvl="0" w:tplc="177064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8E4B9A"/>
    <w:multiLevelType w:val="multilevel"/>
    <w:tmpl w:val="3CD4EAE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>
    <w:nsid w:val="6BF138D4"/>
    <w:multiLevelType w:val="multilevel"/>
    <w:tmpl w:val="538222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6C537F45"/>
    <w:multiLevelType w:val="multilevel"/>
    <w:tmpl w:val="F0F6A9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6D437BFD"/>
    <w:multiLevelType w:val="hybridMultilevel"/>
    <w:tmpl w:val="B9D0FD20"/>
    <w:lvl w:ilvl="0" w:tplc="7C9E3710">
      <w:start w:val="5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67076"/>
    <w:multiLevelType w:val="multilevel"/>
    <w:tmpl w:val="934E7D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7ACB1768"/>
    <w:multiLevelType w:val="hybridMultilevel"/>
    <w:tmpl w:val="5FBE90D2"/>
    <w:lvl w:ilvl="0" w:tplc="94784618">
      <w:start w:val="51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9"/>
  </w:num>
  <w:num w:numId="5">
    <w:abstractNumId w:val="22"/>
  </w:num>
  <w:num w:numId="6">
    <w:abstractNumId w:val="8"/>
  </w:num>
  <w:num w:numId="7">
    <w:abstractNumId w:val="20"/>
  </w:num>
  <w:num w:numId="8">
    <w:abstractNumId w:val="6"/>
  </w:num>
  <w:num w:numId="9">
    <w:abstractNumId w:val="18"/>
  </w:num>
  <w:num w:numId="10">
    <w:abstractNumId w:val="3"/>
  </w:num>
  <w:num w:numId="11">
    <w:abstractNumId w:val="11"/>
  </w:num>
  <w:num w:numId="12">
    <w:abstractNumId w:val="17"/>
  </w:num>
  <w:num w:numId="13">
    <w:abstractNumId w:val="7"/>
  </w:num>
  <w:num w:numId="14">
    <w:abstractNumId w:val="0"/>
  </w:num>
  <w:num w:numId="15">
    <w:abstractNumId w:val="10"/>
  </w:num>
  <w:num w:numId="16">
    <w:abstractNumId w:val="15"/>
  </w:num>
  <w:num w:numId="17">
    <w:abstractNumId w:val="5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16"/>
  </w:num>
  <w:num w:numId="23">
    <w:abstractNumId w:val="21"/>
  </w:num>
  <w:num w:numId="24">
    <w:abstractNumId w:val="13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E7"/>
    <w:rsid w:val="00010DAB"/>
    <w:rsid w:val="00020237"/>
    <w:rsid w:val="00034641"/>
    <w:rsid w:val="000474B9"/>
    <w:rsid w:val="00054A89"/>
    <w:rsid w:val="000554C2"/>
    <w:rsid w:val="000654C1"/>
    <w:rsid w:val="00066701"/>
    <w:rsid w:val="00071431"/>
    <w:rsid w:val="00072B42"/>
    <w:rsid w:val="00085045"/>
    <w:rsid w:val="000B2842"/>
    <w:rsid w:val="000C73D0"/>
    <w:rsid w:val="000D1532"/>
    <w:rsid w:val="000D1604"/>
    <w:rsid w:val="000D2F32"/>
    <w:rsid w:val="000D6258"/>
    <w:rsid w:val="000F1DEB"/>
    <w:rsid w:val="000F630D"/>
    <w:rsid w:val="001067DA"/>
    <w:rsid w:val="00111E78"/>
    <w:rsid w:val="001130B7"/>
    <w:rsid w:val="001154C8"/>
    <w:rsid w:val="00123FCB"/>
    <w:rsid w:val="00124CDC"/>
    <w:rsid w:val="00126A00"/>
    <w:rsid w:val="0013053F"/>
    <w:rsid w:val="00137D52"/>
    <w:rsid w:val="00141484"/>
    <w:rsid w:val="0014354C"/>
    <w:rsid w:val="0014482C"/>
    <w:rsid w:val="001547D0"/>
    <w:rsid w:val="0015785D"/>
    <w:rsid w:val="00171142"/>
    <w:rsid w:val="00181E4E"/>
    <w:rsid w:val="00184CF4"/>
    <w:rsid w:val="00184E69"/>
    <w:rsid w:val="001D08D4"/>
    <w:rsid w:val="001F467A"/>
    <w:rsid w:val="001F55F7"/>
    <w:rsid w:val="00200365"/>
    <w:rsid w:val="00207FB4"/>
    <w:rsid w:val="00221DDF"/>
    <w:rsid w:val="002220C1"/>
    <w:rsid w:val="002274CA"/>
    <w:rsid w:val="00237765"/>
    <w:rsid w:val="0024039E"/>
    <w:rsid w:val="002427E2"/>
    <w:rsid w:val="00243128"/>
    <w:rsid w:val="002431E7"/>
    <w:rsid w:val="00243325"/>
    <w:rsid w:val="00244DEB"/>
    <w:rsid w:val="002460BF"/>
    <w:rsid w:val="00256D8C"/>
    <w:rsid w:val="0025775E"/>
    <w:rsid w:val="002607FB"/>
    <w:rsid w:val="002618F5"/>
    <w:rsid w:val="00262459"/>
    <w:rsid w:val="00267943"/>
    <w:rsid w:val="002716CB"/>
    <w:rsid w:val="002775A6"/>
    <w:rsid w:val="00282CB3"/>
    <w:rsid w:val="00283B10"/>
    <w:rsid w:val="00285851"/>
    <w:rsid w:val="002865B9"/>
    <w:rsid w:val="0029405C"/>
    <w:rsid w:val="002975AE"/>
    <w:rsid w:val="002A46A7"/>
    <w:rsid w:val="002B0839"/>
    <w:rsid w:val="002B2C48"/>
    <w:rsid w:val="002B442E"/>
    <w:rsid w:val="002D03A9"/>
    <w:rsid w:val="002E411E"/>
    <w:rsid w:val="002E50A5"/>
    <w:rsid w:val="002F2BA0"/>
    <w:rsid w:val="002F5545"/>
    <w:rsid w:val="00301B67"/>
    <w:rsid w:val="00303805"/>
    <w:rsid w:val="0031486A"/>
    <w:rsid w:val="00324061"/>
    <w:rsid w:val="00330052"/>
    <w:rsid w:val="0035054C"/>
    <w:rsid w:val="00357640"/>
    <w:rsid w:val="00364545"/>
    <w:rsid w:val="00373766"/>
    <w:rsid w:val="00383680"/>
    <w:rsid w:val="003854C7"/>
    <w:rsid w:val="00387CDE"/>
    <w:rsid w:val="003B7CFC"/>
    <w:rsid w:val="003C171E"/>
    <w:rsid w:val="003D5690"/>
    <w:rsid w:val="003F5354"/>
    <w:rsid w:val="004013FE"/>
    <w:rsid w:val="00421A47"/>
    <w:rsid w:val="004230F8"/>
    <w:rsid w:val="004309A8"/>
    <w:rsid w:val="00432109"/>
    <w:rsid w:val="00437B23"/>
    <w:rsid w:val="00460331"/>
    <w:rsid w:val="00477365"/>
    <w:rsid w:val="00482CFC"/>
    <w:rsid w:val="004A7E69"/>
    <w:rsid w:val="004B13C6"/>
    <w:rsid w:val="004B50F5"/>
    <w:rsid w:val="004C5722"/>
    <w:rsid w:val="004D3AF4"/>
    <w:rsid w:val="004E39F3"/>
    <w:rsid w:val="004E75BA"/>
    <w:rsid w:val="0050228C"/>
    <w:rsid w:val="00502F88"/>
    <w:rsid w:val="00503995"/>
    <w:rsid w:val="00533115"/>
    <w:rsid w:val="00555289"/>
    <w:rsid w:val="00570BCC"/>
    <w:rsid w:val="00573E0E"/>
    <w:rsid w:val="0058152D"/>
    <w:rsid w:val="0059262B"/>
    <w:rsid w:val="005A4B99"/>
    <w:rsid w:val="005A4DEB"/>
    <w:rsid w:val="005A5FC4"/>
    <w:rsid w:val="005B25D5"/>
    <w:rsid w:val="005E359F"/>
    <w:rsid w:val="005E5AD2"/>
    <w:rsid w:val="005F1C9F"/>
    <w:rsid w:val="00601738"/>
    <w:rsid w:val="006107E8"/>
    <w:rsid w:val="0061088A"/>
    <w:rsid w:val="006157F9"/>
    <w:rsid w:val="00621FD0"/>
    <w:rsid w:val="00630275"/>
    <w:rsid w:val="0064184D"/>
    <w:rsid w:val="00641E13"/>
    <w:rsid w:val="006423CA"/>
    <w:rsid w:val="00645958"/>
    <w:rsid w:val="00647EC7"/>
    <w:rsid w:val="006548A1"/>
    <w:rsid w:val="00656466"/>
    <w:rsid w:val="00670D7C"/>
    <w:rsid w:val="00674084"/>
    <w:rsid w:val="00682A63"/>
    <w:rsid w:val="00684733"/>
    <w:rsid w:val="00684977"/>
    <w:rsid w:val="0069042B"/>
    <w:rsid w:val="006A6CD5"/>
    <w:rsid w:val="006B01C9"/>
    <w:rsid w:val="006B1B36"/>
    <w:rsid w:val="006B3D89"/>
    <w:rsid w:val="006D02CC"/>
    <w:rsid w:val="006D78A1"/>
    <w:rsid w:val="006E32B2"/>
    <w:rsid w:val="006E6D3B"/>
    <w:rsid w:val="006E7408"/>
    <w:rsid w:val="006F39C0"/>
    <w:rsid w:val="006F5D0A"/>
    <w:rsid w:val="007133CC"/>
    <w:rsid w:val="00721830"/>
    <w:rsid w:val="007218C8"/>
    <w:rsid w:val="00723B4F"/>
    <w:rsid w:val="007350FD"/>
    <w:rsid w:val="00747495"/>
    <w:rsid w:val="00754B48"/>
    <w:rsid w:val="0075596F"/>
    <w:rsid w:val="0077727D"/>
    <w:rsid w:val="007835E8"/>
    <w:rsid w:val="00784A82"/>
    <w:rsid w:val="007A018B"/>
    <w:rsid w:val="007A0611"/>
    <w:rsid w:val="007A25CC"/>
    <w:rsid w:val="007A4ECF"/>
    <w:rsid w:val="007B0C46"/>
    <w:rsid w:val="007B5A89"/>
    <w:rsid w:val="007C74C1"/>
    <w:rsid w:val="007D7EF6"/>
    <w:rsid w:val="007E3CDC"/>
    <w:rsid w:val="007E41F4"/>
    <w:rsid w:val="008001AB"/>
    <w:rsid w:val="00817A16"/>
    <w:rsid w:val="00822405"/>
    <w:rsid w:val="008258A4"/>
    <w:rsid w:val="008277C0"/>
    <w:rsid w:val="0083795E"/>
    <w:rsid w:val="008508AB"/>
    <w:rsid w:val="00855217"/>
    <w:rsid w:val="0085599C"/>
    <w:rsid w:val="00855C4E"/>
    <w:rsid w:val="00861F46"/>
    <w:rsid w:val="00873C6E"/>
    <w:rsid w:val="00884CE8"/>
    <w:rsid w:val="008854FB"/>
    <w:rsid w:val="008A0E6B"/>
    <w:rsid w:val="008A391E"/>
    <w:rsid w:val="008A68B0"/>
    <w:rsid w:val="008B30F7"/>
    <w:rsid w:val="008C1986"/>
    <w:rsid w:val="008C35B0"/>
    <w:rsid w:val="008C7073"/>
    <w:rsid w:val="008D184D"/>
    <w:rsid w:val="008D7EB9"/>
    <w:rsid w:val="008E1EE5"/>
    <w:rsid w:val="008E3574"/>
    <w:rsid w:val="008F4BAA"/>
    <w:rsid w:val="0090327C"/>
    <w:rsid w:val="00912015"/>
    <w:rsid w:val="009122E2"/>
    <w:rsid w:val="00916D38"/>
    <w:rsid w:val="00917255"/>
    <w:rsid w:val="009267C1"/>
    <w:rsid w:val="009331AC"/>
    <w:rsid w:val="00933FF3"/>
    <w:rsid w:val="00934BA1"/>
    <w:rsid w:val="00936D82"/>
    <w:rsid w:val="00940D56"/>
    <w:rsid w:val="00941F23"/>
    <w:rsid w:val="0095332B"/>
    <w:rsid w:val="009572C9"/>
    <w:rsid w:val="009574DF"/>
    <w:rsid w:val="00966B51"/>
    <w:rsid w:val="009744B0"/>
    <w:rsid w:val="00986247"/>
    <w:rsid w:val="00992226"/>
    <w:rsid w:val="009A08E7"/>
    <w:rsid w:val="009B1F84"/>
    <w:rsid w:val="009C6BA6"/>
    <w:rsid w:val="009D497B"/>
    <w:rsid w:val="009D77E4"/>
    <w:rsid w:val="009E20A7"/>
    <w:rsid w:val="009E5FDA"/>
    <w:rsid w:val="009F162D"/>
    <w:rsid w:val="009F1954"/>
    <w:rsid w:val="00A16380"/>
    <w:rsid w:val="00A21BC7"/>
    <w:rsid w:val="00A27555"/>
    <w:rsid w:val="00A36539"/>
    <w:rsid w:val="00A41D3C"/>
    <w:rsid w:val="00A51D9D"/>
    <w:rsid w:val="00A5764D"/>
    <w:rsid w:val="00A6578E"/>
    <w:rsid w:val="00A72ABF"/>
    <w:rsid w:val="00A81735"/>
    <w:rsid w:val="00A87EBF"/>
    <w:rsid w:val="00A91071"/>
    <w:rsid w:val="00A92EAA"/>
    <w:rsid w:val="00AA2B39"/>
    <w:rsid w:val="00AB2EAC"/>
    <w:rsid w:val="00AC0030"/>
    <w:rsid w:val="00AC0626"/>
    <w:rsid w:val="00AC60A5"/>
    <w:rsid w:val="00AD66CE"/>
    <w:rsid w:val="00AD69A9"/>
    <w:rsid w:val="00AE3708"/>
    <w:rsid w:val="00AE48D9"/>
    <w:rsid w:val="00AE75C9"/>
    <w:rsid w:val="00AF0F1A"/>
    <w:rsid w:val="00AF103B"/>
    <w:rsid w:val="00AF576F"/>
    <w:rsid w:val="00AF61E7"/>
    <w:rsid w:val="00B0132B"/>
    <w:rsid w:val="00B2685D"/>
    <w:rsid w:val="00B375C3"/>
    <w:rsid w:val="00B42705"/>
    <w:rsid w:val="00B5068A"/>
    <w:rsid w:val="00B56D02"/>
    <w:rsid w:val="00B642E8"/>
    <w:rsid w:val="00B84422"/>
    <w:rsid w:val="00B87E8E"/>
    <w:rsid w:val="00BB1316"/>
    <w:rsid w:val="00BC4A1D"/>
    <w:rsid w:val="00BD0C77"/>
    <w:rsid w:val="00BD3357"/>
    <w:rsid w:val="00BD5A92"/>
    <w:rsid w:val="00BE40A2"/>
    <w:rsid w:val="00BE4ECC"/>
    <w:rsid w:val="00BE6C32"/>
    <w:rsid w:val="00BF0C74"/>
    <w:rsid w:val="00C0016E"/>
    <w:rsid w:val="00C06A46"/>
    <w:rsid w:val="00C10AE8"/>
    <w:rsid w:val="00C1550F"/>
    <w:rsid w:val="00C2192F"/>
    <w:rsid w:val="00C27EF4"/>
    <w:rsid w:val="00C31C0F"/>
    <w:rsid w:val="00C421F3"/>
    <w:rsid w:val="00C47066"/>
    <w:rsid w:val="00C52AD3"/>
    <w:rsid w:val="00C643AE"/>
    <w:rsid w:val="00C84024"/>
    <w:rsid w:val="00CE48AE"/>
    <w:rsid w:val="00CF6A92"/>
    <w:rsid w:val="00D02CF7"/>
    <w:rsid w:val="00D0586A"/>
    <w:rsid w:val="00D2143A"/>
    <w:rsid w:val="00D2652A"/>
    <w:rsid w:val="00D34D00"/>
    <w:rsid w:val="00D35329"/>
    <w:rsid w:val="00D42BB2"/>
    <w:rsid w:val="00D4668C"/>
    <w:rsid w:val="00D46F5A"/>
    <w:rsid w:val="00D47242"/>
    <w:rsid w:val="00D8000A"/>
    <w:rsid w:val="00D8078A"/>
    <w:rsid w:val="00D879E6"/>
    <w:rsid w:val="00DA1552"/>
    <w:rsid w:val="00DA15DF"/>
    <w:rsid w:val="00DA5348"/>
    <w:rsid w:val="00DB4843"/>
    <w:rsid w:val="00DC0EC4"/>
    <w:rsid w:val="00DC7C6E"/>
    <w:rsid w:val="00DD0579"/>
    <w:rsid w:val="00DD60B0"/>
    <w:rsid w:val="00DD7060"/>
    <w:rsid w:val="00DF7ED2"/>
    <w:rsid w:val="00E04955"/>
    <w:rsid w:val="00E05CCA"/>
    <w:rsid w:val="00E24833"/>
    <w:rsid w:val="00E24FB7"/>
    <w:rsid w:val="00E27CC9"/>
    <w:rsid w:val="00E41A9C"/>
    <w:rsid w:val="00E45331"/>
    <w:rsid w:val="00E513BC"/>
    <w:rsid w:val="00E87685"/>
    <w:rsid w:val="00EA1591"/>
    <w:rsid w:val="00EA7B5E"/>
    <w:rsid w:val="00EE22A7"/>
    <w:rsid w:val="00EE2328"/>
    <w:rsid w:val="00EF76B3"/>
    <w:rsid w:val="00F146AA"/>
    <w:rsid w:val="00F516A9"/>
    <w:rsid w:val="00F53EEA"/>
    <w:rsid w:val="00F56524"/>
    <w:rsid w:val="00F61B5B"/>
    <w:rsid w:val="00F620F0"/>
    <w:rsid w:val="00F951D4"/>
    <w:rsid w:val="00FA5943"/>
    <w:rsid w:val="00FB2092"/>
    <w:rsid w:val="00FB6FCE"/>
    <w:rsid w:val="00FC0B4F"/>
    <w:rsid w:val="00FD0837"/>
    <w:rsid w:val="00FD2779"/>
    <w:rsid w:val="00FF66E0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76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6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F61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A7B5E"/>
    <w:pPr>
      <w:tabs>
        <w:tab w:val="left" w:pos="708"/>
      </w:tabs>
      <w:ind w:right="566"/>
    </w:pPr>
    <w:rPr>
      <w:color w:val="000000"/>
      <w:sz w:val="22"/>
      <w:szCs w:val="20"/>
    </w:rPr>
  </w:style>
  <w:style w:type="paragraph" w:styleId="Zpat">
    <w:name w:val="footer"/>
    <w:basedOn w:val="Normln"/>
    <w:link w:val="ZpatChar"/>
    <w:uiPriority w:val="99"/>
    <w:rsid w:val="00123F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FCB"/>
  </w:style>
  <w:style w:type="paragraph" w:styleId="Odstavecseseznamem">
    <w:name w:val="List Paragraph"/>
    <w:basedOn w:val="Normln"/>
    <w:uiPriority w:val="34"/>
    <w:qFormat/>
    <w:rsid w:val="002F2BA0"/>
    <w:pPr>
      <w:ind w:left="708"/>
    </w:pPr>
  </w:style>
  <w:style w:type="paragraph" w:styleId="Textbubliny">
    <w:name w:val="Balloon Text"/>
    <w:basedOn w:val="Normln"/>
    <w:link w:val="TextbublinyChar"/>
    <w:rsid w:val="00FF66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66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A6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6CD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A6CD5"/>
    <w:rPr>
      <w:sz w:val="24"/>
      <w:szCs w:val="24"/>
    </w:rPr>
  </w:style>
  <w:style w:type="table" w:styleId="Mkatabulky">
    <w:name w:val="Table Grid"/>
    <w:basedOn w:val="Normlntabulka"/>
    <w:rsid w:val="0029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FD083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D0837"/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0837"/>
    <w:rPr>
      <w:rFonts w:ascii="Calibri" w:hAnsi="Calibri" w:cs="Calibri"/>
    </w:rPr>
  </w:style>
  <w:style w:type="paragraph" w:customStyle="1" w:styleId="Odstavecsmlouvy">
    <w:name w:val="Odstavec smlouvy"/>
    <w:basedOn w:val="Zkladntext"/>
    <w:link w:val="OdstavecsmlouvyChar"/>
    <w:rsid w:val="004D3AF4"/>
    <w:pPr>
      <w:numPr>
        <w:ilvl w:val="2"/>
        <w:numId w:val="1"/>
      </w:numPr>
      <w:tabs>
        <w:tab w:val="clear" w:pos="720"/>
      </w:tabs>
      <w:spacing w:before="120" w:after="120"/>
      <w:ind w:right="0"/>
      <w:jc w:val="both"/>
      <w:outlineLvl w:val="1"/>
    </w:pPr>
    <w:rPr>
      <w:rFonts w:ascii="Calibri" w:hAnsi="Calibri"/>
      <w:color w:val="auto"/>
      <w:sz w:val="20"/>
      <w:lang w:val="x-none" w:eastAsia="en-US"/>
    </w:rPr>
  </w:style>
  <w:style w:type="character" w:customStyle="1" w:styleId="OdstavecsmlouvyChar">
    <w:name w:val="Odstavec smlouvy Char"/>
    <w:link w:val="Odstavecsmlouvy"/>
    <w:locked/>
    <w:rsid w:val="004D3AF4"/>
    <w:rPr>
      <w:rFonts w:ascii="Calibri" w:hAnsi="Calibri"/>
      <w:lang w:val="x-none" w:eastAsia="en-US"/>
    </w:rPr>
  </w:style>
  <w:style w:type="paragraph" w:customStyle="1" w:styleId="Odrazkysmlouva">
    <w:name w:val="Odrazky_smlouva"/>
    <w:basedOn w:val="Zkladntext"/>
    <w:qFormat/>
    <w:rsid w:val="004D3AF4"/>
    <w:pPr>
      <w:numPr>
        <w:numId w:val="14"/>
      </w:numPr>
      <w:tabs>
        <w:tab w:val="clear" w:pos="708"/>
        <w:tab w:val="left" w:pos="1418"/>
      </w:tabs>
      <w:spacing w:before="40" w:after="40"/>
      <w:ind w:right="0"/>
      <w:jc w:val="both"/>
      <w:outlineLvl w:val="3"/>
    </w:pPr>
    <w:rPr>
      <w:rFonts w:ascii="Calibri" w:hAnsi="Calibri" w:cs="Calibri"/>
      <w:color w:val="auto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E3708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E3708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4309A8"/>
    <w:rPr>
      <w:sz w:val="24"/>
      <w:szCs w:val="24"/>
    </w:rPr>
  </w:style>
  <w:style w:type="character" w:styleId="Hypertextovodkaz">
    <w:name w:val="Hyperlink"/>
    <w:uiPriority w:val="99"/>
    <w:unhideWhenUsed/>
    <w:rsid w:val="006740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6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F61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A7B5E"/>
    <w:pPr>
      <w:tabs>
        <w:tab w:val="left" w:pos="708"/>
      </w:tabs>
      <w:ind w:right="566"/>
    </w:pPr>
    <w:rPr>
      <w:color w:val="000000"/>
      <w:sz w:val="22"/>
      <w:szCs w:val="20"/>
    </w:rPr>
  </w:style>
  <w:style w:type="paragraph" w:styleId="Zpat">
    <w:name w:val="footer"/>
    <w:basedOn w:val="Normln"/>
    <w:link w:val="ZpatChar"/>
    <w:uiPriority w:val="99"/>
    <w:rsid w:val="00123F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FCB"/>
  </w:style>
  <w:style w:type="paragraph" w:styleId="Odstavecseseznamem">
    <w:name w:val="List Paragraph"/>
    <w:basedOn w:val="Normln"/>
    <w:uiPriority w:val="34"/>
    <w:qFormat/>
    <w:rsid w:val="002F2BA0"/>
    <w:pPr>
      <w:ind w:left="708"/>
    </w:pPr>
  </w:style>
  <w:style w:type="paragraph" w:styleId="Textbubliny">
    <w:name w:val="Balloon Text"/>
    <w:basedOn w:val="Normln"/>
    <w:link w:val="TextbublinyChar"/>
    <w:rsid w:val="00FF66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66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A6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6CD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A6CD5"/>
    <w:rPr>
      <w:sz w:val="24"/>
      <w:szCs w:val="24"/>
    </w:rPr>
  </w:style>
  <w:style w:type="table" w:styleId="Mkatabulky">
    <w:name w:val="Table Grid"/>
    <w:basedOn w:val="Normlntabulka"/>
    <w:rsid w:val="0029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FD083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D0837"/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0837"/>
    <w:rPr>
      <w:rFonts w:ascii="Calibri" w:hAnsi="Calibri" w:cs="Calibri"/>
    </w:rPr>
  </w:style>
  <w:style w:type="paragraph" w:customStyle="1" w:styleId="Odstavecsmlouvy">
    <w:name w:val="Odstavec smlouvy"/>
    <w:basedOn w:val="Zkladntext"/>
    <w:link w:val="OdstavecsmlouvyChar"/>
    <w:rsid w:val="004D3AF4"/>
    <w:pPr>
      <w:numPr>
        <w:ilvl w:val="2"/>
        <w:numId w:val="1"/>
      </w:numPr>
      <w:tabs>
        <w:tab w:val="clear" w:pos="720"/>
      </w:tabs>
      <w:spacing w:before="120" w:after="120"/>
      <w:ind w:right="0"/>
      <w:jc w:val="both"/>
      <w:outlineLvl w:val="1"/>
    </w:pPr>
    <w:rPr>
      <w:rFonts w:ascii="Calibri" w:hAnsi="Calibri"/>
      <w:color w:val="auto"/>
      <w:sz w:val="20"/>
      <w:lang w:val="x-none" w:eastAsia="en-US"/>
    </w:rPr>
  </w:style>
  <w:style w:type="character" w:customStyle="1" w:styleId="OdstavecsmlouvyChar">
    <w:name w:val="Odstavec smlouvy Char"/>
    <w:link w:val="Odstavecsmlouvy"/>
    <w:locked/>
    <w:rsid w:val="004D3AF4"/>
    <w:rPr>
      <w:rFonts w:ascii="Calibri" w:hAnsi="Calibri"/>
      <w:lang w:val="x-none" w:eastAsia="en-US"/>
    </w:rPr>
  </w:style>
  <w:style w:type="paragraph" w:customStyle="1" w:styleId="Odrazkysmlouva">
    <w:name w:val="Odrazky_smlouva"/>
    <w:basedOn w:val="Zkladntext"/>
    <w:qFormat/>
    <w:rsid w:val="004D3AF4"/>
    <w:pPr>
      <w:numPr>
        <w:numId w:val="14"/>
      </w:numPr>
      <w:tabs>
        <w:tab w:val="clear" w:pos="708"/>
        <w:tab w:val="left" w:pos="1418"/>
      </w:tabs>
      <w:spacing w:before="40" w:after="40"/>
      <w:ind w:right="0"/>
      <w:jc w:val="both"/>
      <w:outlineLvl w:val="3"/>
    </w:pPr>
    <w:rPr>
      <w:rFonts w:ascii="Calibri" w:hAnsi="Calibri" w:cs="Calibri"/>
      <w:color w:val="auto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E3708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E3708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4309A8"/>
    <w:rPr>
      <w:sz w:val="24"/>
      <w:szCs w:val="24"/>
    </w:rPr>
  </w:style>
  <w:style w:type="character" w:styleId="Hypertextovodkaz">
    <w:name w:val="Hyperlink"/>
    <w:uiPriority w:val="99"/>
    <w:unhideWhenUsed/>
    <w:rsid w:val="00674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2354</Words>
  <Characters>14403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kupní smlouva</vt:lpstr>
      <vt:lpstr>Vzorová kupní smlouva</vt:lpstr>
    </vt:vector>
  </TitlesOfParts>
  <Company>Hewlett-Packard Company</Company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kupní smlouva</dc:title>
  <dc:creator>kavalcoh</dc:creator>
  <cp:lastModifiedBy>Kovacova Dagmar</cp:lastModifiedBy>
  <cp:revision>3</cp:revision>
  <cp:lastPrinted>2015-04-13T10:20:00Z</cp:lastPrinted>
  <dcterms:created xsi:type="dcterms:W3CDTF">2017-01-11T12:37:00Z</dcterms:created>
  <dcterms:modified xsi:type="dcterms:W3CDTF">2017-01-11T16:00:00Z</dcterms:modified>
</cp:coreProperties>
</file>