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AA" w:rsidRPr="00217236" w:rsidRDefault="00217236" w:rsidP="000F6CA5">
      <w:pPr>
        <w:suppressAutoHyphens w:val="0"/>
        <w:spacing w:after="220"/>
        <w:jc w:val="center"/>
        <w:rPr>
          <w:rFonts w:ascii="Arial Black" w:hAnsi="Arial Black" w:cs="Arial"/>
          <w:b/>
          <w:caps/>
          <w:sz w:val="44"/>
        </w:rPr>
      </w:pPr>
      <w:bookmarkStart w:id="0" w:name="_GoBack"/>
      <w:bookmarkEnd w:id="0"/>
      <w:r w:rsidRPr="00217236">
        <w:rPr>
          <w:rFonts w:ascii="Arial Black" w:hAnsi="Arial Black" w:cs="Arial"/>
          <w:b/>
          <w:sz w:val="44"/>
        </w:rPr>
        <w:t>KUPNÍ SMLOUVA</w:t>
      </w:r>
    </w:p>
    <w:p w:rsidR="00F979AA" w:rsidRPr="00217236" w:rsidRDefault="00217236" w:rsidP="000F6CA5">
      <w:pPr>
        <w:suppressAutoHyphens w:val="0"/>
        <w:spacing w:after="6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:rsidR="00F979AA" w:rsidRPr="00217236" w:rsidRDefault="00217236" w:rsidP="000F6CA5">
      <w:pPr>
        <w:spacing w:before="48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Sídlo:</w:t>
      </w:r>
      <w:r w:rsidRPr="00217236">
        <w:rPr>
          <w:rFonts w:cs="Arial"/>
        </w:rPr>
        <w:tab/>
      </w:r>
      <w:r w:rsidR="00F62F4E">
        <w:t>Jugoslávských partyzánů 1580/3, 160 00 Praha 6 - Dejvice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DIČ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CZ68407700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Zastoupená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CC44E2">
        <w:rPr>
          <w:rFonts w:cs="Arial"/>
        </w:rPr>
        <w:t>xxxxxxx</w:t>
      </w:r>
    </w:p>
    <w:p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Bankovní spojení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CC44E2">
        <w:rPr>
          <w:rFonts w:cs="Arial"/>
        </w:rPr>
        <w:t>xxxxxxx</w:t>
      </w:r>
    </w:p>
    <w:p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Číslo účtu</w:t>
      </w:r>
      <w:r w:rsidRPr="00217236">
        <w:rPr>
          <w:rFonts w:cs="Arial"/>
        </w:rPr>
        <w:t>.:</w:t>
      </w:r>
      <w:r w:rsidRPr="00217236">
        <w:rPr>
          <w:rFonts w:cs="Arial"/>
        </w:rPr>
        <w:tab/>
      </w:r>
      <w:r w:rsidR="00CC44E2">
        <w:rPr>
          <w:rFonts w:cs="Arial"/>
        </w:rPr>
        <w:t>xxxxxxx</w:t>
      </w:r>
      <w:r w:rsidRPr="00217236">
        <w:rPr>
          <w:rFonts w:cs="Arial"/>
        </w:rPr>
        <w:t xml:space="preserve"> </w:t>
      </w:r>
    </w:p>
    <w:p w:rsidR="00F979AA" w:rsidRPr="00217236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 w:rsidR="006461D0"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:rsidR="00AC6BD4" w:rsidRPr="00217236" w:rsidRDefault="00BB304A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BB304A">
        <w:rPr>
          <w:rFonts w:cs="Arial"/>
          <w:b/>
        </w:rPr>
        <w:t>Nicolet CZ s.r.o.</w:t>
      </w:r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Sídlo:</w:t>
      </w:r>
      <w:r w:rsidRPr="00217236">
        <w:rPr>
          <w:rFonts w:cs="Arial"/>
        </w:rPr>
        <w:tab/>
      </w:r>
      <w:r w:rsidR="00BB304A" w:rsidRPr="00BB304A">
        <w:rPr>
          <w:rFonts w:cs="Arial"/>
        </w:rPr>
        <w:t xml:space="preserve">Klapálkova 2242/9, 149 </w:t>
      </w:r>
      <w:r w:rsidR="00BB304A">
        <w:rPr>
          <w:rFonts w:cs="Arial"/>
        </w:rPr>
        <w:t>00</w:t>
      </w:r>
      <w:r w:rsidR="00BB304A" w:rsidRPr="00BB304A">
        <w:rPr>
          <w:rFonts w:cs="Arial"/>
        </w:rPr>
        <w:t xml:space="preserve"> Praha 4</w:t>
      </w:r>
    </w:p>
    <w:p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IČ:</w:t>
      </w:r>
      <w:r w:rsidRPr="00217236">
        <w:rPr>
          <w:rFonts w:cs="Arial"/>
        </w:rPr>
        <w:tab/>
      </w:r>
      <w:r w:rsidR="00BB304A" w:rsidRPr="00BB304A">
        <w:rPr>
          <w:rFonts w:cs="Arial"/>
        </w:rPr>
        <w:t>26422182</w:t>
      </w:r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r w:rsidR="00BB304A" w:rsidRPr="00BB304A">
        <w:rPr>
          <w:rFonts w:cs="Arial"/>
        </w:rPr>
        <w:t>CZ26422182</w:t>
      </w:r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031A81" w:rsidRPr="00217236" w:rsidRDefault="00AC6BD4" w:rsidP="00BB304A">
      <w:pPr>
        <w:tabs>
          <w:tab w:val="left" w:pos="426"/>
          <w:tab w:val="left" w:pos="3119"/>
        </w:tabs>
        <w:suppressAutoHyphens w:val="0"/>
        <w:spacing w:line="276" w:lineRule="auto"/>
        <w:ind w:left="3119" w:hanging="3119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BB304A" w:rsidRPr="00BB304A">
        <w:rPr>
          <w:rFonts w:cs="Arial"/>
        </w:rPr>
        <w:t>Obchodním rejstříku vedeném Městským soudem v Praze, Oddíl C, vložka 80993</w:t>
      </w:r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:rsidR="006461D0" w:rsidRPr="00217236" w:rsidRDefault="006461D0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:rsidR="00F979AA" w:rsidRPr="00217236" w:rsidRDefault="00F979AA" w:rsidP="00BB304A">
      <w:pPr>
        <w:suppressAutoHyphens w:val="0"/>
        <w:spacing w:after="120"/>
        <w:rPr>
          <w:rFonts w:cs="Arial"/>
        </w:rPr>
      </w:pPr>
    </w:p>
    <w:p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:rsidR="00F979AA" w:rsidRDefault="006461D0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:rsidR="006461D0" w:rsidRDefault="0049180B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>ání veřejných zakázek</w:t>
      </w:r>
      <w:r w:rsidR="00161E46">
        <w:rPr>
          <w:rFonts w:ascii="Arial" w:hAnsi="Arial" w:cs="Arial"/>
          <w:lang w:val="cs-CZ"/>
        </w:rPr>
        <w:t>, ve znění pozdějších předpisů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:rsidR="00F979AA" w:rsidRDefault="00E452BC" w:rsidP="00E452B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:rsidR="00E452BC" w:rsidRPr="007C076B" w:rsidRDefault="00E452BC" w:rsidP="00BB304A">
      <w:pPr>
        <w:pStyle w:val="Normln-sted"/>
        <w:numPr>
          <w:ilvl w:val="0"/>
          <w:numId w:val="6"/>
        </w:numPr>
        <w:spacing w:after="110" w:line="240" w:lineRule="auto"/>
        <w:ind w:left="426"/>
        <w:rPr>
          <w:rFonts w:ascii="Arial" w:hAnsi="Arial" w:cs="Arial"/>
          <w:lang w:val="cs-CZ"/>
        </w:rPr>
      </w:pPr>
      <w:r w:rsidRPr="007C076B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Pr="007C076B">
        <w:rPr>
          <w:rFonts w:ascii="Arial" w:hAnsi="Arial" w:cs="Arial"/>
          <w:b/>
          <w:lang w:val="cs-CZ"/>
        </w:rPr>
        <w:t>„</w:t>
      </w:r>
      <w:r w:rsidR="005408D7" w:rsidRPr="007C076B">
        <w:rPr>
          <w:rFonts w:ascii="Arial" w:hAnsi="Arial" w:cs="Arial"/>
          <w:b/>
          <w:lang w:val="cs-CZ"/>
        </w:rPr>
        <w:t>SPEKTROMETRY</w:t>
      </w:r>
      <w:r w:rsidRPr="007C076B">
        <w:rPr>
          <w:rFonts w:ascii="Arial" w:hAnsi="Arial" w:cs="Arial"/>
          <w:b/>
          <w:lang w:val="cs-CZ"/>
        </w:rPr>
        <w:t>“</w:t>
      </w:r>
      <w:r w:rsidRPr="007C076B">
        <w:rPr>
          <w:rFonts w:ascii="Arial" w:hAnsi="Arial" w:cs="Arial"/>
          <w:lang w:val="cs-CZ"/>
        </w:rPr>
        <w:t xml:space="preserve">, </w:t>
      </w:r>
      <w:r w:rsidR="007C076B" w:rsidRPr="007C076B">
        <w:rPr>
          <w:rFonts w:ascii="Arial" w:hAnsi="Arial" w:cs="Arial"/>
          <w:lang w:val="cs-CZ"/>
        </w:rPr>
        <w:t xml:space="preserve">části </w:t>
      </w:r>
      <w:r w:rsidR="00E441FB">
        <w:rPr>
          <w:rFonts w:ascii="Arial" w:hAnsi="Arial" w:cs="Arial"/>
          <w:lang w:val="cs-CZ"/>
        </w:rPr>
        <w:t>3</w:t>
      </w:r>
      <w:r w:rsidR="007C076B" w:rsidRPr="007C076B">
        <w:rPr>
          <w:rFonts w:ascii="Arial" w:hAnsi="Arial" w:cs="Arial"/>
          <w:lang w:val="cs-CZ"/>
        </w:rPr>
        <w:t xml:space="preserve"> </w:t>
      </w:r>
      <w:r w:rsidR="007C076B">
        <w:rPr>
          <w:rFonts w:ascii="Arial" w:hAnsi="Arial" w:cs="Arial"/>
          <w:lang w:val="cs-CZ"/>
        </w:rPr>
        <w:t>–</w:t>
      </w:r>
      <w:r w:rsidR="007C076B" w:rsidRPr="007C076B">
        <w:rPr>
          <w:rFonts w:ascii="Arial" w:hAnsi="Arial" w:cs="Arial"/>
          <w:lang w:val="cs-CZ"/>
        </w:rPr>
        <w:t xml:space="preserve"> </w:t>
      </w:r>
      <w:r w:rsidR="007C076B" w:rsidRPr="007C076B">
        <w:rPr>
          <w:rFonts w:ascii="Arial" w:hAnsi="Arial" w:cs="Arial"/>
          <w:b/>
          <w:lang w:val="cs-CZ"/>
        </w:rPr>
        <w:t>„FT-IR Spektrální analyzátor“</w:t>
      </w:r>
      <w:r w:rsidR="007C076B">
        <w:rPr>
          <w:rFonts w:ascii="Arial" w:hAnsi="Arial" w:cs="Arial"/>
          <w:lang w:val="cs-CZ"/>
        </w:rPr>
        <w:t>,</w:t>
      </w:r>
      <w:r w:rsidR="007C076B" w:rsidRPr="007C076B">
        <w:rPr>
          <w:rFonts w:ascii="Arial" w:hAnsi="Arial" w:cs="Arial"/>
          <w:lang w:val="cs-CZ"/>
        </w:rPr>
        <w:t xml:space="preserve"> </w:t>
      </w:r>
      <w:r w:rsidRPr="007C076B">
        <w:rPr>
          <w:rFonts w:ascii="Arial" w:hAnsi="Arial" w:cs="Arial"/>
          <w:lang w:val="cs-CZ"/>
        </w:rPr>
        <w:t>jejímž cílem bylo vybrat</w:t>
      </w:r>
      <w:r w:rsidR="00B80591" w:rsidRPr="007C076B">
        <w:rPr>
          <w:rFonts w:ascii="Arial" w:hAnsi="Arial" w:cs="Arial"/>
          <w:lang w:val="cs-CZ"/>
        </w:rPr>
        <w:t xml:space="preserve"> dodavatele</w:t>
      </w:r>
      <w:r w:rsidRPr="007C076B">
        <w:rPr>
          <w:rFonts w:ascii="Arial" w:hAnsi="Arial" w:cs="Arial"/>
          <w:lang w:val="cs-CZ"/>
        </w:rPr>
        <w:t xml:space="preserve"> předmět</w:t>
      </w:r>
      <w:r w:rsidR="00B80591" w:rsidRPr="007C076B">
        <w:rPr>
          <w:rFonts w:ascii="Arial" w:hAnsi="Arial" w:cs="Arial"/>
          <w:lang w:val="cs-CZ"/>
        </w:rPr>
        <w:t>u</w:t>
      </w:r>
      <w:r w:rsidRPr="007C076B">
        <w:rPr>
          <w:rFonts w:ascii="Arial" w:hAnsi="Arial" w:cs="Arial"/>
          <w:lang w:val="cs-CZ"/>
        </w:rPr>
        <w:t xml:space="preserve"> smlouvy (</w:t>
      </w:r>
      <w:r w:rsidRPr="007C076B">
        <w:rPr>
          <w:rFonts w:ascii="Arial" w:hAnsi="Arial" w:cs="Arial"/>
          <w:b/>
          <w:lang w:val="cs-CZ"/>
        </w:rPr>
        <w:t>„Veřejná zakázka“</w:t>
      </w:r>
      <w:r w:rsidRPr="007C076B">
        <w:rPr>
          <w:rFonts w:ascii="Arial" w:hAnsi="Arial" w:cs="Arial"/>
          <w:lang w:val="cs-CZ"/>
        </w:rPr>
        <w:t xml:space="preserve">), byla Kupujícím vyhodnocena jako </w:t>
      </w:r>
      <w:r w:rsidR="00161E46" w:rsidRPr="007C076B">
        <w:rPr>
          <w:rFonts w:ascii="Arial" w:hAnsi="Arial" w:cs="Arial"/>
          <w:lang w:val="cs-CZ"/>
        </w:rPr>
        <w:t xml:space="preserve">ekonomicky </w:t>
      </w:r>
      <w:r w:rsidRPr="007C076B">
        <w:rPr>
          <w:rFonts w:ascii="Arial" w:hAnsi="Arial" w:cs="Arial"/>
          <w:lang w:val="cs-CZ"/>
        </w:rPr>
        <w:t>nejvýhodnější.</w:t>
      </w:r>
    </w:p>
    <w:p w:rsidR="00E452BC" w:rsidRPr="00E452BC" w:rsidRDefault="00E452BC" w:rsidP="00E452BC">
      <w:pPr>
        <w:pStyle w:val="Normln-sted"/>
        <w:numPr>
          <w:ilvl w:val="0"/>
          <w:numId w:val="0"/>
        </w:numPr>
        <w:spacing w:before="240" w:after="110" w:line="240" w:lineRule="auto"/>
        <w:rPr>
          <w:rFonts w:ascii="Arial" w:hAnsi="Arial" w:cs="Arial"/>
          <w:b/>
          <w:lang w:val="cs-CZ"/>
        </w:rPr>
      </w:pPr>
      <w:r w:rsidRPr="00E452BC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>.</w:t>
      </w:r>
    </w:p>
    <w:p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br w:type="page"/>
      </w:r>
      <w:r w:rsidRPr="00217236">
        <w:rPr>
          <w:rFonts w:cs="Arial"/>
          <w:b/>
        </w:rPr>
        <w:lastRenderedPageBreak/>
        <w:t>I.</w:t>
      </w:r>
    </w:p>
    <w:p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:rsidR="00E452BC" w:rsidRDefault="00E452BC" w:rsidP="00961A8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Kupujícímu Zboží, </w:t>
      </w:r>
      <w:r>
        <w:rPr>
          <w:rFonts w:ascii="Arial" w:hAnsi="Arial" w:cs="Arial"/>
          <w:b w:val="0"/>
          <w:color w:val="auto"/>
          <w:sz w:val="22"/>
        </w:rPr>
        <w:t>které splňuje požadavky uvedené v</w:t>
      </w:r>
      <w:r w:rsidRPr="00E452BC">
        <w:rPr>
          <w:rFonts w:ascii="Arial" w:hAnsi="Arial" w:cs="Arial"/>
          <w:b w:val="0"/>
          <w:color w:val="auto"/>
          <w:sz w:val="22"/>
        </w:rPr>
        <w:t> </w:t>
      </w:r>
      <w:r w:rsidRPr="00BD4E13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E452BC">
        <w:rPr>
          <w:rFonts w:ascii="Arial" w:hAnsi="Arial" w:cs="Arial"/>
          <w:b w:val="0"/>
          <w:color w:val="auto"/>
          <w:sz w:val="22"/>
        </w:rPr>
        <w:t xml:space="preserve"> této Smlouvy</w:t>
      </w:r>
      <w:r>
        <w:rPr>
          <w:rFonts w:ascii="Arial" w:hAnsi="Arial" w:cs="Arial"/>
          <w:b w:val="0"/>
          <w:color w:val="auto"/>
          <w:sz w:val="22"/>
        </w:rPr>
        <w:t xml:space="preserve"> (</w:t>
      </w:r>
      <w:r w:rsidRPr="00E452BC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>
        <w:rPr>
          <w:rFonts w:ascii="Arial" w:hAnsi="Arial" w:cs="Arial"/>
          <w:b w:val="0"/>
          <w:color w:val="auto"/>
          <w:sz w:val="22"/>
        </w:rPr>
        <w:t>)</w:t>
      </w:r>
      <w:r w:rsidRPr="00E452BC">
        <w:rPr>
          <w:rFonts w:ascii="Arial" w:hAnsi="Arial" w:cs="Arial"/>
          <w:b w:val="0"/>
          <w:color w:val="auto"/>
          <w:sz w:val="22"/>
        </w:rPr>
        <w:t>, která tvoří její nedílnou součást</w:t>
      </w:r>
      <w:r>
        <w:rPr>
          <w:rFonts w:ascii="Arial" w:hAnsi="Arial" w:cs="Arial"/>
          <w:b w:val="0"/>
          <w:color w:val="auto"/>
          <w:sz w:val="22"/>
        </w:rPr>
        <w:t xml:space="preserve">, a </w:t>
      </w:r>
      <w:r w:rsidRPr="00E452BC">
        <w:rPr>
          <w:rFonts w:ascii="Arial" w:hAnsi="Arial" w:cs="Arial"/>
          <w:b w:val="0"/>
          <w:color w:val="auto"/>
          <w:sz w:val="22"/>
        </w:rPr>
        <w:t xml:space="preserve">zavazuje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E452BC">
        <w:rPr>
          <w:rFonts w:ascii="Arial" w:hAnsi="Arial" w:cs="Arial"/>
          <w:b w:val="0"/>
          <w:color w:val="auto"/>
          <w:sz w:val="22"/>
        </w:rPr>
        <w:t>převést na Kupujícího vlastnické právo ke Zboží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E452BC">
        <w:rPr>
          <w:rFonts w:ascii="Arial" w:hAnsi="Arial" w:cs="Arial"/>
          <w:b w:val="0"/>
          <w:color w:val="auto"/>
          <w:sz w:val="22"/>
        </w:rPr>
        <w:t xml:space="preserve"> Kupující se zavazuje </w:t>
      </w:r>
      <w:r>
        <w:rPr>
          <w:rFonts w:ascii="Arial" w:hAnsi="Arial" w:cs="Arial"/>
          <w:b w:val="0"/>
          <w:color w:val="auto"/>
          <w:sz w:val="22"/>
        </w:rPr>
        <w:t xml:space="preserve">převzít Zboží a </w:t>
      </w:r>
      <w:r w:rsidRPr="00E452BC">
        <w:rPr>
          <w:rFonts w:ascii="Arial" w:hAnsi="Arial" w:cs="Arial"/>
          <w:b w:val="0"/>
          <w:color w:val="auto"/>
          <w:sz w:val="22"/>
        </w:rPr>
        <w:t>uhradit kupní cenu za Zboží</w:t>
      </w:r>
      <w:r>
        <w:rPr>
          <w:rFonts w:ascii="Arial" w:hAnsi="Arial" w:cs="Arial"/>
          <w:b w:val="0"/>
          <w:color w:val="auto"/>
          <w:sz w:val="22"/>
        </w:rPr>
        <w:t xml:space="preserve"> (specifikovanou níže) dle pravidel a podmínek uvedených v této Smlouvě.</w:t>
      </w:r>
    </w:p>
    <w:p w:rsidR="00BD4E13" w:rsidRPr="00BD4E13" w:rsidRDefault="00BD4E13" w:rsidP="00BD4E13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Součástí dodání Zboží jsou i následující činnosti (</w:t>
      </w:r>
      <w:r w:rsidRPr="00BD4E13">
        <w:rPr>
          <w:rFonts w:ascii="Arial" w:hAnsi="Arial" w:cs="Arial"/>
          <w:color w:val="auto"/>
          <w:sz w:val="22"/>
        </w:rPr>
        <w:t>„Související činnosti“</w:t>
      </w:r>
      <w:r>
        <w:rPr>
          <w:rFonts w:ascii="Arial" w:hAnsi="Arial" w:cs="Arial"/>
          <w:b w:val="0"/>
          <w:color w:val="auto"/>
          <w:sz w:val="22"/>
        </w:rPr>
        <w:t>)</w:t>
      </w:r>
    </w:p>
    <w:p w:rsidR="00BD4E13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vypracovat a předat Kupujícímu provozní, instalační a servisní manuál ke Zboží a další dokumenty, které jsou nezbytné pro správné převzetí a užití Zboží v anglickém jazyce, a to v rozsahu Zboží specifikovaného v </w:t>
      </w:r>
      <w:r w:rsidRPr="005408D7">
        <w:rPr>
          <w:rFonts w:ascii="Arial" w:hAnsi="Arial" w:cs="Arial"/>
          <w:i w:val="0"/>
          <w:color w:val="auto"/>
          <w:u w:val="single"/>
        </w:rPr>
        <w:t>Příloze č. 2</w:t>
      </w:r>
      <w:r w:rsidRPr="005408D7">
        <w:rPr>
          <w:rFonts w:ascii="Arial" w:hAnsi="Arial" w:cs="Arial"/>
          <w:i w:val="0"/>
          <w:color w:val="auto"/>
        </w:rPr>
        <w:t xml:space="preserve"> (</w:t>
      </w:r>
      <w:r w:rsidRPr="005408D7">
        <w:rPr>
          <w:rFonts w:ascii="Arial" w:hAnsi="Arial" w:cs="Arial"/>
          <w:color w:val="auto"/>
        </w:rPr>
        <w:t>Technická specifikace</w:t>
      </w:r>
      <w:r w:rsidRPr="005408D7">
        <w:rPr>
          <w:rFonts w:ascii="Arial" w:hAnsi="Arial" w:cs="Arial"/>
          <w:i w:val="0"/>
          <w:color w:val="auto"/>
        </w:rPr>
        <w:t>);</w:t>
      </w:r>
    </w:p>
    <w:p w:rsidR="00F979AA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předat Kupujícímu ke Zboží prohlášení o shodě s příslušnými normami;</w:t>
      </w:r>
    </w:p>
    <w:p w:rsidR="00F979AA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vypracovat seznam konkrétních položek Zboží pro účely kontroly</w:t>
      </w:r>
      <w:r w:rsidR="0033126A" w:rsidRPr="005408D7">
        <w:rPr>
          <w:rFonts w:ascii="Arial" w:hAnsi="Arial" w:cs="Arial"/>
          <w:i w:val="0"/>
          <w:color w:val="auto"/>
        </w:rPr>
        <w:t>;</w:t>
      </w:r>
    </w:p>
    <w:p w:rsidR="005A7B30" w:rsidRPr="005408D7" w:rsidRDefault="00BD4E13" w:rsidP="005408D7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line="276" w:lineRule="auto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 xml:space="preserve">poskytnout školení </w:t>
      </w:r>
      <w:r w:rsidR="003B7F61" w:rsidRPr="005408D7">
        <w:rPr>
          <w:rFonts w:ascii="Arial" w:hAnsi="Arial" w:cs="Arial"/>
          <w:i w:val="0"/>
          <w:color w:val="auto"/>
        </w:rPr>
        <w:t>v</w:t>
      </w:r>
      <w:r w:rsidR="00324C23">
        <w:rPr>
          <w:rFonts w:ascii="Arial" w:hAnsi="Arial" w:cs="Arial"/>
          <w:i w:val="0"/>
          <w:color w:val="auto"/>
        </w:rPr>
        <w:t> rozsahu specifikovaném v</w:t>
      </w:r>
      <w:r w:rsidR="00BE0FC7">
        <w:rPr>
          <w:rFonts w:ascii="Arial" w:hAnsi="Arial" w:cs="Arial"/>
          <w:i w:val="0"/>
          <w:color w:val="auto"/>
        </w:rPr>
        <w:t> </w:t>
      </w:r>
      <w:r w:rsidR="00324C23" w:rsidRPr="00324C23">
        <w:rPr>
          <w:rFonts w:ascii="Arial" w:hAnsi="Arial" w:cs="Arial"/>
          <w:i w:val="0"/>
          <w:color w:val="auto"/>
          <w:u w:val="single"/>
        </w:rPr>
        <w:t>Příloze</w:t>
      </w:r>
      <w:r w:rsidR="00BE0FC7">
        <w:rPr>
          <w:rFonts w:ascii="Arial" w:hAnsi="Arial" w:cs="Arial"/>
          <w:i w:val="0"/>
          <w:color w:val="auto"/>
          <w:u w:val="single"/>
        </w:rPr>
        <w:t> </w:t>
      </w:r>
      <w:r w:rsidR="00324C23" w:rsidRPr="00324C23">
        <w:rPr>
          <w:rFonts w:ascii="Arial" w:hAnsi="Arial" w:cs="Arial"/>
          <w:i w:val="0"/>
          <w:color w:val="auto"/>
          <w:u w:val="single"/>
        </w:rPr>
        <w:t>č.</w:t>
      </w:r>
      <w:r w:rsidR="00BE0FC7">
        <w:rPr>
          <w:rFonts w:ascii="Arial" w:hAnsi="Arial" w:cs="Arial"/>
          <w:i w:val="0"/>
          <w:color w:val="auto"/>
          <w:u w:val="single"/>
        </w:rPr>
        <w:t> </w:t>
      </w:r>
      <w:r w:rsidR="00324C23" w:rsidRPr="00324C23">
        <w:rPr>
          <w:rFonts w:ascii="Arial" w:hAnsi="Arial" w:cs="Arial"/>
          <w:i w:val="0"/>
          <w:color w:val="auto"/>
          <w:u w:val="single"/>
        </w:rPr>
        <w:t>2</w:t>
      </w:r>
      <w:r w:rsidR="00324C23">
        <w:rPr>
          <w:rFonts w:ascii="Arial" w:hAnsi="Arial" w:cs="Arial"/>
          <w:i w:val="0"/>
          <w:color w:val="auto"/>
        </w:rPr>
        <w:t xml:space="preserve"> (</w:t>
      </w:r>
      <w:r w:rsidR="00324C23" w:rsidRPr="00324C23">
        <w:rPr>
          <w:rFonts w:ascii="Arial" w:hAnsi="Arial" w:cs="Arial"/>
          <w:color w:val="auto"/>
        </w:rPr>
        <w:t>Technická specifikace</w:t>
      </w:r>
      <w:r w:rsidR="00324C23">
        <w:rPr>
          <w:rFonts w:ascii="Arial" w:hAnsi="Arial" w:cs="Arial"/>
          <w:i w:val="0"/>
          <w:color w:val="auto"/>
        </w:rPr>
        <w:t>).</w:t>
      </w:r>
    </w:p>
    <w:p w:rsidR="005408D7" w:rsidRPr="005408D7" w:rsidRDefault="005408D7" w:rsidP="005408D7">
      <w:pPr>
        <w:rPr>
          <w:highlight w:val="green"/>
        </w:rPr>
      </w:pPr>
    </w:p>
    <w:p w:rsidR="00F979AA" w:rsidRPr="00F02E8B" w:rsidRDefault="00F02E8B" w:rsidP="00F02E8B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:rsidR="00F02E8B" w:rsidRDefault="00F02E8B" w:rsidP="00857F16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F02E8B">
        <w:rPr>
          <w:rFonts w:cs="Arial"/>
        </w:rPr>
        <w:t xml:space="preserve">Prodávající se zavazuje, že dodá Kupujícímu Zboží a splní veškeré povinnosti dle čl. I. této smlouvy </w:t>
      </w:r>
      <w:r w:rsidRPr="005408D7">
        <w:rPr>
          <w:rFonts w:cs="Arial"/>
        </w:rPr>
        <w:t xml:space="preserve">nejpozději do </w:t>
      </w:r>
      <w:r w:rsidR="00324C23">
        <w:rPr>
          <w:rFonts w:cs="Arial"/>
          <w:b/>
        </w:rPr>
        <w:t>7</w:t>
      </w:r>
      <w:r w:rsidR="003D0B6B" w:rsidRPr="005408D7">
        <w:rPr>
          <w:rFonts w:cs="Arial"/>
          <w:b/>
        </w:rPr>
        <w:t xml:space="preserve"> týdnů</w:t>
      </w:r>
      <w:r w:rsidRPr="005408D7">
        <w:rPr>
          <w:rFonts w:cs="Arial"/>
          <w:b/>
        </w:rPr>
        <w:t xml:space="preserve"> </w:t>
      </w:r>
      <w:r w:rsidR="001762A9" w:rsidRPr="005408D7">
        <w:rPr>
          <w:rFonts w:cs="Arial"/>
        </w:rPr>
        <w:t xml:space="preserve">od </w:t>
      </w:r>
      <w:r w:rsidR="00161E46" w:rsidRPr="005408D7">
        <w:rPr>
          <w:rFonts w:cs="Arial"/>
        </w:rPr>
        <w:t xml:space="preserve">nabytí </w:t>
      </w:r>
      <w:r w:rsidR="001762A9" w:rsidRPr="005408D7">
        <w:rPr>
          <w:rFonts w:cs="Arial"/>
        </w:rPr>
        <w:t>účinnosti smlouvy</w:t>
      </w:r>
      <w:r w:rsidRPr="005408D7">
        <w:rPr>
          <w:rFonts w:cs="Arial"/>
        </w:rPr>
        <w:t>.</w:t>
      </w:r>
    </w:p>
    <w:p w:rsidR="00F979AA" w:rsidRPr="005408D7" w:rsidRDefault="00F02E8B" w:rsidP="00324C23">
      <w:pPr>
        <w:pStyle w:val="Odstavecseseznamem"/>
        <w:numPr>
          <w:ilvl w:val="0"/>
          <w:numId w:val="4"/>
        </w:numPr>
        <w:spacing w:before="0" w:after="220"/>
        <w:rPr>
          <w:rFonts w:cs="Arial"/>
        </w:rPr>
      </w:pPr>
      <w:r>
        <w:rPr>
          <w:rFonts w:cs="Arial"/>
        </w:rPr>
        <w:t>Prodávající je odpovědný za dodání Zboží do místa plnění. Místem plnění je následující adresa</w:t>
      </w:r>
      <w:r w:rsidRPr="005408D7">
        <w:rPr>
          <w:rFonts w:cs="Arial"/>
        </w:rPr>
        <w:t xml:space="preserve">: </w:t>
      </w:r>
      <w:r w:rsidR="00324C23" w:rsidRPr="00324C23">
        <w:rPr>
          <w:rFonts w:cs="Arial"/>
        </w:rPr>
        <w:t xml:space="preserve">ČVUT v Praze, Fakulta elektrotechnická, katedra ekonomiky, manažerství a humanitních věd, </w:t>
      </w:r>
      <w:r w:rsidR="00634719">
        <w:rPr>
          <w:rFonts w:cs="Arial"/>
        </w:rPr>
        <w:t>xxxxxxxxxxxxxxxxxxxxxxxxxxxxxxx</w:t>
      </w:r>
      <w:r w:rsidR="003B7F61" w:rsidRPr="005408D7">
        <w:rPr>
          <w:rFonts w:cs="Arial"/>
        </w:rPr>
        <w:t>.</w:t>
      </w:r>
    </w:p>
    <w:p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:rsidR="00F979AA" w:rsidRPr="00F02E8B" w:rsidRDefault="00F02E8B" w:rsidP="00F02E8B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</w:rPr>
      </w:pPr>
      <w:r w:rsidRPr="00F02E8B">
        <w:rPr>
          <w:rFonts w:cs="Arial"/>
        </w:rPr>
        <w:t>Vlastnické právo 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4966CC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>protokolu</w:t>
      </w:r>
      <w:r w:rsidR="004966CC">
        <w:rPr>
          <w:rFonts w:cs="Arial"/>
        </w:rPr>
        <w:t xml:space="preserve"> (dodacího listu)</w:t>
      </w:r>
      <w:r w:rsidRPr="00F02E8B">
        <w:rPr>
          <w:rFonts w:cs="Arial"/>
        </w:rPr>
        <w:t xml:space="preserve"> oběma stranami.</w:t>
      </w:r>
    </w:p>
    <w:p w:rsidR="00F62F4E" w:rsidRDefault="00F62F4E">
      <w:pPr>
        <w:suppressAutoHyphens w:val="0"/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IV.</w:t>
      </w:r>
    </w:p>
    <w:p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je </w:t>
      </w:r>
      <w:r w:rsidR="00BB304A">
        <w:rPr>
          <w:rFonts w:ascii="Arial" w:hAnsi="Arial" w:cs="Arial"/>
          <w:b w:val="0"/>
          <w:color w:val="auto"/>
          <w:sz w:val="22"/>
          <w:szCs w:val="22"/>
        </w:rPr>
        <w:t>1 100 000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a s DPH ve výši 21 % činí </w:t>
      </w:r>
      <w:r w:rsidR="00BB304A">
        <w:rPr>
          <w:rFonts w:ascii="Arial" w:hAnsi="Arial" w:cs="Arial"/>
          <w:b w:val="0"/>
          <w:color w:val="auto"/>
          <w:sz w:val="22"/>
          <w:szCs w:val="22"/>
        </w:rPr>
        <w:t>1 331 000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Smluvní cena je sjednána 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mimojiné, všechny náklady spojené s převzetím Zboží a provedením Souvisejících činností, </w:t>
      </w:r>
      <w:r w:rsidR="008946B7">
        <w:rPr>
          <w:rFonts w:ascii="Arial" w:hAnsi="Arial" w:cs="Arial"/>
          <w:b w:val="0"/>
          <w:color w:val="auto"/>
          <w:sz w:val="22"/>
        </w:rPr>
        <w:t xml:space="preserve">přepravou zboží do místa plnění,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veškeré další náklady a výdaje </w:t>
      </w:r>
      <w:r>
        <w:rPr>
          <w:rFonts w:ascii="Arial" w:hAnsi="Arial" w:cs="Arial"/>
          <w:b w:val="0"/>
          <w:color w:val="auto"/>
          <w:sz w:val="22"/>
        </w:rPr>
        <w:t>spojené</w:t>
      </w:r>
      <w:r w:rsidRPr="007A2D2F">
        <w:rPr>
          <w:rFonts w:ascii="Arial" w:hAnsi="Arial" w:cs="Arial"/>
          <w:b w:val="0"/>
          <w:color w:val="auto"/>
          <w:sz w:val="22"/>
        </w:rPr>
        <w:t xml:space="preserve"> s plněním této smlouvy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Smluvní cenu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:rsidR="007A2D2F" w:rsidRPr="005408D7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Kupní cena </w:t>
      </w:r>
      <w:r>
        <w:rPr>
          <w:rFonts w:ascii="Arial" w:hAnsi="Arial" w:cs="Arial"/>
          <w:b w:val="0"/>
          <w:color w:val="auto"/>
          <w:sz w:val="22"/>
        </w:rPr>
        <w:t>za Zboží</w:t>
      </w:r>
      <w:r w:rsidRPr="007A2D2F">
        <w:rPr>
          <w:rFonts w:ascii="Arial" w:hAnsi="Arial" w:cs="Arial"/>
          <w:b w:val="0"/>
          <w:color w:val="auto"/>
          <w:sz w:val="22"/>
        </w:rPr>
        <w:t xml:space="preserve"> bude </w:t>
      </w:r>
      <w:r w:rsidRPr="005408D7">
        <w:rPr>
          <w:rFonts w:ascii="Arial" w:hAnsi="Arial" w:cs="Arial"/>
          <w:b w:val="0"/>
          <w:color w:val="auto"/>
          <w:sz w:val="22"/>
        </w:rPr>
        <w:t xml:space="preserve">uhrazena v </w:t>
      </w:r>
      <w:r w:rsidR="0096550C" w:rsidRPr="005408D7">
        <w:rPr>
          <w:rFonts w:ascii="Arial" w:hAnsi="Arial" w:cs="Arial"/>
          <w:b w:val="0"/>
          <w:color w:val="auto"/>
          <w:sz w:val="22"/>
        </w:rPr>
        <w:t>Kč</w:t>
      </w:r>
      <w:r w:rsidRPr="005408D7">
        <w:rPr>
          <w:rFonts w:ascii="Arial" w:hAnsi="Arial" w:cs="Arial"/>
          <w:b w:val="0"/>
          <w:color w:val="auto"/>
          <w:sz w:val="22"/>
        </w:rPr>
        <w:t xml:space="preserve"> na základě daňových dokladů - faktur, na účet Prodávajícího určeného na faktuře.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vystavených faktur do </w:t>
      </w:r>
      <w:r w:rsidRPr="0096550C">
        <w:rPr>
          <w:rFonts w:ascii="Arial" w:hAnsi="Arial" w:cs="Arial"/>
          <w:b w:val="0"/>
          <w:color w:val="auto"/>
          <w:sz w:val="22"/>
        </w:rPr>
        <w:t>15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jejich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předmět plnění (zahrnující odkaz na tuto smlouvu),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:rsidR="00161E46" w:rsidRPr="005408D7" w:rsidRDefault="00161E46" w:rsidP="00161E46">
      <w:pPr>
        <w:pStyle w:val="Odstavecseseznamem"/>
        <w:numPr>
          <w:ilvl w:val="0"/>
          <w:numId w:val="29"/>
        </w:numPr>
        <w:spacing w:before="0" w:after="0"/>
      </w:pPr>
      <w:r w:rsidRPr="005408D7">
        <w:t>identifikaci projektu, na jehož základě je tato smlouva realizována, tj. projekt č.:</w:t>
      </w:r>
    </w:p>
    <w:p w:rsidR="00161E46" w:rsidRPr="005408D7" w:rsidRDefault="005408D7" w:rsidP="005408D7">
      <w:pPr>
        <w:ind w:left="1287"/>
      </w:pPr>
      <w:r w:rsidRPr="005408D7">
        <w:t>CZ.02.1.01/0.0/0.0/16_017/0002280</w:t>
      </w:r>
    </w:p>
    <w:p w:rsidR="002370E0" w:rsidRDefault="002370E0" w:rsidP="002370E0">
      <w:pPr>
        <w:spacing w:before="240"/>
        <w:rPr>
          <w:b/>
        </w:rPr>
      </w:pPr>
      <w:r w:rsidRPr="002370E0">
        <w:t>a musí splňovat případně dohody o zamezení dvojímu zdanění.</w:t>
      </w:r>
    </w:p>
    <w:p w:rsidR="00056FDD" w:rsidRDefault="00056FDD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lastRenderedPageBreak/>
        <w:t>V případě, že faktura neobsahuje výše uvedené informace,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:rsidR="00056FDD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>platné právní (např. bezpečnostní), technické a kvalitativní normy. Prodávající prokáže shodu s platnými bezpečnostními normami a normami EMI / EMC min. prohlášením o shodě CE.</w:t>
      </w:r>
    </w:p>
    <w:p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:rsidR="00F979AA" w:rsidRPr="00C13E2C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:rsidR="000B79E2" w:rsidRDefault="003B7F61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BB304A">
        <w:rPr>
          <w:rFonts w:ascii="Arial" w:hAnsi="Arial" w:cs="Arial"/>
          <w:b w:val="0"/>
          <w:color w:val="auto"/>
          <w:sz w:val="22"/>
        </w:rPr>
        <w:t>Prodávající poskytuje na Zboží</w:t>
      </w:r>
      <w:r w:rsidR="00FE146C" w:rsidRPr="00BB304A">
        <w:rPr>
          <w:rFonts w:ascii="Arial" w:hAnsi="Arial" w:cs="Arial"/>
          <w:b w:val="0"/>
          <w:color w:val="auto"/>
          <w:sz w:val="22"/>
        </w:rPr>
        <w:t xml:space="preserve"> </w:t>
      </w:r>
      <w:r w:rsidRPr="00BB304A">
        <w:rPr>
          <w:rFonts w:ascii="Arial" w:hAnsi="Arial" w:cs="Arial"/>
          <w:b w:val="0"/>
          <w:color w:val="auto"/>
          <w:sz w:val="22"/>
        </w:rPr>
        <w:t xml:space="preserve">záruku za jakost v délce </w:t>
      </w:r>
      <w:r w:rsidR="005408D7" w:rsidRPr="00BB304A">
        <w:rPr>
          <w:rFonts w:ascii="Arial" w:hAnsi="Arial" w:cs="Arial"/>
          <w:b w:val="0"/>
          <w:color w:val="auto"/>
          <w:sz w:val="22"/>
          <w:szCs w:val="22"/>
        </w:rPr>
        <w:t>24 měsíců</w:t>
      </w:r>
      <w:r w:rsidRPr="00BB304A">
        <w:rPr>
          <w:rFonts w:ascii="Arial" w:hAnsi="Arial" w:cs="Arial"/>
          <w:b w:val="0"/>
          <w:color w:val="auto"/>
          <w:sz w:val="22"/>
        </w:rPr>
        <w:t>.</w:t>
      </w:r>
      <w:r w:rsidRPr="003B7F61">
        <w:rPr>
          <w:rFonts w:ascii="Arial" w:hAnsi="Arial" w:cs="Arial"/>
          <w:b w:val="0"/>
          <w:color w:val="auto"/>
          <w:sz w:val="22"/>
        </w:rPr>
        <w:t xml:space="preserve"> 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Pokud je </w:t>
      </w:r>
      <w:r w:rsidR="000B79E2">
        <w:rPr>
          <w:rFonts w:ascii="Arial" w:hAnsi="Arial" w:cs="Arial"/>
          <w:b w:val="0"/>
          <w:color w:val="auto"/>
          <w:sz w:val="22"/>
        </w:rPr>
        <w:t xml:space="preserve">na </w:t>
      </w:r>
      <w:r w:rsidR="000B79E2" w:rsidRPr="000B79E2">
        <w:rPr>
          <w:rFonts w:ascii="Arial" w:hAnsi="Arial" w:cs="Arial"/>
          <w:b w:val="0"/>
          <w:color w:val="auto"/>
          <w:sz w:val="22"/>
        </w:rPr>
        <w:t>záruční</w:t>
      </w:r>
      <w:r w:rsidR="000B79E2">
        <w:rPr>
          <w:rFonts w:ascii="Arial" w:hAnsi="Arial" w:cs="Arial"/>
          <w:b w:val="0"/>
          <w:color w:val="auto"/>
          <w:sz w:val="22"/>
        </w:rPr>
        <w:t>m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 list</w:t>
      </w:r>
      <w:r w:rsidR="000B79E2">
        <w:rPr>
          <w:rFonts w:ascii="Arial" w:hAnsi="Arial" w:cs="Arial"/>
          <w:b w:val="0"/>
          <w:color w:val="auto"/>
          <w:sz w:val="22"/>
        </w:rPr>
        <w:t>u nebo jiném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 dokument</w:t>
      </w:r>
      <w:r w:rsidR="000B79E2">
        <w:rPr>
          <w:rFonts w:ascii="Arial" w:hAnsi="Arial" w:cs="Arial"/>
          <w:b w:val="0"/>
          <w:color w:val="auto"/>
          <w:sz w:val="22"/>
        </w:rPr>
        <w:t>u uvedena delší záruční lhůta</w:t>
      </w:r>
      <w:r w:rsidR="000B79E2" w:rsidRPr="000B79E2">
        <w:rPr>
          <w:rFonts w:ascii="Arial" w:hAnsi="Arial" w:cs="Arial"/>
          <w:b w:val="0"/>
          <w:color w:val="auto"/>
          <w:sz w:val="22"/>
        </w:rPr>
        <w:t>, má tato delší záruční lhůta přednos</w:t>
      </w:r>
      <w:r w:rsidR="000B79E2">
        <w:rPr>
          <w:rFonts w:ascii="Arial" w:hAnsi="Arial" w:cs="Arial"/>
          <w:b w:val="0"/>
          <w:color w:val="auto"/>
          <w:sz w:val="22"/>
        </w:rPr>
        <w:t xml:space="preserve">t před </w:t>
      </w:r>
      <w:r w:rsidR="0021517A">
        <w:rPr>
          <w:rFonts w:ascii="Arial" w:hAnsi="Arial" w:cs="Arial"/>
          <w:b w:val="0"/>
          <w:color w:val="auto"/>
          <w:sz w:val="22"/>
        </w:rPr>
        <w:t>d</w:t>
      </w:r>
      <w:r w:rsidR="00807F4D">
        <w:rPr>
          <w:rFonts w:ascii="Arial" w:hAnsi="Arial" w:cs="Arial"/>
          <w:b w:val="0"/>
          <w:color w:val="auto"/>
          <w:sz w:val="22"/>
        </w:rPr>
        <w:t>é</w:t>
      </w:r>
      <w:r w:rsidR="0021517A">
        <w:rPr>
          <w:rFonts w:ascii="Arial" w:hAnsi="Arial" w:cs="Arial"/>
          <w:b w:val="0"/>
          <w:color w:val="auto"/>
          <w:sz w:val="22"/>
        </w:rPr>
        <w:t xml:space="preserve">lkou záruční lhůty </w:t>
      </w:r>
      <w:r w:rsidR="00A66CA2">
        <w:rPr>
          <w:rFonts w:ascii="Arial" w:hAnsi="Arial" w:cs="Arial"/>
          <w:b w:val="0"/>
          <w:color w:val="auto"/>
          <w:sz w:val="22"/>
        </w:rPr>
        <w:t xml:space="preserve">uvedené </w:t>
      </w:r>
      <w:r w:rsidR="000B79E2">
        <w:rPr>
          <w:rFonts w:ascii="Arial" w:hAnsi="Arial" w:cs="Arial"/>
          <w:b w:val="0"/>
          <w:color w:val="auto"/>
          <w:sz w:val="22"/>
        </w:rPr>
        <w:t>v této S</w:t>
      </w:r>
      <w:r w:rsidR="000B79E2" w:rsidRPr="000B79E2">
        <w:rPr>
          <w:rFonts w:ascii="Arial" w:hAnsi="Arial" w:cs="Arial"/>
          <w:b w:val="0"/>
          <w:color w:val="auto"/>
          <w:sz w:val="22"/>
        </w:rPr>
        <w:t>mlouvě.</w:t>
      </w:r>
    </w:p>
    <w:p w:rsidR="000B79E2" w:rsidRDefault="00C13E2C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C13E2C">
        <w:rPr>
          <w:rFonts w:ascii="Arial" w:hAnsi="Arial" w:cs="Arial"/>
          <w:b w:val="0"/>
          <w:color w:val="auto"/>
          <w:sz w:val="22"/>
        </w:rPr>
        <w:t xml:space="preserve">Záruční doba počíná běžet dnem </w:t>
      </w:r>
      <w:r w:rsidR="0017255F">
        <w:rPr>
          <w:rFonts w:ascii="Arial" w:hAnsi="Arial" w:cs="Arial"/>
          <w:b w:val="0"/>
          <w:color w:val="auto"/>
          <w:sz w:val="22"/>
        </w:rPr>
        <w:t>uvedení Zboží do provozu</w:t>
      </w:r>
      <w:r w:rsidR="008946B7">
        <w:rPr>
          <w:rFonts w:ascii="Arial" w:hAnsi="Arial" w:cs="Arial"/>
          <w:b w:val="0"/>
          <w:color w:val="auto"/>
          <w:sz w:val="22"/>
        </w:rPr>
        <w:t xml:space="preserve"> v místě plnění</w:t>
      </w:r>
      <w:r w:rsidR="0017255F">
        <w:rPr>
          <w:rFonts w:ascii="Arial" w:hAnsi="Arial" w:cs="Arial"/>
          <w:b w:val="0"/>
          <w:color w:val="auto"/>
          <w:sz w:val="22"/>
        </w:rPr>
        <w:t>.</w:t>
      </w:r>
    </w:p>
    <w:p w:rsidR="000B79E2" w:rsidRP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:rsidR="00F979AA" w:rsidRPr="00217236" w:rsidRDefault="000B79E2" w:rsidP="00BB304A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</w:t>
      </w:r>
      <w:r w:rsidR="0017255F">
        <w:rPr>
          <w:rFonts w:ascii="Arial" w:hAnsi="Arial" w:cs="Arial"/>
          <w:b w:val="0"/>
          <w:color w:val="auto"/>
          <w:sz w:val="22"/>
        </w:rPr>
        <w:t xml:space="preserve">telefonicky, </w:t>
      </w:r>
      <w:r>
        <w:rPr>
          <w:rFonts w:ascii="Arial" w:hAnsi="Arial" w:cs="Arial"/>
          <w:b w:val="0"/>
          <w:color w:val="auto"/>
          <w:sz w:val="22"/>
        </w:rPr>
        <w:t>písemně</w:t>
      </w:r>
      <w:r w:rsidR="0017255F">
        <w:rPr>
          <w:rFonts w:ascii="Arial" w:hAnsi="Arial" w:cs="Arial"/>
          <w:b w:val="0"/>
          <w:color w:val="auto"/>
          <w:sz w:val="22"/>
        </w:rPr>
        <w:t xml:space="preserve"> nebo</w:t>
      </w:r>
      <w:r>
        <w:rPr>
          <w:rFonts w:ascii="Arial" w:hAnsi="Arial" w:cs="Arial"/>
          <w:b w:val="0"/>
          <w:color w:val="auto"/>
          <w:sz w:val="22"/>
        </w:rPr>
        <w:t xml:space="preserve"> prostřednictvím e-mailu. </w:t>
      </w:r>
      <w:r w:rsidRPr="00634719">
        <w:rPr>
          <w:rFonts w:ascii="Arial" w:hAnsi="Arial" w:cs="Arial"/>
          <w:b w:val="0"/>
          <w:color w:val="auto"/>
          <w:sz w:val="22"/>
          <w:szCs w:val="22"/>
        </w:rPr>
        <w:t xml:space="preserve">Prodávající akceptuje upozornění na záruční vady prostřednictvím e-mailové adresy: </w:t>
      </w:r>
      <w:r w:rsidR="00634719" w:rsidRPr="00634719">
        <w:rPr>
          <w:rFonts w:ascii="Arial" w:hAnsi="Arial" w:cs="Arial"/>
          <w:b w:val="0"/>
          <w:color w:val="auto"/>
          <w:sz w:val="22"/>
          <w:szCs w:val="22"/>
        </w:rPr>
        <w:t>xxxxxxxxxxxxxxxxxxxxxxxxxxxxxxx</w:t>
      </w:r>
      <w:r w:rsidRPr="00634719">
        <w:rPr>
          <w:rFonts w:ascii="Arial" w:hAnsi="Arial" w:cs="Arial"/>
          <w:b w:val="0"/>
          <w:color w:val="auto"/>
          <w:sz w:val="22"/>
          <w:szCs w:val="22"/>
        </w:rPr>
        <w:t>. Prodávající zahájí reklamační řízení</w:t>
      </w:r>
      <w:r w:rsidRPr="000B79E2">
        <w:rPr>
          <w:rFonts w:ascii="Arial" w:hAnsi="Arial" w:cs="Arial"/>
          <w:b w:val="0"/>
          <w:color w:val="auto"/>
          <w:sz w:val="22"/>
        </w:rPr>
        <w:t xml:space="preserve"> nejpozději 3 dny po nahlášení závady Kupujícím</w:t>
      </w:r>
      <w:r w:rsidR="00DD3A7E">
        <w:rPr>
          <w:rFonts w:ascii="Arial" w:hAnsi="Arial" w:cs="Arial"/>
          <w:b w:val="0"/>
          <w:color w:val="auto"/>
          <w:sz w:val="22"/>
        </w:rPr>
        <w:t xml:space="preserve"> tak, že informomuje kupujícího o převzetí požadavku a návrhu jeho řešení včetně termínu odstranění vady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V hlášení o záruční vadě popíše Kupující vadu </w:t>
      </w:r>
      <w:r w:rsidRPr="000B79E2">
        <w:rPr>
          <w:rFonts w:ascii="Arial" w:hAnsi="Arial" w:cs="Arial"/>
          <w:b w:val="0"/>
          <w:color w:val="auto"/>
          <w:sz w:val="22"/>
        </w:rPr>
        <w:t>a způsob odstranění vady. Kupující má právo: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požádat o odstranění vady dodáním nového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nebo jeho jednotlivých částí nebo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odstranění vady opravou nebo</w:t>
      </w:r>
    </w:p>
    <w:p w:rsidR="000B79E2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přiměřené snížení kupní ceny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693E16" w:rsidRDefault="00693E16" w:rsidP="00693E16">
      <w:pPr>
        <w:ind w:left="567"/>
      </w:pPr>
    </w:p>
    <w:p w:rsidR="00A00819" w:rsidRPr="000B79E2" w:rsidRDefault="00A00819" w:rsidP="00693E16">
      <w:pPr>
        <w:spacing w:after="240"/>
        <w:ind w:left="567"/>
      </w:pPr>
      <w:r w:rsidRPr="00A00819">
        <w:t>Vý</w:t>
      </w:r>
      <w:r>
        <w:t>běr výše uvedených práv náleží K</w:t>
      </w:r>
      <w:r w:rsidRPr="00A00819">
        <w:t xml:space="preserve">upujícímu. Kupující má také nárok na odstoupení od této </w:t>
      </w:r>
      <w:r>
        <w:t>S</w:t>
      </w:r>
      <w:r w:rsidRPr="00A00819">
        <w:t xml:space="preserve">mlouvy, pokud je </w:t>
      </w:r>
      <w:r>
        <w:t>tato S</w:t>
      </w:r>
      <w:r w:rsidRPr="00A00819">
        <w:t xml:space="preserve">mlouva dodáním </w:t>
      </w:r>
      <w:r>
        <w:t>Zboží</w:t>
      </w:r>
      <w:r w:rsidRPr="00A00819">
        <w:t xml:space="preserve"> s vadami podstatně porušena. Smlouva bude také podstatně porušena v případě, že se stejná </w:t>
      </w:r>
      <w:r>
        <w:t>závada opakovaně vyskytla, tj. v</w:t>
      </w:r>
      <w:r w:rsidRPr="00A00819">
        <w:t>íce než třikrát.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Prodávající, pokud se strany nedohodnou jinak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A00819">
        <w:rPr>
          <w:rFonts w:ascii="Arial" w:hAnsi="Arial" w:cs="Arial"/>
          <w:b w:val="0"/>
          <w:color w:val="auto"/>
          <w:sz w:val="22"/>
        </w:rPr>
        <w:t xml:space="preserve"> odstraní vadu do 14 dnů od jejího oznámení.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Prodávající odstraní vadu v souladu s podmínkami stanovenými v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A00819">
        <w:rPr>
          <w:rFonts w:ascii="Arial" w:hAnsi="Arial" w:cs="Arial"/>
          <w:b w:val="0"/>
          <w:color w:val="auto"/>
          <w:sz w:val="22"/>
        </w:rPr>
        <w:t xml:space="preserve">mlouvě, a to i v případě, že oznámení o závadě je podle jeho názoru neodůvodněné. V takovém případě má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nárok na náhradu nákladů na odstranění vady. Pokud se strany nedohodnou, zda je oznámení o vadě opodstatněné nebo ne,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požádá odborníka o </w:t>
      </w:r>
      <w:r>
        <w:rPr>
          <w:rFonts w:ascii="Arial" w:hAnsi="Arial" w:cs="Arial"/>
          <w:b w:val="0"/>
          <w:color w:val="auto"/>
          <w:sz w:val="22"/>
        </w:rPr>
        <w:t>odborný posudek</w:t>
      </w:r>
      <w:r w:rsidRPr="00A00819">
        <w:rPr>
          <w:rFonts w:ascii="Arial" w:hAnsi="Arial" w:cs="Arial"/>
          <w:b w:val="0"/>
          <w:color w:val="auto"/>
          <w:sz w:val="22"/>
        </w:rPr>
        <w:t xml:space="preserve">, který určí, zda oznámení o závadě bylo nebo nebylo oprávněné. V případě, že odborník považuje oznámení za oprávněné,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hradí náklady na vyjádření znalce. Pokud se odborník domnívá, že oznámení je neoprávněné, pak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uhradí </w:t>
      </w:r>
      <w:r>
        <w:rPr>
          <w:rFonts w:ascii="Arial" w:hAnsi="Arial" w:cs="Arial"/>
          <w:b w:val="0"/>
          <w:color w:val="auto"/>
          <w:sz w:val="22"/>
        </w:rPr>
        <w:t>Prodávajícímu</w:t>
      </w:r>
      <w:r w:rsidRPr="00A00819">
        <w:rPr>
          <w:rFonts w:ascii="Arial" w:hAnsi="Arial" w:cs="Arial"/>
          <w:b w:val="0"/>
          <w:color w:val="auto"/>
          <w:sz w:val="22"/>
        </w:rPr>
        <w:t xml:space="preserve"> ověřitelné a skutečně vynaložené náklady na odstranění vady.</w:t>
      </w:r>
    </w:p>
    <w:p w:rsidR="00F979AA" w:rsidRPr="00217236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Strany </w:t>
      </w:r>
      <w:r>
        <w:rPr>
          <w:rFonts w:ascii="Arial" w:hAnsi="Arial" w:cs="Arial"/>
          <w:b w:val="0"/>
          <w:color w:val="auto"/>
          <w:sz w:val="22"/>
        </w:rPr>
        <w:t>vyhotoví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protokol o odstranění závady, který obsahuje popis závady a potvrzení, že závada byla odstraněna. </w:t>
      </w:r>
      <w:r w:rsidR="0017255F" w:rsidRPr="0017255F">
        <w:rPr>
          <w:rFonts w:ascii="Arial" w:hAnsi="Arial" w:cs="Arial"/>
          <w:b w:val="0"/>
          <w:iCs/>
          <w:color w:val="auto"/>
          <w:sz w:val="22"/>
        </w:rPr>
        <w:t>V případě opravy v záruční době se tato prodlužuje o dobu od oznámení závady Kupujícím po její odstranění Prodávajícím.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</w:t>
      </w:r>
      <w:r w:rsidR="004E7841">
        <w:rPr>
          <w:rFonts w:ascii="Arial" w:hAnsi="Arial" w:cs="Arial"/>
          <w:b w:val="0"/>
          <w:color w:val="auto"/>
          <w:sz w:val="22"/>
        </w:rPr>
        <w:t>obdrží fakturu od kupujícího</w:t>
      </w:r>
      <w:r w:rsidRPr="00A00819">
        <w:rPr>
          <w:rFonts w:ascii="Arial" w:hAnsi="Arial" w:cs="Arial"/>
          <w:b w:val="0"/>
          <w:color w:val="auto"/>
          <w:sz w:val="22"/>
        </w:rPr>
        <w:t>.</w:t>
      </w:r>
    </w:p>
    <w:p w:rsidR="00741B5F" w:rsidRDefault="00741B5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41B5F">
        <w:rPr>
          <w:rFonts w:ascii="Arial" w:hAnsi="Arial" w:cs="Arial"/>
          <w:b w:val="0"/>
          <w:color w:val="auto"/>
          <w:sz w:val="22"/>
        </w:rPr>
        <w:t xml:space="preserve">Záruka se nevztahuje na vady způsobené </w:t>
      </w:r>
      <w:r w:rsidR="0054516F">
        <w:rPr>
          <w:rFonts w:ascii="Arial" w:hAnsi="Arial" w:cs="Arial"/>
          <w:b w:val="0"/>
          <w:color w:val="auto"/>
          <w:sz w:val="22"/>
        </w:rPr>
        <w:t>neodbornou</w:t>
      </w:r>
      <w:r w:rsidRPr="00741B5F">
        <w:rPr>
          <w:rFonts w:ascii="Arial" w:hAnsi="Arial" w:cs="Arial"/>
          <w:b w:val="0"/>
          <w:color w:val="auto"/>
          <w:sz w:val="22"/>
        </w:rPr>
        <w:t xml:space="preserve"> manipulací nebo nedodržením pokynů </w:t>
      </w:r>
      <w:r w:rsidR="0054516F">
        <w:rPr>
          <w:rFonts w:ascii="Arial" w:hAnsi="Arial" w:cs="Arial"/>
          <w:b w:val="0"/>
          <w:color w:val="auto"/>
          <w:sz w:val="22"/>
        </w:rPr>
        <w:t>P</w:t>
      </w:r>
      <w:r w:rsidRPr="00741B5F">
        <w:rPr>
          <w:rFonts w:ascii="Arial" w:hAnsi="Arial" w:cs="Arial"/>
          <w:b w:val="0"/>
          <w:color w:val="auto"/>
          <w:sz w:val="22"/>
        </w:rPr>
        <w:t xml:space="preserve">rodávajícího pro provoz a údržbu </w:t>
      </w:r>
      <w:r w:rsidR="0054516F">
        <w:rPr>
          <w:rFonts w:ascii="Arial" w:hAnsi="Arial" w:cs="Arial"/>
          <w:b w:val="0"/>
          <w:color w:val="auto"/>
          <w:sz w:val="22"/>
        </w:rPr>
        <w:t>Zboží</w:t>
      </w:r>
      <w:r w:rsidRPr="00741B5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217236" w:rsidRDefault="0054516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1925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POKUTY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Pr="0054516F">
        <w:rPr>
          <w:rFonts w:ascii="Arial" w:hAnsi="Arial" w:cs="Arial"/>
          <w:b w:val="0"/>
          <w:color w:val="auto"/>
          <w:sz w:val="22"/>
        </w:rPr>
        <w:t xml:space="preserve"> za každý (dokonce započatý) den prodlení.</w:t>
      </w:r>
    </w:p>
    <w:p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 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 w:rsidRPr="00E452BC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5C1F61">
        <w:rPr>
          <w:rFonts w:ascii="Arial" w:hAnsi="Arial" w:cs="Arial"/>
          <w:b w:val="0"/>
          <w:color w:val="auto"/>
          <w:sz w:val="22"/>
        </w:rPr>
        <w:t>);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proti Prodávajícímu je zahájeno konkurzní řízení, nebo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:rsidR="00634719" w:rsidRDefault="00634719">
      <w:pPr>
        <w:suppressAutoHyphens w:val="0"/>
        <w:rPr>
          <w:rFonts w:eastAsia="Batang" w:cs="Arial"/>
          <w:b/>
          <w:caps/>
          <w:szCs w:val="22"/>
          <w:lang w:eastAsia="en-GB"/>
        </w:rPr>
      </w:pPr>
      <w:r>
        <w:rPr>
          <w:rFonts w:cs="Arial"/>
          <w:b/>
          <w:caps/>
        </w:rPr>
        <w:br w:type="page"/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546D2F" w:rsidRPr="00E5711B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r w:rsidR="00634719">
        <w:rPr>
          <w:rFonts w:cs="Arial"/>
        </w:rPr>
        <w:t>xxxxxxxxxxxxxxxxxxxxxxxxxxxxxxx</w:t>
      </w:r>
    </w:p>
    <w:p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r w:rsidR="00634719">
        <w:rPr>
          <w:rFonts w:cs="Arial"/>
        </w:rPr>
        <w:t>xxxxxxxxxxxxxxxxxxxxxxxxxxxxxxx</w:t>
      </w:r>
    </w:p>
    <w:p w:rsidR="00174F32" w:rsidRPr="00E5711B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:rsidR="00BB304A" w:rsidRPr="00BB304A" w:rsidRDefault="00BB304A" w:rsidP="00BB304A">
      <w:pPr>
        <w:widowControl w:val="0"/>
        <w:tabs>
          <w:tab w:val="left" w:pos="2552"/>
        </w:tabs>
        <w:ind w:left="567"/>
        <w:rPr>
          <w:rFonts w:cs="Arial"/>
        </w:rPr>
      </w:pPr>
      <w:r w:rsidRPr="00BB304A">
        <w:rPr>
          <w:rFonts w:cs="Arial"/>
        </w:rPr>
        <w:t xml:space="preserve">Jméno a příjmení: </w:t>
      </w:r>
      <w:r w:rsidRPr="00BB304A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BB304A" w:rsidRPr="00BB304A" w:rsidRDefault="00BB304A" w:rsidP="00BB304A">
      <w:pPr>
        <w:widowControl w:val="0"/>
        <w:tabs>
          <w:tab w:val="left" w:pos="2552"/>
        </w:tabs>
        <w:ind w:left="567"/>
        <w:rPr>
          <w:rFonts w:cs="Arial"/>
        </w:rPr>
      </w:pPr>
      <w:r w:rsidRPr="00BB304A">
        <w:rPr>
          <w:rFonts w:cs="Arial"/>
        </w:rPr>
        <w:t>E-mail:</w:t>
      </w:r>
      <w:r w:rsidRPr="00BB304A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BB304A" w:rsidRPr="00BB304A" w:rsidRDefault="00BB304A" w:rsidP="00BB304A">
      <w:pPr>
        <w:widowControl w:val="0"/>
        <w:tabs>
          <w:tab w:val="left" w:pos="2552"/>
        </w:tabs>
        <w:spacing w:after="120"/>
        <w:ind w:left="567"/>
        <w:rPr>
          <w:rFonts w:cs="Arial"/>
        </w:rPr>
      </w:pPr>
      <w:r w:rsidRPr="00BB304A">
        <w:rPr>
          <w:rFonts w:cs="Arial"/>
        </w:rPr>
        <w:t xml:space="preserve">Tel.: </w:t>
      </w:r>
      <w:r w:rsidRPr="00BB304A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:rsidR="00492CD6" w:rsidRPr="005408D7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5408D7">
        <w:rPr>
          <w:rFonts w:cs="Arial"/>
        </w:rPr>
        <w:t xml:space="preserve">Jméno a příjmení: </w:t>
      </w:r>
      <w:r w:rsidRPr="005408D7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492CD6" w:rsidRPr="00217236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5408D7">
        <w:rPr>
          <w:rFonts w:cs="Arial"/>
          <w:bCs/>
        </w:rPr>
        <w:t>E-mail:</w:t>
      </w:r>
      <w:r w:rsidRPr="005408D7">
        <w:rPr>
          <w:rFonts w:cs="Arial"/>
          <w:bCs/>
        </w:rPr>
        <w:tab/>
      </w:r>
      <w:r w:rsidR="00634719">
        <w:rPr>
          <w:rFonts w:cs="Arial"/>
        </w:rPr>
        <w:t>xxxxxxxxxxxxxxxxxxxxxxxxxxxxxxx</w:t>
      </w:r>
    </w:p>
    <w:p w:rsidR="00174F32" w:rsidRPr="00217236" w:rsidRDefault="00174F32">
      <w:pPr>
        <w:suppressAutoHyphens w:val="0"/>
        <w:rPr>
          <w:rFonts w:eastAsia="Batang" w:cs="Arial"/>
          <w:b/>
          <w:szCs w:val="22"/>
          <w:lang w:eastAsia="en-GB"/>
        </w:rPr>
      </w:pPr>
    </w:p>
    <w:p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:rsidR="00B0259A" w:rsidRPr="00217236" w:rsidRDefault="00492CD6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:rsidR="00492CD6" w:rsidRDefault="00492CD6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>Strany souhlasí se zveřejněním této smlouvy v registru smluv podle zákona č.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 xml:space="preserve">340/2015 Sb., O </w:t>
      </w:r>
      <w:r>
        <w:rPr>
          <w:rFonts w:ascii="Arial" w:hAnsi="Arial" w:cs="Arial"/>
          <w:b w:val="0"/>
          <w:color w:val="auto"/>
          <w:sz w:val="22"/>
        </w:rPr>
        <w:t>registru</w:t>
      </w:r>
      <w:r w:rsidRPr="00492CD6">
        <w:rPr>
          <w:rFonts w:ascii="Arial" w:hAnsi="Arial" w:cs="Arial"/>
          <w:b w:val="0"/>
          <w:color w:val="auto"/>
          <w:sz w:val="22"/>
        </w:rPr>
        <w:t xml:space="preserve"> smluv. </w:t>
      </w:r>
      <w:r>
        <w:rPr>
          <w:rFonts w:ascii="Arial" w:hAnsi="Arial" w:cs="Arial"/>
          <w:b w:val="0"/>
          <w:color w:val="auto"/>
          <w:sz w:val="22"/>
        </w:rPr>
        <w:t>Zveřejnění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zajišťuje ČVUT v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>Praze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2CD6">
        <w:rPr>
          <w:rFonts w:ascii="Arial" w:hAnsi="Arial" w:cs="Arial"/>
          <w:b w:val="0"/>
          <w:color w:val="auto"/>
          <w:sz w:val="22"/>
        </w:rPr>
        <w:t xml:space="preserve">okud jedna ze stran </w:t>
      </w:r>
      <w:r>
        <w:rPr>
          <w:rFonts w:ascii="Arial" w:hAnsi="Arial" w:cs="Arial"/>
          <w:b w:val="0"/>
          <w:color w:val="auto"/>
          <w:sz w:val="22"/>
        </w:rPr>
        <w:t xml:space="preserve">považuje </w:t>
      </w:r>
      <w:r w:rsidRPr="00492CD6">
        <w:rPr>
          <w:rFonts w:ascii="Arial" w:hAnsi="Arial" w:cs="Arial"/>
          <w:b w:val="0"/>
          <w:color w:val="auto"/>
          <w:sz w:val="22"/>
        </w:rPr>
        <w:t xml:space="preserve">některé informace uvedené ve smlouvě </w:t>
      </w:r>
      <w:r>
        <w:rPr>
          <w:rFonts w:ascii="Arial" w:hAnsi="Arial" w:cs="Arial"/>
          <w:b w:val="0"/>
          <w:color w:val="auto"/>
          <w:sz w:val="22"/>
        </w:rPr>
        <w:t xml:space="preserve">za </w:t>
      </w:r>
      <w:r w:rsidRPr="00492CD6">
        <w:rPr>
          <w:rFonts w:ascii="Arial" w:hAnsi="Arial" w:cs="Arial"/>
          <w:b w:val="0"/>
          <w:color w:val="auto"/>
          <w:sz w:val="22"/>
        </w:rPr>
        <w:t>osobní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4E7841">
        <w:rPr>
          <w:rFonts w:ascii="Arial" w:hAnsi="Arial" w:cs="Arial"/>
          <w:b w:val="0"/>
          <w:color w:val="auto"/>
          <w:sz w:val="22"/>
        </w:rPr>
        <w:t xml:space="preserve">údaje </w:t>
      </w:r>
      <w:r>
        <w:rPr>
          <w:rFonts w:ascii="Arial" w:hAnsi="Arial" w:cs="Arial"/>
          <w:b w:val="0"/>
          <w:color w:val="auto"/>
          <w:sz w:val="22"/>
        </w:rPr>
        <w:t>nebo obchodní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tajemství, které </w:t>
      </w:r>
      <w:r>
        <w:rPr>
          <w:rFonts w:ascii="Arial" w:hAnsi="Arial" w:cs="Arial"/>
          <w:b w:val="0"/>
          <w:color w:val="auto"/>
          <w:sz w:val="22"/>
        </w:rPr>
        <w:t>ne</w:t>
      </w:r>
      <w:r w:rsidRPr="00492CD6">
        <w:rPr>
          <w:rFonts w:ascii="Arial" w:hAnsi="Arial" w:cs="Arial"/>
          <w:b w:val="0"/>
          <w:color w:val="auto"/>
          <w:sz w:val="22"/>
        </w:rPr>
        <w:t xml:space="preserve">mohou být zveřejněny podle zákona, musí být tyto informace výslovně označeny během uzavírání </w:t>
      </w:r>
      <w:r w:rsidR="008A4737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>ml</w:t>
      </w:r>
      <w:r w:rsidR="008A4737">
        <w:rPr>
          <w:rFonts w:ascii="Arial" w:hAnsi="Arial" w:cs="Arial"/>
          <w:b w:val="0"/>
          <w:color w:val="auto"/>
          <w:sz w:val="22"/>
        </w:rPr>
        <w:t>o</w:t>
      </w:r>
      <w:r w:rsidRPr="00492CD6">
        <w:rPr>
          <w:rFonts w:ascii="Arial" w:hAnsi="Arial" w:cs="Arial"/>
          <w:b w:val="0"/>
          <w:color w:val="auto"/>
          <w:sz w:val="22"/>
        </w:rPr>
        <w:t>uv</w:t>
      </w:r>
      <w:r w:rsidR="008A4737">
        <w:rPr>
          <w:rFonts w:ascii="Arial" w:hAnsi="Arial" w:cs="Arial"/>
          <w:b w:val="0"/>
          <w:color w:val="auto"/>
          <w:sz w:val="22"/>
        </w:rPr>
        <w:t>y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:rsidR="00F979AA" w:rsidRPr="00217236" w:rsidRDefault="00D216BA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Tato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Smlouva </w:t>
      </w:r>
      <w:r>
        <w:rPr>
          <w:rFonts w:ascii="Arial" w:hAnsi="Arial" w:cs="Arial"/>
          <w:b w:val="0"/>
          <w:color w:val="auto"/>
          <w:sz w:val="22"/>
        </w:rPr>
        <w:t>je sepsána v českém jazyce v jednom (1) vyhotove</w:t>
      </w:r>
      <w:r w:rsidR="00CA3EDA">
        <w:rPr>
          <w:rFonts w:ascii="Arial" w:hAnsi="Arial" w:cs="Arial"/>
          <w:b w:val="0"/>
          <w:color w:val="auto"/>
          <w:sz w:val="22"/>
        </w:rPr>
        <w:t>n</w:t>
      </w:r>
      <w:r>
        <w:rPr>
          <w:rFonts w:ascii="Arial" w:hAnsi="Arial" w:cs="Arial"/>
          <w:b w:val="0"/>
          <w:color w:val="auto"/>
          <w:sz w:val="22"/>
        </w:rPr>
        <w:t xml:space="preserve">í v elektronické podobě a ve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4 (čtyřech) </w:t>
      </w:r>
      <w:r>
        <w:rPr>
          <w:rFonts w:ascii="Arial" w:hAnsi="Arial" w:cs="Arial"/>
          <w:b w:val="0"/>
          <w:color w:val="auto"/>
          <w:sz w:val="22"/>
        </w:rPr>
        <w:t>vyhotoveních v listinné podobě, z nichž každé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vyhotovení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má platnost originálu. Každá ze </w:t>
      </w:r>
      <w:r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2 (dvou) </w:t>
      </w:r>
      <w:r>
        <w:rPr>
          <w:rFonts w:ascii="Arial" w:hAnsi="Arial" w:cs="Arial"/>
          <w:b w:val="0"/>
          <w:color w:val="auto"/>
          <w:sz w:val="22"/>
        </w:rPr>
        <w:t>vyhotoveních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>.</w:t>
      </w:r>
    </w:p>
    <w:p w:rsidR="008A4737" w:rsidRPr="008A4737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je </w:t>
      </w:r>
      <w:r w:rsidRPr="008A4737">
        <w:rPr>
          <w:rFonts w:ascii="Arial" w:hAnsi="Arial" w:cs="Arial"/>
          <w:b w:val="0"/>
          <w:color w:val="auto"/>
          <w:sz w:val="22"/>
          <w:u w:val="single"/>
        </w:rPr>
        <w:t>Příloha č. 1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) a </w:t>
      </w:r>
      <w:r w:rsidRPr="008A4737">
        <w:rPr>
          <w:rFonts w:ascii="Arial" w:hAnsi="Arial" w:cs="Arial"/>
          <w:b w:val="0"/>
          <w:color w:val="auto"/>
          <w:sz w:val="22"/>
          <w:u w:val="single"/>
        </w:rPr>
        <w:t>Příloha č. 2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Technická specifikace</w:t>
      </w:r>
      <w:r w:rsidRPr="008A4737">
        <w:rPr>
          <w:rFonts w:ascii="Arial" w:hAnsi="Arial" w:cs="Arial"/>
          <w:b w:val="0"/>
          <w:color w:val="auto"/>
          <w:sz w:val="22"/>
        </w:rPr>
        <w:t>)</w:t>
      </w:r>
      <w:r>
        <w:rPr>
          <w:rFonts w:ascii="Arial" w:hAnsi="Arial" w:cs="Arial"/>
          <w:b w:val="0"/>
          <w:color w:val="auto"/>
          <w:sz w:val="22"/>
        </w:rPr>
        <w:t xml:space="preserve">. </w:t>
      </w:r>
      <w:r w:rsidRPr="008A4737">
        <w:rPr>
          <w:rFonts w:ascii="Arial" w:hAnsi="Arial" w:cs="Arial"/>
          <w:b w:val="0"/>
          <w:color w:val="auto"/>
          <w:sz w:val="22"/>
        </w:rPr>
        <w:t xml:space="preserve">V případě jakéhokoli nesouladu mezi ustanoveními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ustanoveními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8A4737">
        <w:rPr>
          <w:rFonts w:ascii="Arial" w:hAnsi="Arial" w:cs="Arial"/>
          <w:b w:val="0"/>
          <w:color w:val="auto"/>
          <w:sz w:val="22"/>
        </w:rPr>
        <w:t xml:space="preserve">řílohy </w:t>
      </w:r>
      <w:r>
        <w:rPr>
          <w:rFonts w:ascii="Arial" w:hAnsi="Arial" w:cs="Arial"/>
          <w:b w:val="0"/>
          <w:color w:val="auto"/>
          <w:sz w:val="22"/>
        </w:rPr>
        <w:t xml:space="preserve">č. </w:t>
      </w:r>
      <w:r w:rsidRPr="008A4737">
        <w:rPr>
          <w:rFonts w:ascii="Arial" w:hAnsi="Arial" w:cs="Arial"/>
          <w:b w:val="0"/>
          <w:color w:val="auto"/>
          <w:sz w:val="22"/>
        </w:rPr>
        <w:t>1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) </w:t>
      </w:r>
      <w:r w:rsidR="008946B7">
        <w:rPr>
          <w:rFonts w:ascii="Arial" w:hAnsi="Arial" w:cs="Arial"/>
          <w:b w:val="0"/>
          <w:color w:val="auto"/>
          <w:sz w:val="22"/>
        </w:rPr>
        <w:t>nebo Přílohy č. 2</w:t>
      </w:r>
      <w:r w:rsidR="008946B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8946B7" w:rsidRPr="008A4737">
        <w:rPr>
          <w:rFonts w:ascii="Arial" w:hAnsi="Arial" w:cs="Arial"/>
          <w:b w:val="0"/>
          <w:i/>
          <w:color w:val="auto"/>
          <w:sz w:val="22"/>
        </w:rPr>
        <w:t>Technická specifikace</w:t>
      </w:r>
      <w:r w:rsidR="008946B7" w:rsidRPr="008A4737">
        <w:rPr>
          <w:rFonts w:ascii="Arial" w:hAnsi="Arial" w:cs="Arial"/>
          <w:b w:val="0"/>
          <w:color w:val="auto"/>
          <w:sz w:val="22"/>
        </w:rPr>
        <w:t xml:space="preserve">) </w:t>
      </w:r>
      <w:r w:rsidRPr="008A4737">
        <w:rPr>
          <w:rFonts w:ascii="Arial" w:hAnsi="Arial" w:cs="Arial"/>
          <w:b w:val="0"/>
          <w:color w:val="auto"/>
          <w:sz w:val="22"/>
        </w:rPr>
        <w:t>budou mít přednost ustanove</w:t>
      </w:r>
      <w:r>
        <w:rPr>
          <w:rFonts w:ascii="Arial" w:hAnsi="Arial" w:cs="Arial"/>
          <w:b w:val="0"/>
          <w:color w:val="auto"/>
          <w:sz w:val="22"/>
        </w:rPr>
        <w:t>ní této S</w:t>
      </w:r>
      <w:r w:rsidRPr="008A4737">
        <w:rPr>
          <w:rFonts w:ascii="Arial" w:hAnsi="Arial" w:cs="Arial"/>
          <w:b w:val="0"/>
          <w:color w:val="auto"/>
          <w:sz w:val="22"/>
        </w:rPr>
        <w:t>mlouvy.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D216BA">
        <w:rPr>
          <w:rFonts w:ascii="Arial" w:hAnsi="Arial" w:cs="Arial"/>
          <w:b w:val="0"/>
          <w:color w:val="auto"/>
          <w:sz w:val="22"/>
        </w:rPr>
        <w:t xml:space="preserve"> a účinná jejím uveřejněním v registru smluv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:rsidR="008A4737" w:rsidRPr="008A4737" w:rsidRDefault="008A4737" w:rsidP="008A4737"/>
    <w:p w:rsidR="00F979AA" w:rsidRPr="00E5711B" w:rsidRDefault="008A4737" w:rsidP="00825C53">
      <w:pPr>
        <w:keepNext/>
        <w:tabs>
          <w:tab w:val="left" w:pos="4536"/>
        </w:tabs>
        <w:suppressAutoHyphens w:val="0"/>
        <w:spacing w:after="160"/>
        <w:ind w:left="4536" w:hanging="4536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FE6B18">
        <w:rPr>
          <w:rFonts w:cs="Arial"/>
        </w:rPr>
        <w:t>11.12.2019</w:t>
      </w:r>
      <w:r w:rsidR="00F979AA" w:rsidRPr="00217236">
        <w:rPr>
          <w:rFonts w:cs="Arial"/>
        </w:rPr>
        <w:tab/>
      </w:r>
      <w:r w:rsidRPr="00E5711B">
        <w:rPr>
          <w:rFonts w:cs="Arial"/>
        </w:rPr>
        <w:t>V</w:t>
      </w:r>
      <w:r w:rsidR="00F979AA" w:rsidRPr="00E5711B">
        <w:rPr>
          <w:rFonts w:cs="Arial"/>
        </w:rPr>
        <w:t> </w:t>
      </w:r>
      <w:r w:rsidR="00BB304A">
        <w:rPr>
          <w:rFonts w:eastAsiaTheme="minorEastAsia" w:cs="Arial"/>
          <w:szCs w:val="20"/>
          <w:lang w:eastAsia="cs-CZ"/>
        </w:rPr>
        <w:t>Praze</w:t>
      </w:r>
      <w:r w:rsidR="00F979AA" w:rsidRPr="00E5711B">
        <w:rPr>
          <w:rFonts w:cs="Arial"/>
          <w:szCs w:val="20"/>
          <w:lang w:eastAsia="cs-CZ"/>
        </w:rPr>
        <w:t>,</w:t>
      </w:r>
      <w:r w:rsidR="00F979AA" w:rsidRPr="00E5711B">
        <w:rPr>
          <w:rFonts w:cs="Arial"/>
        </w:rPr>
        <w:t xml:space="preserve"> </w:t>
      </w:r>
      <w:r w:rsidR="00BB304A">
        <w:rPr>
          <w:rFonts w:eastAsiaTheme="minorEastAsia" w:cs="Arial"/>
          <w:szCs w:val="20"/>
          <w:lang w:eastAsia="cs-CZ"/>
        </w:rPr>
        <w:t>dne</w:t>
      </w:r>
      <w:r w:rsidR="00FE6B18">
        <w:rPr>
          <w:rFonts w:eastAsiaTheme="minorEastAsia" w:cs="Arial"/>
          <w:szCs w:val="20"/>
          <w:lang w:eastAsia="cs-CZ"/>
        </w:rPr>
        <w:t xml:space="preserve"> 6.1.2020</w:t>
      </w:r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Pr="00E5711B">
        <w:rPr>
          <w:rFonts w:cs="Arial"/>
          <w:sz w:val="20"/>
        </w:rPr>
        <w:tab/>
        <w:t>……………………………………..</w:t>
      </w:r>
    </w:p>
    <w:p w:rsidR="00F979AA" w:rsidRPr="00E5711B" w:rsidRDefault="00F979AA" w:rsidP="00825C53">
      <w:pPr>
        <w:keepNext/>
        <w:tabs>
          <w:tab w:val="center" w:pos="1701"/>
          <w:tab w:val="center" w:pos="1843"/>
          <w:tab w:val="center" w:pos="4962"/>
          <w:tab w:val="center" w:pos="7371"/>
        </w:tabs>
        <w:suppressAutoHyphens w:val="0"/>
        <w:rPr>
          <w:rFonts w:cs="Arial"/>
        </w:rPr>
      </w:pPr>
      <w:r w:rsidRPr="00E5711B">
        <w:rPr>
          <w:rFonts w:cs="Arial"/>
        </w:rPr>
        <w:tab/>
      </w:r>
      <w:r w:rsidR="008A4737" w:rsidRPr="00E5711B">
        <w:rPr>
          <w:rFonts w:cs="Arial"/>
        </w:rPr>
        <w:t>za kupujícího</w:t>
      </w:r>
      <w:r w:rsidRPr="00E5711B">
        <w:rPr>
          <w:rFonts w:cs="Arial"/>
        </w:rPr>
        <w:tab/>
      </w:r>
      <w:r w:rsidRPr="00E5711B">
        <w:rPr>
          <w:rFonts w:cs="Arial"/>
        </w:rPr>
        <w:tab/>
      </w:r>
      <w:r w:rsidR="008A4737" w:rsidRPr="00E5711B">
        <w:rPr>
          <w:rFonts w:cs="Arial"/>
        </w:rPr>
        <w:t>za prodávajícího</w:t>
      </w:r>
    </w:p>
    <w:p w:rsidR="00F979AA" w:rsidRPr="00E5711B" w:rsidRDefault="00F979AA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rPr>
          <w:rFonts w:cs="Arial"/>
        </w:rPr>
      </w:pPr>
      <w:r w:rsidRPr="00E5711B">
        <w:rPr>
          <w:rFonts w:cs="Arial"/>
        </w:rPr>
        <w:tab/>
      </w:r>
      <w:r w:rsidR="00CC44E2">
        <w:rPr>
          <w:rFonts w:cs="Arial"/>
        </w:rPr>
        <w:t>xxxxxxx</w:t>
      </w:r>
      <w:r w:rsidRPr="00E5711B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F979AA" w:rsidRPr="00217236" w:rsidRDefault="00F979AA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spacing w:after="160"/>
        <w:rPr>
          <w:rFonts w:cs="Arial"/>
        </w:rPr>
      </w:pPr>
      <w:r w:rsidRPr="00E5711B">
        <w:rPr>
          <w:rFonts w:cs="Arial"/>
        </w:rPr>
        <w:tab/>
      </w:r>
      <w:r w:rsidR="00CC44E2">
        <w:rPr>
          <w:rFonts w:cs="Arial"/>
        </w:rPr>
        <w:t>xxxxxxx</w:t>
      </w:r>
      <w:r w:rsidRPr="00E5711B">
        <w:rPr>
          <w:rFonts w:cs="Arial"/>
        </w:rPr>
        <w:tab/>
      </w:r>
      <w:r w:rsidR="00634719">
        <w:rPr>
          <w:rFonts w:cs="Arial"/>
        </w:rPr>
        <w:t>xxxxxxxxxxxxxxxxxxxxxxxxxxxxxxx</w:t>
      </w:r>
    </w:p>
    <w:p w:rsidR="00F979AA" w:rsidRPr="00217236" w:rsidRDefault="00F979AA">
      <w:pPr>
        <w:suppressAutoHyphens w:val="0"/>
        <w:spacing w:after="200" w:line="276" w:lineRule="auto"/>
        <w:rPr>
          <w:rFonts w:cs="Arial"/>
        </w:rPr>
        <w:sectPr w:rsidR="00F979AA" w:rsidRPr="00217236" w:rsidSect="00F62F4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2410" w:left="1418" w:header="709" w:footer="403" w:gutter="0"/>
          <w:cols w:space="708"/>
          <w:docGrid w:linePitch="360"/>
        </w:sectPr>
      </w:pPr>
    </w:p>
    <w:p w:rsidR="00F979AA" w:rsidRPr="00217236" w:rsidRDefault="00D440A3" w:rsidP="00D440A3">
      <w:pPr>
        <w:pageBreakBefore/>
        <w:widowControl w:val="0"/>
        <w:spacing w:before="240" w:after="60"/>
        <w:jc w:val="center"/>
        <w:rPr>
          <w:rFonts w:cs="Arial"/>
          <w:b/>
          <w:caps/>
          <w:szCs w:val="20"/>
          <w:lang w:eastAsia="en-US"/>
        </w:rPr>
      </w:pPr>
      <w:r>
        <w:rPr>
          <w:rFonts w:cs="Arial"/>
          <w:b/>
          <w:caps/>
          <w:szCs w:val="20"/>
          <w:lang w:eastAsia="en-US"/>
        </w:rPr>
        <w:t>PŘÍLOHA Č. 1</w:t>
      </w:r>
    </w:p>
    <w:p w:rsidR="003D4791" w:rsidRPr="003D4791" w:rsidRDefault="00D440A3" w:rsidP="007C076B">
      <w:pPr>
        <w:widowControl w:val="0"/>
        <w:spacing w:before="120" w:after="60" w:line="276" w:lineRule="auto"/>
        <w:jc w:val="center"/>
        <w:rPr>
          <w:rFonts w:cs="Arial"/>
          <w:b/>
          <w:sz w:val="28"/>
          <w:szCs w:val="22"/>
          <w:u w:val="single"/>
        </w:rPr>
      </w:pPr>
      <w:r w:rsidRPr="00D440A3">
        <w:rPr>
          <w:rFonts w:cs="Arial"/>
          <w:b/>
          <w:bCs/>
          <w:caps/>
          <w:szCs w:val="20"/>
          <w:lang w:eastAsia="en-US"/>
        </w:rPr>
        <w:t>Technické parametry nabízeného předmětu plnění</w:t>
      </w:r>
      <w:r w:rsidR="007C076B">
        <w:rPr>
          <w:rFonts w:cs="Arial"/>
          <w:b/>
          <w:bCs/>
          <w:caps/>
          <w:szCs w:val="20"/>
          <w:lang w:eastAsia="en-US"/>
        </w:rPr>
        <w:t xml:space="preserve"> – ČÁST 4 – </w:t>
      </w:r>
      <w:r w:rsidR="003D4791" w:rsidRPr="007C076B">
        <w:rPr>
          <w:rFonts w:cs="Arial"/>
          <w:b/>
          <w:bCs/>
          <w:caps/>
          <w:szCs w:val="20"/>
          <w:lang w:eastAsia="en-US"/>
        </w:rPr>
        <w:t>FT-IR Spektrální analyzátor</w:t>
      </w:r>
    </w:p>
    <w:p w:rsidR="003D4791" w:rsidRDefault="003D4791" w:rsidP="005408D7">
      <w:pPr>
        <w:suppressAutoHyphens w:val="0"/>
        <w:spacing w:line="276" w:lineRule="auto"/>
        <w:jc w:val="both"/>
        <w:rPr>
          <w:b/>
          <w:szCs w:val="22"/>
        </w:rPr>
      </w:pPr>
    </w:p>
    <w:p w:rsidR="005408D7" w:rsidRPr="00324C23" w:rsidRDefault="00324C23" w:rsidP="005408D7">
      <w:pPr>
        <w:suppressAutoHyphens w:val="0"/>
        <w:spacing w:line="276" w:lineRule="auto"/>
        <w:jc w:val="both"/>
        <w:rPr>
          <w:rFonts w:cs="Arial"/>
          <w:sz w:val="20"/>
        </w:rPr>
      </w:pPr>
      <w:r w:rsidRPr="00324C23">
        <w:rPr>
          <w:b/>
          <w:szCs w:val="22"/>
        </w:rPr>
        <w:t>Spektrometr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427"/>
        <w:gridCol w:w="1441"/>
        <w:gridCol w:w="3161"/>
        <w:gridCol w:w="1569"/>
      </w:tblGrid>
      <w:tr w:rsidR="005408D7" w:rsidRPr="009E0F49" w:rsidTr="00BE0FC7">
        <w:trPr>
          <w:cantSplit/>
          <w:tblHeader/>
        </w:trPr>
        <w:tc>
          <w:tcPr>
            <w:tcW w:w="311" w:type="pct"/>
            <w:shd w:val="clear" w:color="auto" w:fill="C6D9F1" w:themeFill="text2" w:themeFillTint="33"/>
            <w:vAlign w:val="center"/>
          </w:tcPr>
          <w:p w:rsidR="005408D7" w:rsidRPr="009E0F49" w:rsidRDefault="005408D7" w:rsidP="005408D7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C6D9F1" w:themeFill="text2" w:themeFillTint="33"/>
            <w:vAlign w:val="center"/>
          </w:tcPr>
          <w:p w:rsidR="005408D7" w:rsidRPr="009E0F49" w:rsidRDefault="005408D7" w:rsidP="005408D7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</w:rPr>
              <w:t>Požadovaný parametr</w:t>
            </w:r>
          </w:p>
        </w:tc>
        <w:tc>
          <w:tcPr>
            <w:tcW w:w="1090" w:type="pct"/>
            <w:shd w:val="clear" w:color="auto" w:fill="C6D9F1" w:themeFill="text2" w:themeFillTint="33"/>
            <w:vAlign w:val="center"/>
          </w:tcPr>
          <w:p w:rsidR="005408D7" w:rsidRPr="009E0F49" w:rsidRDefault="005408D7" w:rsidP="008946B7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  <w:szCs w:val="22"/>
              </w:rPr>
              <w:t>Nabízená hodnota</w:t>
            </w:r>
          </w:p>
        </w:tc>
        <w:tc>
          <w:tcPr>
            <w:tcW w:w="541" w:type="pct"/>
            <w:shd w:val="clear" w:color="auto" w:fill="C6D9F1" w:themeFill="text2" w:themeFillTint="33"/>
            <w:vAlign w:val="center"/>
          </w:tcPr>
          <w:p w:rsidR="005408D7" w:rsidRPr="009E0F49" w:rsidRDefault="005408D7" w:rsidP="008946B7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  <w:szCs w:val="22"/>
              </w:rPr>
              <w:t>Splňuje</w:t>
            </w:r>
          </w:p>
          <w:p w:rsidR="005408D7" w:rsidRPr="009E0F49" w:rsidRDefault="005408D7" w:rsidP="008946B7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  <w:szCs w:val="22"/>
              </w:rPr>
              <w:t>ANO/Ne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Spektrometr pro kyvety s optickou dráhou 2 m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Optická dráha plynové kyvety pro dodávaný spektrometr může být v rozmezí 5 cm – 100 metrů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FT-IR spektrometr pro střední infračervenou oblast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spektrální rozsah min. 7800 – 350 cm</w:t>
            </w:r>
            <w:r w:rsidRPr="00D74D5F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7800 – 350 cm</w:t>
            </w:r>
            <w:r w:rsidRPr="00BB304A">
              <w:rPr>
                <w:sz w:val="20"/>
                <w:vertAlign w:val="superscript"/>
              </w:rPr>
              <w:t>-1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spektrometr malých rozměrů (do výšky 30 cm, do šířky 40 cm, do hloubky 40 cm) a malé hmotnosti (do 15 kg) s možností měření vzorků v exteriéru (možnost napájení z externí baterie a transportního kufříku PeliCase).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 X H X V = 350 x 280 x 260 mm</w:t>
            </w:r>
          </w:p>
          <w:p w:rsidR="00BE0FC7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Hmotnost 10 kg</w:t>
            </w:r>
          </w:p>
          <w:p w:rsidR="00BE0FC7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PeliCase kufr je volitelné příslušenství</w:t>
            </w:r>
          </w:p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Externí baterie je volitelné příslušenství, možností je i adaptér pro napájení v automobilu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vzduchem chlazený keramický zdroj infračerveného záření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Vysokointenzivní vzduchem chlazený keramický zdroj EverGlo</w:t>
            </w:r>
            <w:r w:rsidRPr="00BB304A">
              <w:rPr>
                <w:sz w:val="20"/>
                <w:vertAlign w:val="superscript"/>
              </w:rPr>
              <w:t>TM</w:t>
            </w:r>
            <w:r>
              <w:rPr>
                <w:sz w:val="20"/>
              </w:rPr>
              <w:t xml:space="preserve"> s dlohou životností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spektrální rozlišení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lepší (bez apodizace) než 0.8 cm</w:t>
            </w:r>
            <w:r w:rsidRPr="00D74D5F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 cm</w:t>
            </w:r>
            <w:r w:rsidRPr="00BB304A">
              <w:rPr>
                <w:sz w:val="20"/>
                <w:vertAlign w:val="superscript"/>
              </w:rPr>
              <w:t>-1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možnost rozlišení spekter až 0,5 cm</w:t>
            </w:r>
            <w:r w:rsidRPr="00D74D5F">
              <w:rPr>
                <w:rFonts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 cm</w:t>
            </w:r>
            <w:r w:rsidRPr="00BB304A">
              <w:rPr>
                <w:sz w:val="20"/>
                <w:vertAlign w:val="superscript"/>
              </w:rPr>
              <w:t>-1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náhled na infračervené spektrum v reálném čase (před vlastním měřením)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náhled na měřené spektrum v reálném čase v celém měřicím rozsahu spektrometru před měřením (Preview data collection)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automatické seřizování, dynamické nastavování optiky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automatická justáž (seřizování optické dráhy spektrometru) a dynamické nastavování optiky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uzavřená a vysušovaná optika s možností profukování suchým inertním plynem (možnost volby okének pro uzavření optiky – např. KBr, ZnSe,…)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uzavřená a vysušovaná optika, (možnsot volby ZnSe optiky pro prostředí s vysokou vlhkostí), přípojka na profukování inertem je součástí dodávky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pyroelektrický detektor (DTGS)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Rychle regenerující DTGS pyroelektrický detektor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Možnost rozšíření o kyvety s optickou dráhou 5 m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Optická dráha plynové kyvety pro dodávaný spektrometr může být v rozmezí 5 cm – 100 metrů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ovládání spektrometru přes standardní řídící PC s operačním systémem min. Windows 10, USB komunikace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Řídicí PC je součástí dodávky, komunikace se spektrometrem je USB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certifikace výrobce dle normy ISO 9000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certifikace výrobce dle normy ISO 9000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certifikace dodavatele dle normy ISO 9000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certifikace výrobce dle normy ISO 9000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  <w:tr w:rsidR="00BE0FC7" w:rsidRPr="009E0F49" w:rsidTr="00BE0FC7">
        <w:trPr>
          <w:cantSplit/>
        </w:trPr>
        <w:tc>
          <w:tcPr>
            <w:tcW w:w="311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2561" w:type="pct"/>
            <w:vAlign w:val="center"/>
          </w:tcPr>
          <w:p w:rsidR="00BE0FC7" w:rsidRPr="00D74D5F" w:rsidRDefault="00BE0FC7" w:rsidP="00BE0FC7">
            <w:pPr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manuály v českém jazyce</w:t>
            </w:r>
          </w:p>
        </w:tc>
        <w:tc>
          <w:tcPr>
            <w:tcW w:w="497" w:type="pct"/>
            <w:vAlign w:val="center"/>
          </w:tcPr>
          <w:p w:rsidR="00BE0FC7" w:rsidRPr="00D74D5F" w:rsidRDefault="00BE0FC7" w:rsidP="00BE0FC7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BE0FC7" w:rsidRPr="009E0F49" w:rsidRDefault="00BE0FC7" w:rsidP="00BE0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manuály v českém jazyce i anglickém jazyce jsou součástí dodávky</w:t>
            </w:r>
          </w:p>
        </w:tc>
        <w:tc>
          <w:tcPr>
            <w:tcW w:w="541" w:type="pct"/>
            <w:vAlign w:val="center"/>
          </w:tcPr>
          <w:p w:rsidR="00BE0FC7" w:rsidRDefault="00BE0FC7" w:rsidP="00BE0FC7">
            <w:pPr>
              <w:jc w:val="center"/>
            </w:pPr>
            <w:r w:rsidRPr="00C420C7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BE0FC7" w:rsidRDefault="00BE0FC7">
      <w:pPr>
        <w:suppressAutoHyphens w:val="0"/>
        <w:rPr>
          <w:b/>
          <w:szCs w:val="22"/>
        </w:rPr>
      </w:pPr>
      <w:r>
        <w:rPr>
          <w:b/>
          <w:szCs w:val="22"/>
        </w:rPr>
        <w:br w:type="page"/>
      </w:r>
    </w:p>
    <w:p w:rsidR="005408D7" w:rsidRPr="00D74D5F" w:rsidRDefault="00D74D5F" w:rsidP="00D74D5F">
      <w:pPr>
        <w:ind w:left="284" w:hanging="284"/>
        <w:rPr>
          <w:sz w:val="20"/>
          <w:szCs w:val="22"/>
        </w:rPr>
      </w:pPr>
      <w:r w:rsidRPr="00D74D5F">
        <w:rPr>
          <w:b/>
          <w:szCs w:val="22"/>
        </w:rPr>
        <w:t>Kyveta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302"/>
        <w:gridCol w:w="3567"/>
        <w:gridCol w:w="3237"/>
        <w:gridCol w:w="1494"/>
      </w:tblGrid>
      <w:tr w:rsidR="009E0F49" w:rsidRPr="009E0F49" w:rsidTr="008946B7">
        <w:trPr>
          <w:cantSplit/>
          <w:tblHeader/>
        </w:trPr>
        <w:tc>
          <w:tcPr>
            <w:tcW w:w="311" w:type="pct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D74D5F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D74D5F" w:rsidRPr="00D74D5F" w:rsidRDefault="00D74D5F" w:rsidP="00D74D5F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1.</w:t>
            </w:r>
          </w:p>
        </w:tc>
        <w:tc>
          <w:tcPr>
            <w:tcW w:w="1828" w:type="pct"/>
            <w:vAlign w:val="center"/>
          </w:tcPr>
          <w:p w:rsidR="00D74D5F" w:rsidRPr="00D74D5F" w:rsidRDefault="00D74D5F" w:rsidP="00D74D5F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Optická dráha</w:t>
            </w:r>
          </w:p>
        </w:tc>
        <w:tc>
          <w:tcPr>
            <w:tcW w:w="1230" w:type="pct"/>
            <w:vAlign w:val="center"/>
          </w:tcPr>
          <w:p w:rsidR="00D74D5F" w:rsidRPr="00D74D5F" w:rsidRDefault="00D74D5F" w:rsidP="00D74D5F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min. 2 metry</w:t>
            </w:r>
          </w:p>
        </w:tc>
        <w:tc>
          <w:tcPr>
            <w:tcW w:w="1116" w:type="pct"/>
            <w:vAlign w:val="center"/>
          </w:tcPr>
          <w:p w:rsidR="00D74D5F" w:rsidRPr="009E0F49" w:rsidRDefault="00CF6D19" w:rsidP="00894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 opt. dráha</w:t>
            </w:r>
          </w:p>
        </w:tc>
        <w:tc>
          <w:tcPr>
            <w:tcW w:w="515" w:type="pct"/>
            <w:vAlign w:val="center"/>
          </w:tcPr>
          <w:p w:rsidR="00D74D5F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2.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Objem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max. 300 ml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 litru objem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E469CF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3.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Odolnost vůči vysokým koncentracím ozonu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min. &gt; 100 ppm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min. &gt; 100 ppm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E469CF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4.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Materiál kyvety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Nerezová ocel AISI 316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316SS electropolished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E469CF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5.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Štěrbina pro měření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ZnSe s povlakem proti interferencím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ZnSe okénka: 2 páry jsou součástí dodávky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E469CF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6.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Možnost temperace a kontroly teploty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do min. 160 °C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 = 200 °C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E469CF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D74D5F" w:rsidRDefault="00D74D5F" w:rsidP="009E0F49">
      <w:pPr>
        <w:rPr>
          <w:b/>
        </w:rPr>
      </w:pPr>
    </w:p>
    <w:p w:rsidR="005408D7" w:rsidRPr="006B38CB" w:rsidRDefault="00D74D5F" w:rsidP="009E0F49">
      <w:pPr>
        <w:rPr>
          <w:b/>
          <w:szCs w:val="22"/>
        </w:rPr>
      </w:pPr>
      <w:r>
        <w:rPr>
          <w:b/>
        </w:rPr>
        <w:t>Příslušenství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287"/>
        <w:gridCol w:w="3582"/>
        <w:gridCol w:w="3237"/>
        <w:gridCol w:w="1494"/>
      </w:tblGrid>
      <w:tr w:rsidR="009E0F49" w:rsidRPr="009E0F49" w:rsidTr="008946B7">
        <w:trPr>
          <w:cantSplit/>
          <w:tblHeader/>
        </w:trPr>
        <w:tc>
          <w:tcPr>
            <w:tcW w:w="311" w:type="pct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23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 xml:space="preserve">interní a externí kalibrace spektrometru </w:t>
            </w:r>
          </w:p>
        </w:tc>
        <w:tc>
          <w:tcPr>
            <w:tcW w:w="1235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podle ASTM 1421-99 a</w:t>
            </w:r>
          </w:p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podle dalšího interního postupu dodavatele (včetně dodání postupu kalibrace)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podle ASTM 1421-99 a podle dalšího interního postupu dodavatele (včetně dodání postupu kalibrace)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784A1A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23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automatické nastavení metody při použití nástavce pro transmisní měření, který je součástí nabízené sestavy</w:t>
            </w:r>
          </w:p>
        </w:tc>
        <w:tc>
          <w:tcPr>
            <w:tcW w:w="1235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automatické nastavení metody při použití nástavce pro transmisní měření, který je součástí nabízené sestavy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784A1A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23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možnost rozšíření spektrometru o infračervený mikroskop</w:t>
            </w:r>
          </w:p>
        </w:tc>
        <w:tc>
          <w:tcPr>
            <w:tcW w:w="1235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 mikroskop může být kdykoliv dodán jako příslušenství do vzorkového prostoru spektrometru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784A1A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23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 xml:space="preserve">možnost měření vzorků bez vložení vzorkovacího nástavce </w:t>
            </w:r>
          </w:p>
        </w:tc>
        <w:tc>
          <w:tcPr>
            <w:tcW w:w="1235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měření vzorků bez vložení vzorkovacího nástavce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784A1A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CF6D19" w:rsidRDefault="00CF6D19">
      <w:pPr>
        <w:suppressAutoHyphens w:val="0"/>
        <w:rPr>
          <w:b/>
          <w:szCs w:val="22"/>
        </w:rPr>
      </w:pPr>
      <w:r>
        <w:rPr>
          <w:b/>
          <w:szCs w:val="22"/>
        </w:rPr>
        <w:br w:type="page"/>
      </w:r>
    </w:p>
    <w:p w:rsidR="005408D7" w:rsidRPr="00D74D5F" w:rsidRDefault="00D74D5F" w:rsidP="009E0F49">
      <w:pPr>
        <w:spacing w:before="240" w:after="240"/>
        <w:contextualSpacing/>
        <w:rPr>
          <w:b/>
          <w:sz w:val="20"/>
        </w:rPr>
      </w:pPr>
      <w:r w:rsidRPr="00D74D5F">
        <w:rPr>
          <w:b/>
          <w:szCs w:val="22"/>
        </w:rPr>
        <w:t>Programové vybavení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290"/>
        <w:gridCol w:w="3579"/>
        <w:gridCol w:w="3237"/>
        <w:gridCol w:w="1494"/>
      </w:tblGrid>
      <w:tr w:rsidR="009E0F49" w:rsidRPr="009E0F49" w:rsidTr="008946B7">
        <w:trPr>
          <w:cantSplit/>
          <w:tblHeader/>
        </w:trPr>
        <w:tc>
          <w:tcPr>
            <w:tcW w:w="311" w:type="pct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 xml:space="preserve">software musí umožňovat automatické měření FT-IR spekter v závislosti na čase (on-line průtočné plynové experimenty). Software musí být schopen on-line zobrazovat křivky koncentrací, výšek a ploch pásů, poměrů pásů atd. v závislosti na čase experimentu.  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Omnic Series – software pro měření a vyhodnocování časově rozlišených spekter, včetně on-line zobrazení výsledků ve formě volitelné operátorem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 xml:space="preserve">Součástí software musí být startovací balíček kvantitativních metod pro stanovení koncentrace N2O, NO2, NO, CO, CO2, H2O v rozsahu od jednotek ppm, až po cca 2000 ppm. 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Startovací balíček kvantitativních metod pro stanovení koncentrace N2O, NO2, NO, CO, CO2, H2O v rozsahu od jednotek ppm, až po cca 2000 ppm.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diagnostický nástroj pro kontrolu zdroje IČ zářeni, laseru, napájení, detektoru a elektroniky spektrometru, dále pro PQ (performance qualification), nastavení termínů preventivní údržby atd.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diagnostický nástroj pro kontrolu zdroje záření, laseru, napájení, detektoru a elektroniky spektrometru, pro OQ/ PQ nastavení termínů preventivní údržby atd. je součástí řídicího SW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zařízení musí být doplněno o validační software umožňující automatizovanou kontrolu funkčnosti zařízení, přičemž uživatel musí mít možnost provádět samostatně kontrolní měření na dodaných certifikovaných standardech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validační software umožňující automatizovanou kontrolu funkčnosti zařízení, přičemž uživatel musí mít možnost provádět samostatně kontrolní měření na dodaných certifikovaných standardech je součástí dodávky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spektrální matematika, práce s knihovnami spekter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spektrální matematika, práce s knihovnami spekter, tvorba knihoven atd.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vestavěné funkce pro: tvorbu reportů, zakládání a prohledávání protokolů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vestavěné funkce pro: tvorbu reportů, zakládání a prohledávání protokolů, včetně tvorby inteních SW notebooků a pdf reportů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softwarová funkce pro ověření shody naměřeného spektra vůči jednomu či více spektrům standardů. Možnost zvýšení citlivosti pro vysoce podobná spektra.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QCheck SW modul: umožňuje rychlé ověření shody spektra vůči jednomu a více standardů, včetně operativní volby citlivosti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interpretační program infračervených spekter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interpretační program pro analýzu kvalitativní analýzu infračervených spekter je součástí dodávky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824" w:type="pct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program pro kvalitativní resp. kvantitativní analýzu. Musí umožňovat algoritmy Lambert Beerův zákon, CLS, SMLR, PLS, PCR, Diskriminační analýzu.</w:t>
            </w:r>
          </w:p>
        </w:tc>
        <w:tc>
          <w:tcPr>
            <w:tcW w:w="1234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  <w:szCs w:val="22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TQ ANALYST Proffesional Edition je součástí dodávky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1D7FB8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9E0F49" w:rsidRDefault="009E0F49" w:rsidP="009E0F49">
      <w:pPr>
        <w:spacing w:before="240"/>
        <w:contextualSpacing/>
        <w:rPr>
          <w:b/>
        </w:rPr>
      </w:pPr>
    </w:p>
    <w:p w:rsidR="005408D7" w:rsidRPr="00D74D5F" w:rsidRDefault="00D74D5F" w:rsidP="00D74D5F">
      <w:pPr>
        <w:rPr>
          <w:sz w:val="20"/>
        </w:rPr>
      </w:pPr>
      <w:r w:rsidRPr="00D74D5F">
        <w:rPr>
          <w:b/>
          <w:szCs w:val="22"/>
        </w:rPr>
        <w:t>Školení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287"/>
        <w:gridCol w:w="3582"/>
        <w:gridCol w:w="3237"/>
        <w:gridCol w:w="1494"/>
      </w:tblGrid>
      <w:tr w:rsidR="009E0F49" w:rsidRPr="009E0F49" w:rsidTr="00F21A3B">
        <w:trPr>
          <w:cantSplit/>
          <w:tblHeader/>
        </w:trPr>
        <w:tc>
          <w:tcPr>
            <w:tcW w:w="311" w:type="pct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C6D9F1" w:themeFill="text2" w:themeFillTint="33"/>
            <w:vAlign w:val="center"/>
          </w:tcPr>
          <w:p w:rsidR="009E0F49" w:rsidRPr="009E0F49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C6D9F1" w:themeFill="text2" w:themeFillTint="33"/>
            <w:vAlign w:val="center"/>
          </w:tcPr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9E0F49" w:rsidRPr="009E0F49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23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zaškolení obsluhy v rozsahu</w:t>
            </w:r>
          </w:p>
        </w:tc>
        <w:tc>
          <w:tcPr>
            <w:tcW w:w="1235" w:type="pct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min. 3 dny pro min. 3 osoby s možnou prolongací dle uvážení obsluhy, tzn. až do úplného zvládnutí obsluhy přístroje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min. 3 dny s možnou prolongací dle uvážení obsluhy, tzn. až do úplného zvládnutí obsluhy přístroje. Počet osob není omezen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2C7EBB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23" w:type="pct"/>
            <w:vAlign w:val="center"/>
          </w:tcPr>
          <w:p w:rsidR="003662BA" w:rsidRPr="00D74D5F" w:rsidRDefault="003662BA" w:rsidP="003662BA">
            <w:pPr>
              <w:rPr>
                <w:sz w:val="20"/>
              </w:rPr>
            </w:pPr>
            <w:r w:rsidRPr="00D74D5F">
              <w:rPr>
                <w:rFonts w:cs="Arial"/>
                <w:sz w:val="20"/>
              </w:rPr>
              <w:t>poskytnutí (zprostředkování) školení mimo pracoviště (např. formou kurzů týkajících se měření a interpretace IČ spekter) v prvním roce po uvedení přístroje do provozu</w:t>
            </w:r>
          </w:p>
        </w:tc>
        <w:tc>
          <w:tcPr>
            <w:tcW w:w="1235" w:type="pct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min. 4 akce</w:t>
            </w:r>
          </w:p>
        </w:tc>
        <w:tc>
          <w:tcPr>
            <w:tcW w:w="1116" w:type="pct"/>
            <w:vAlign w:val="center"/>
          </w:tcPr>
          <w:p w:rsidR="003662BA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Dle výběru v prvním roce 4 akce zdarma. </w:t>
            </w:r>
          </w:p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 dalších letech vždy 1 ks kursovného zdarma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2C7EBB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23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v 5 letech následujících po uvedení do provozu poskytnutí školení pro 1 osobu v rozsahu</w:t>
            </w:r>
          </w:p>
        </w:tc>
        <w:tc>
          <w:tcPr>
            <w:tcW w:w="1235" w:type="pct"/>
          </w:tcPr>
          <w:p w:rsidR="003662BA" w:rsidRPr="00D74D5F" w:rsidRDefault="003662BA" w:rsidP="003662BA">
            <w:pPr>
              <w:jc w:val="center"/>
              <w:rPr>
                <w:sz w:val="20"/>
              </w:rPr>
            </w:pPr>
            <w:r w:rsidRPr="00D74D5F">
              <w:rPr>
                <w:sz w:val="20"/>
              </w:rPr>
              <w:t>min. 3 dny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dny v každém roce pro 1 osobu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2C7EBB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23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v průběhu prvního roku od uvedení do provozu poskytnutí bezplatné e-mailové/telefonické konzultace týkající se technických a softwarových problémů</w:t>
            </w:r>
          </w:p>
        </w:tc>
        <w:tc>
          <w:tcPr>
            <w:tcW w:w="1235" w:type="pct"/>
          </w:tcPr>
          <w:p w:rsidR="003662BA" w:rsidRPr="00D74D5F" w:rsidRDefault="003662BA" w:rsidP="003662BA">
            <w:pPr>
              <w:jc w:val="center"/>
              <w:rPr>
                <w:sz w:val="20"/>
              </w:rPr>
            </w:pPr>
            <w:r w:rsidRPr="00D74D5F">
              <w:rPr>
                <w:sz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od uvedení do provozu poskytnutí </w:t>
            </w:r>
            <w:r w:rsidRPr="00D74D5F">
              <w:rPr>
                <w:rFonts w:cs="Arial"/>
                <w:sz w:val="20"/>
              </w:rPr>
              <w:t>bezplatné e-mailové/telefonické konzultace týkající se technických a softwarových problémů</w:t>
            </w:r>
            <w:r>
              <w:rPr>
                <w:rFonts w:cs="Arial"/>
                <w:sz w:val="20"/>
              </w:rPr>
              <w:t>: 2 roky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2C7EBB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9E0F49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9E0F49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823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aplikační podporu při vyhodnocování změřených spekter (možnost zaslání změřených spekter e-mailem a jejich vyhodnocení)</w:t>
            </w:r>
          </w:p>
        </w:tc>
        <w:tc>
          <w:tcPr>
            <w:tcW w:w="1235" w:type="pct"/>
          </w:tcPr>
          <w:p w:rsidR="003662BA" w:rsidRPr="00D74D5F" w:rsidRDefault="003662BA" w:rsidP="003662BA">
            <w:pPr>
              <w:jc w:val="center"/>
              <w:rPr>
                <w:sz w:val="20"/>
              </w:rPr>
            </w:pPr>
            <w:r w:rsidRPr="00D74D5F">
              <w:rPr>
                <w:sz w:val="20"/>
              </w:rPr>
              <w:t>ANO, v českém jazyce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rFonts w:cs="Arial"/>
                <w:sz w:val="20"/>
              </w:rPr>
              <w:t>aplikační podpor</w:t>
            </w:r>
            <w:r>
              <w:rPr>
                <w:rFonts w:cs="Arial"/>
                <w:sz w:val="20"/>
              </w:rPr>
              <w:t>a</w:t>
            </w:r>
            <w:r w:rsidRPr="00D74D5F">
              <w:rPr>
                <w:rFonts w:cs="Arial"/>
                <w:sz w:val="20"/>
              </w:rPr>
              <w:t xml:space="preserve"> při vyhodnocování změřených spekter (možnost zaslání změřených spekter e-mailem a jejich vyhodnocení)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2C7EBB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6F18AD" w:rsidRDefault="006F18AD" w:rsidP="009E0F49">
      <w:pPr>
        <w:spacing w:before="240" w:after="240"/>
        <w:contextualSpacing/>
        <w:rPr>
          <w:b/>
        </w:rPr>
      </w:pPr>
    </w:p>
    <w:p w:rsidR="005408D7" w:rsidRPr="00D74D5F" w:rsidRDefault="00D74D5F" w:rsidP="009E0F49">
      <w:pPr>
        <w:spacing w:before="240"/>
        <w:rPr>
          <w:b/>
          <w:sz w:val="20"/>
          <w:szCs w:val="22"/>
        </w:rPr>
      </w:pPr>
      <w:r w:rsidRPr="00D74D5F">
        <w:rPr>
          <w:b/>
          <w:szCs w:val="22"/>
        </w:rPr>
        <w:t>Záruční a pozáruční servis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5302"/>
        <w:gridCol w:w="3567"/>
        <w:gridCol w:w="3237"/>
        <w:gridCol w:w="1494"/>
      </w:tblGrid>
      <w:tr w:rsidR="009E0F49" w:rsidRPr="006F18AD" w:rsidTr="008946B7">
        <w:trPr>
          <w:cantSplit/>
          <w:tblHeader/>
        </w:trPr>
        <w:tc>
          <w:tcPr>
            <w:tcW w:w="311" w:type="pct"/>
            <w:shd w:val="clear" w:color="auto" w:fill="C6D9F1" w:themeFill="text2" w:themeFillTint="33"/>
            <w:vAlign w:val="center"/>
          </w:tcPr>
          <w:p w:rsidR="009E0F49" w:rsidRPr="006F18AD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C6D9F1" w:themeFill="text2" w:themeFillTint="33"/>
            <w:vAlign w:val="center"/>
          </w:tcPr>
          <w:p w:rsidR="009E0F49" w:rsidRPr="006F18AD" w:rsidRDefault="009E0F49" w:rsidP="00324C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C6D9F1" w:themeFill="text2" w:themeFillTint="33"/>
            <w:vAlign w:val="center"/>
          </w:tcPr>
          <w:p w:rsidR="009E0F49" w:rsidRPr="006F18AD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C6D9F1" w:themeFill="text2" w:themeFillTint="33"/>
            <w:vAlign w:val="center"/>
          </w:tcPr>
          <w:p w:rsidR="009E0F49" w:rsidRPr="006F18AD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9E0F49" w:rsidRPr="006F18AD" w:rsidRDefault="009E0F49" w:rsidP="00894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3662BA" w:rsidRPr="006F18AD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6F18AD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6F18AD">
              <w:rPr>
                <w:sz w:val="20"/>
                <w:szCs w:val="20"/>
              </w:rPr>
              <w:t>1.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Záruční a pozáruční servis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zajištěn v ČR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Nicolet CZ, Praha, stálá telefonická servisní a aplikační služba v českém jazyce (Po - Pá 8 - 17), rozsáhlý sklad náhradních dílů a příslušenství.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B43F4A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6F18AD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6F18AD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6F18AD">
              <w:rPr>
                <w:sz w:val="20"/>
                <w:szCs w:val="20"/>
              </w:rPr>
              <w:t>2.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sz w:val="20"/>
              </w:rPr>
            </w:pPr>
            <w:r w:rsidRPr="00D74D5F">
              <w:rPr>
                <w:sz w:val="20"/>
              </w:rPr>
              <w:t>Rychlost servisního zásahu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max. 48 hodin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 hodin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B43F4A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6F18AD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6F18AD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6F18AD">
              <w:rPr>
                <w:sz w:val="20"/>
                <w:szCs w:val="20"/>
              </w:rPr>
              <w:t>3.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Cena servisní hodiny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sz w:val="20"/>
              </w:rPr>
            </w:pPr>
            <w:r w:rsidRPr="00D74D5F">
              <w:rPr>
                <w:sz w:val="20"/>
              </w:rPr>
              <w:t>zdarma po dobu 5 let od uvedení do provozu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zdarma po dobu 5 let od uvedení do provozu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B43F4A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6F18AD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6F18AD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6F18AD">
              <w:rPr>
                <w:sz w:val="20"/>
                <w:szCs w:val="20"/>
              </w:rPr>
              <w:t>4.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Další náklady spojené se servisem (náklady na jeden výjezd – cesta, doprava, ubytování,…), bez započítání ceny materiálu (komponent) přístroje, které jsou potřebné pro provedení servisu (výměna vadného dílu, apod.)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sz w:val="20"/>
              </w:rPr>
            </w:pPr>
            <w:r w:rsidRPr="00D74D5F">
              <w:rPr>
                <w:sz w:val="20"/>
              </w:rPr>
              <w:t>zdarma po dobu 5 let od uvedení do provozu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zdarma po dobu 5 let od uvedení do provozu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B43F4A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662BA" w:rsidRPr="006F18AD" w:rsidTr="003662BA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3662BA" w:rsidRPr="006F18AD" w:rsidRDefault="003662BA" w:rsidP="0036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28" w:type="pct"/>
            <w:vAlign w:val="center"/>
          </w:tcPr>
          <w:p w:rsidR="003662BA" w:rsidRPr="00D74D5F" w:rsidRDefault="003662BA" w:rsidP="003662BA">
            <w:pPr>
              <w:rPr>
                <w:rFonts w:cs="Arial"/>
                <w:sz w:val="20"/>
              </w:rPr>
            </w:pPr>
            <w:r w:rsidRPr="00D74D5F">
              <w:rPr>
                <w:rFonts w:cs="Arial"/>
                <w:sz w:val="20"/>
              </w:rPr>
              <w:t>Garance dostupnosti náhradních dílů</w:t>
            </w:r>
          </w:p>
        </w:tc>
        <w:tc>
          <w:tcPr>
            <w:tcW w:w="1230" w:type="pct"/>
            <w:vAlign w:val="center"/>
          </w:tcPr>
          <w:p w:rsidR="003662BA" w:rsidRPr="00D74D5F" w:rsidRDefault="003662BA" w:rsidP="003662BA">
            <w:pPr>
              <w:jc w:val="center"/>
              <w:rPr>
                <w:sz w:val="20"/>
              </w:rPr>
            </w:pPr>
            <w:r w:rsidRPr="00D74D5F">
              <w:rPr>
                <w:sz w:val="20"/>
              </w:rPr>
              <w:t>min. 10 let od uvedení do provozu</w:t>
            </w:r>
          </w:p>
        </w:tc>
        <w:tc>
          <w:tcPr>
            <w:tcW w:w="1116" w:type="pct"/>
            <w:vAlign w:val="center"/>
          </w:tcPr>
          <w:p w:rsidR="003662BA" w:rsidRPr="009E0F49" w:rsidRDefault="003662BA" w:rsidP="003662BA">
            <w:pPr>
              <w:jc w:val="center"/>
              <w:rPr>
                <w:rFonts w:cs="Arial"/>
                <w:sz w:val="20"/>
                <w:szCs w:val="20"/>
              </w:rPr>
            </w:pPr>
            <w:r w:rsidRPr="00D74D5F">
              <w:rPr>
                <w:sz w:val="20"/>
              </w:rPr>
              <w:t>min. 10 let od uvedení do provozu</w:t>
            </w:r>
          </w:p>
        </w:tc>
        <w:tc>
          <w:tcPr>
            <w:tcW w:w="515" w:type="pct"/>
            <w:vAlign w:val="center"/>
          </w:tcPr>
          <w:p w:rsidR="003662BA" w:rsidRDefault="003662BA" w:rsidP="003662BA">
            <w:pPr>
              <w:jc w:val="center"/>
            </w:pPr>
            <w:r w:rsidRPr="00B43F4A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F979AA" w:rsidRPr="00217236" w:rsidRDefault="00F979AA">
      <w:pPr>
        <w:suppressAutoHyphens w:val="0"/>
        <w:spacing w:after="200" w:line="276" w:lineRule="auto"/>
        <w:rPr>
          <w:rFonts w:cs="Arial"/>
          <w:b/>
          <w:caps/>
          <w:szCs w:val="20"/>
          <w:lang w:eastAsia="en-US"/>
        </w:rPr>
        <w:sectPr w:rsidR="00F979AA" w:rsidRPr="00217236" w:rsidSect="0096550C">
          <w:headerReference w:type="default" r:id="rId12"/>
          <w:pgSz w:w="16838" w:h="11906" w:orient="landscape" w:code="9"/>
          <w:pgMar w:top="1418" w:right="1418" w:bottom="1985" w:left="1135" w:header="709" w:footer="403" w:gutter="0"/>
          <w:cols w:space="708"/>
          <w:docGrid w:linePitch="360"/>
        </w:sectPr>
      </w:pPr>
    </w:p>
    <w:p w:rsidR="00F979AA" w:rsidRPr="00217236" w:rsidRDefault="00D440A3" w:rsidP="00D440A3">
      <w:pPr>
        <w:pageBreakBefore/>
        <w:widowControl w:val="0"/>
        <w:spacing w:before="240" w:after="60"/>
        <w:jc w:val="center"/>
        <w:rPr>
          <w:rFonts w:cs="Arial"/>
          <w:b/>
          <w:caps/>
          <w:szCs w:val="20"/>
          <w:lang w:eastAsia="en-US"/>
        </w:rPr>
      </w:pPr>
      <w:r>
        <w:rPr>
          <w:rFonts w:cs="Arial"/>
          <w:b/>
          <w:caps/>
          <w:szCs w:val="20"/>
          <w:lang w:eastAsia="en-US"/>
        </w:rPr>
        <w:t>PŘÍLOHA Č. 2</w:t>
      </w:r>
    </w:p>
    <w:p w:rsidR="00F979AA" w:rsidRPr="00D440A3" w:rsidRDefault="00D440A3" w:rsidP="00D440A3">
      <w:pPr>
        <w:widowControl w:val="0"/>
        <w:spacing w:before="120" w:after="60" w:line="276" w:lineRule="auto"/>
        <w:jc w:val="center"/>
        <w:rPr>
          <w:rFonts w:cs="Arial"/>
          <w:b/>
          <w:caps/>
          <w:szCs w:val="20"/>
          <w:lang w:eastAsia="en-US"/>
        </w:rPr>
      </w:pPr>
      <w:r w:rsidRPr="00D440A3">
        <w:rPr>
          <w:rFonts w:cs="Arial"/>
          <w:b/>
          <w:bCs/>
          <w:caps/>
          <w:szCs w:val="20"/>
          <w:lang w:eastAsia="en-US"/>
        </w:rPr>
        <w:t>Technická specifikace</w:t>
      </w:r>
    </w:p>
    <w:p w:rsidR="00014E2A" w:rsidRDefault="00014E2A" w:rsidP="002C7814">
      <w:pPr>
        <w:widowControl w:val="0"/>
        <w:spacing w:after="60" w:line="276" w:lineRule="auto"/>
        <w:jc w:val="center"/>
        <w:rPr>
          <w:rFonts w:cs="Arial"/>
          <w:b/>
          <w:caps/>
          <w:szCs w:val="20"/>
          <w:lang w:eastAsia="en-US"/>
        </w:rPr>
      </w:pPr>
    </w:p>
    <w:tbl>
      <w:tblPr>
        <w:tblStyle w:val="TableGrid"/>
        <w:tblW w:w="9362" w:type="dxa"/>
        <w:tblInd w:w="63" w:type="dxa"/>
        <w:tblCellMar>
          <w:top w:w="65" w:type="dxa"/>
          <w:left w:w="86" w:type="dxa"/>
          <w:right w:w="360" w:type="dxa"/>
        </w:tblCellMar>
        <w:tblLook w:val="04A0" w:firstRow="1" w:lastRow="0" w:firstColumn="1" w:lastColumn="0" w:noHBand="0" w:noVBand="1"/>
      </w:tblPr>
      <w:tblGrid>
        <w:gridCol w:w="654"/>
        <w:gridCol w:w="8708"/>
      </w:tblGrid>
      <w:tr w:rsidR="00BB304A" w:rsidTr="003662BA">
        <w:trPr>
          <w:trHeight w:val="20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04A" w:rsidRPr="003662BA" w:rsidRDefault="00BB304A" w:rsidP="00BB304A">
            <w:pPr>
              <w:spacing w:line="259" w:lineRule="auto"/>
              <w:ind w:left="58"/>
              <w:rPr>
                <w:b/>
                <w:sz w:val="20"/>
                <w:szCs w:val="20"/>
              </w:rPr>
            </w:pPr>
            <w:r w:rsidRPr="003662B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2BA" w:rsidRPr="003662BA" w:rsidRDefault="00BB304A" w:rsidP="00BB304A">
            <w:pPr>
              <w:spacing w:line="309" w:lineRule="auto"/>
              <w:ind w:left="741" w:right="2059" w:hanging="698"/>
              <w:rPr>
                <w:rFonts w:ascii="Times New Roman" w:hAnsi="Times New Roman"/>
                <w:b/>
                <w:sz w:val="20"/>
              </w:rPr>
            </w:pPr>
            <w:r w:rsidRPr="003662BA">
              <w:rPr>
                <w:rFonts w:ascii="Times New Roman" w:hAnsi="Times New Roman"/>
                <w:b/>
                <w:sz w:val="20"/>
              </w:rPr>
              <w:t xml:space="preserve">FT-IR spektrometr Nicolet iS5 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 xml:space="preserve">detektor DTGS, Ge/KBr dělič paprsků 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 xml:space="preserve">vysokointenzitní zdroj infračerveného záření 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 xml:space="preserve">spektrální rozsah 7800-350 cm-l , spektrální rozlišení </w:t>
            </w:r>
            <w:r w:rsidRPr="003662BA">
              <w:rPr>
                <w:rFonts w:ascii="Times New Roman" w:hAnsi="Times New Roman"/>
                <w:b/>
                <w:sz w:val="20"/>
              </w:rPr>
              <w:t>lepší než 0.8 cm</w:t>
            </w:r>
            <w:r w:rsidRPr="003662BA">
              <w:rPr>
                <w:rFonts w:ascii="Times New Roman" w:hAnsi="Times New Roman"/>
                <w:b/>
                <w:sz w:val="20"/>
                <w:vertAlign w:val="superscript"/>
              </w:rPr>
              <w:t>-</w:t>
            </w:r>
            <w:r w:rsidR="003662BA" w:rsidRPr="003662BA">
              <w:rPr>
                <w:rFonts w:ascii="Times New Roman" w:hAnsi="Times New Roman"/>
                <w:b/>
                <w:sz w:val="20"/>
                <w:vertAlign w:val="superscript"/>
              </w:rPr>
              <w:t>1</w:t>
            </w:r>
            <w:r w:rsidRPr="003662BA">
              <w:rPr>
                <w:rFonts w:ascii="Times New Roman" w:hAnsi="Times New Roman"/>
                <w:sz w:val="20"/>
              </w:rPr>
              <w:t xml:space="preserve"> 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 xml:space="preserve">automatická justáž spektrometru Autotune 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 xml:space="preserve">dynamické nastavování optiky Dynamic Alignment 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 xml:space="preserve">uzavřená a vysušovaná optika, KBr okénka vzorkového prostoru 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 xml:space="preserve">přístroj je uživatelsky přenositelný/převozitelný. </w:t>
            </w:r>
          </w:p>
          <w:p w:rsidR="00BB304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 w:rsidRPr="003662BA">
              <w:rPr>
                <w:rFonts w:ascii="Times New Roman" w:hAnsi="Times New Roman"/>
                <w:sz w:val="20"/>
              </w:rPr>
              <w:t>anglické a české manuály</w:t>
            </w:r>
          </w:p>
          <w:p w:rsidR="003662BA" w:rsidRPr="003662BA" w:rsidRDefault="00BB304A" w:rsidP="003662BA">
            <w:pPr>
              <w:spacing w:line="310" w:lineRule="auto"/>
              <w:ind w:left="28" w:right="3794" w:firstLine="1"/>
              <w:rPr>
                <w:rFonts w:ascii="Times New Roman" w:hAnsi="Times New Roman"/>
                <w:b/>
                <w:sz w:val="20"/>
              </w:rPr>
            </w:pPr>
            <w:r w:rsidRPr="003662BA">
              <w:rPr>
                <w:rFonts w:ascii="Times New Roman" w:hAnsi="Times New Roman"/>
                <w:b/>
                <w:sz w:val="20"/>
              </w:rPr>
              <w:t>Kompletní ovládací software OMNIC 9</w:t>
            </w:r>
          </w:p>
          <w:p w:rsidR="00BB304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zabudovaný diagnostický software SPV</w:t>
            </w:r>
          </w:p>
          <w:p w:rsidR="00BB304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Search, QCheck, správce knihoven Library Manager</w:t>
            </w:r>
          </w:p>
          <w:p w:rsidR="00BB304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 Spectral Interpretation, tvorba protokolů Report</w:t>
            </w:r>
          </w:p>
          <w:p w:rsidR="00BB304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Příkladové knihovny s 1400 spektry</w:t>
            </w:r>
          </w:p>
          <w:p w:rsidR="003662B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b/>
                <w:color w:val="8064A2" w:themeColor="accent4"/>
                <w:sz w:val="20"/>
              </w:rPr>
            </w:pPr>
            <w:r w:rsidRPr="003662BA">
              <w:rPr>
                <w:rFonts w:ascii="Times New Roman" w:hAnsi="Times New Roman"/>
                <w:b/>
                <w:color w:val="8064A2" w:themeColor="accent4"/>
                <w:sz w:val="20"/>
              </w:rPr>
              <w:t>Startovací metoda pro kvantitativní analýzu plynů (oxidy dusíku, CO, C02, voda atd.)</w:t>
            </w:r>
          </w:p>
          <w:p w:rsidR="00BB304A" w:rsidRPr="003662BA" w:rsidRDefault="00BB304A" w:rsidP="003662BA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b/>
                <w:color w:val="8064A2" w:themeColor="accent4"/>
              </w:rPr>
            </w:pPr>
            <w:r w:rsidRPr="003662BA">
              <w:rPr>
                <w:rFonts w:ascii="Times New Roman" w:hAnsi="Times New Roman"/>
                <w:b/>
                <w:color w:val="8064A2" w:themeColor="accent4"/>
                <w:sz w:val="20"/>
              </w:rPr>
              <w:t>OMNIC Series modul</w:t>
            </w:r>
          </w:p>
          <w:p w:rsidR="003662BA" w:rsidRDefault="003662BA" w:rsidP="00BB304A">
            <w:pPr>
              <w:spacing w:after="4" w:line="266" w:lineRule="auto"/>
              <w:ind w:left="14" w:firstLine="7"/>
              <w:rPr>
                <w:rFonts w:ascii="Times New Roman" w:hAnsi="Times New Roman"/>
              </w:rPr>
            </w:pPr>
          </w:p>
          <w:p w:rsidR="003662BA" w:rsidRDefault="003662BA" w:rsidP="00BB304A">
            <w:pPr>
              <w:spacing w:after="4" w:line="266" w:lineRule="auto"/>
              <w:ind w:left="14" w:firstLine="7"/>
              <w:rPr>
                <w:rFonts w:ascii="Times New Roman" w:hAnsi="Times New Roman"/>
              </w:rPr>
            </w:pPr>
          </w:p>
          <w:p w:rsidR="00BB304A" w:rsidRPr="003662BA" w:rsidRDefault="00BB304A" w:rsidP="00BB304A">
            <w:pPr>
              <w:spacing w:after="4" w:line="266" w:lineRule="auto"/>
              <w:ind w:left="14" w:firstLine="7"/>
              <w:rPr>
                <w:b/>
              </w:rPr>
            </w:pPr>
            <w:r w:rsidRPr="003662BA">
              <w:rPr>
                <w:rFonts w:ascii="Times New Roman" w:hAnsi="Times New Roman"/>
                <w:b/>
              </w:rPr>
              <w:t>Kvalifikace spektrometru dle normy ASTM 1421-99 při instalaci, příslušenství a software pro validaci systému Spektrotest</w:t>
            </w:r>
          </w:p>
          <w:p w:rsidR="00BB304A" w:rsidRDefault="00BB304A" w:rsidP="00BB304A">
            <w:pPr>
              <w:spacing w:line="259" w:lineRule="auto"/>
              <w:ind w:left="22"/>
            </w:pPr>
            <w:r w:rsidRPr="003662BA">
              <w:rPr>
                <w:rFonts w:ascii="Times New Roman" w:hAnsi="Times New Roman"/>
                <w:b/>
              </w:rPr>
              <w:t>(Spektrotest Plus Standard po dobu 1 roku v ceně přístroje)</w:t>
            </w:r>
          </w:p>
        </w:tc>
      </w:tr>
      <w:tr w:rsidR="00BB304A" w:rsidTr="00BE0FC7">
        <w:trPr>
          <w:trHeight w:val="39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04A" w:rsidRPr="003662BA" w:rsidRDefault="00BB304A" w:rsidP="00BE0FC7">
            <w:pPr>
              <w:spacing w:line="259" w:lineRule="auto"/>
              <w:ind w:left="14"/>
              <w:rPr>
                <w:b/>
                <w:sz w:val="20"/>
                <w:szCs w:val="20"/>
              </w:rPr>
            </w:pPr>
            <w:r w:rsidRPr="003662B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04A" w:rsidRDefault="00BB304A" w:rsidP="00BB304A">
            <w:pPr>
              <w:spacing w:line="259" w:lineRule="auto"/>
              <w:ind w:left="14"/>
            </w:pPr>
            <w:r w:rsidRPr="00BE0FC7">
              <w:rPr>
                <w:rFonts w:ascii="Times New Roman" w:hAnsi="Times New Roman"/>
                <w:b/>
              </w:rPr>
              <w:t>Datastanice</w:t>
            </w:r>
            <w:r>
              <w:rPr>
                <w:rFonts w:ascii="Times New Roman" w:hAnsi="Times New Roman"/>
              </w:rPr>
              <w:t xml:space="preserve"> Intel Core i5 s příslušenstvím dle popisu, či lepší</w:t>
            </w:r>
          </w:p>
        </w:tc>
      </w:tr>
      <w:tr w:rsidR="00BB304A" w:rsidTr="003662BA">
        <w:trPr>
          <w:trHeight w:val="20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04A" w:rsidRPr="003662BA" w:rsidRDefault="00BB304A" w:rsidP="00BB304A">
            <w:pPr>
              <w:spacing w:line="259" w:lineRule="auto"/>
              <w:ind w:left="7"/>
              <w:rPr>
                <w:b/>
                <w:sz w:val="20"/>
                <w:szCs w:val="20"/>
              </w:rPr>
            </w:pPr>
            <w:r w:rsidRPr="003662B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304A" w:rsidRPr="00BE0FC7" w:rsidRDefault="00BB304A" w:rsidP="00BB304A">
            <w:pPr>
              <w:spacing w:after="80" w:line="259" w:lineRule="auto"/>
              <w:ind w:left="14"/>
              <w:rPr>
                <w:b/>
              </w:rPr>
            </w:pPr>
            <w:r w:rsidRPr="00BE0FC7">
              <w:rPr>
                <w:rFonts w:ascii="Times New Roman" w:hAnsi="Times New Roman"/>
                <w:b/>
              </w:rPr>
              <w:t>Plynová FT-IR kyveta pro rychlou on-line analýzu směsí plynů</w:t>
            </w:r>
          </w:p>
          <w:p w:rsidR="00BB304A" w:rsidRPr="00BE0FC7" w:rsidRDefault="00BB304A" w:rsidP="00BE0FC7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316SS electropolished: 2 m opt. dráha / 0,2 lit</w:t>
            </w:r>
            <w:r w:rsidR="00BE0FC7">
              <w:rPr>
                <w:rFonts w:ascii="Times New Roman" w:hAnsi="Times New Roman"/>
                <w:sz w:val="20"/>
              </w:rPr>
              <w:t>ru</w:t>
            </w:r>
            <w:r>
              <w:rPr>
                <w:rFonts w:ascii="Times New Roman" w:hAnsi="Times New Roman"/>
                <w:sz w:val="20"/>
              </w:rPr>
              <w:t xml:space="preserve"> objem</w:t>
            </w:r>
          </w:p>
          <w:p w:rsidR="00BB304A" w:rsidRPr="00BE0FC7" w:rsidRDefault="00BB304A" w:rsidP="00BE0FC7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ZnSe okénka + náhradní pár ZnSe okének</w:t>
            </w:r>
          </w:p>
          <w:p w:rsidR="00BB304A" w:rsidRPr="00BE0FC7" w:rsidRDefault="00BB304A" w:rsidP="00BE0FC7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Kontrola teplotní stabilizace + vyhřívání kyvety</w:t>
            </w:r>
          </w:p>
          <w:p w:rsidR="00BB304A" w:rsidRDefault="00BB304A" w:rsidP="00BE0FC7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>
              <w:rPr>
                <w:rFonts w:ascii="Times New Roman" w:hAnsi="Times New Roman"/>
                <w:sz w:val="20"/>
              </w:rPr>
              <w:t>Helium test leak certifikát</w:t>
            </w:r>
          </w:p>
        </w:tc>
      </w:tr>
      <w:tr w:rsidR="00BB304A" w:rsidTr="003662BA">
        <w:trPr>
          <w:trHeight w:val="20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04A" w:rsidRPr="003662BA" w:rsidRDefault="00BB304A" w:rsidP="00BB304A">
            <w:pPr>
              <w:spacing w:line="259" w:lineRule="auto"/>
              <w:rPr>
                <w:b/>
                <w:sz w:val="20"/>
                <w:szCs w:val="20"/>
              </w:rPr>
            </w:pPr>
            <w:r w:rsidRPr="003662B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304A" w:rsidRPr="00BE0FC7" w:rsidRDefault="00BB304A" w:rsidP="00BB304A">
            <w:pPr>
              <w:spacing w:after="77" w:line="259" w:lineRule="auto"/>
              <w:rPr>
                <w:b/>
              </w:rPr>
            </w:pPr>
            <w:r w:rsidRPr="00BE0FC7">
              <w:rPr>
                <w:rFonts w:ascii="Times New Roman" w:hAnsi="Times New Roman"/>
                <w:b/>
              </w:rPr>
              <w:t>Plynové čerpadlo (ozonu odolné)</w:t>
            </w:r>
          </w:p>
          <w:p w:rsidR="00BB304A" w:rsidRPr="00BE0FC7" w:rsidRDefault="00BB304A" w:rsidP="00BE0FC7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Průtok: 0,5 1/minutu za atmosférického tlaku</w:t>
            </w:r>
          </w:p>
          <w:p w:rsidR="00BB304A" w:rsidRPr="00BE0FC7" w:rsidRDefault="00BB304A" w:rsidP="00BE0FC7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Včetně náhradní membrány a </w:t>
            </w:r>
            <w:r w:rsidR="00BE0FC7"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-kroužků</w:t>
            </w:r>
          </w:p>
          <w:p w:rsidR="00BB304A" w:rsidRDefault="00BB304A" w:rsidP="00BE0FC7">
            <w:pPr>
              <w:pStyle w:val="Odstavecseseznamem"/>
              <w:numPr>
                <w:ilvl w:val="0"/>
                <w:numId w:val="46"/>
              </w:numPr>
              <w:spacing w:before="0" w:after="0" w:line="309" w:lineRule="auto"/>
              <w:ind w:left="698" w:right="186" w:hanging="284"/>
            </w:pPr>
            <w:r>
              <w:rPr>
                <w:rFonts w:ascii="Times New Roman" w:hAnsi="Times New Roman"/>
                <w:sz w:val="20"/>
              </w:rPr>
              <w:t>Na</w:t>
            </w:r>
            <w:r w:rsidR="00BE0FC7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á</w:t>
            </w:r>
            <w:r w:rsidR="00BE0FC7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>ení ze sítě 240 VAC</w:t>
            </w:r>
          </w:p>
        </w:tc>
      </w:tr>
      <w:tr w:rsidR="00BB304A" w:rsidTr="00BE0FC7">
        <w:trPr>
          <w:trHeight w:val="38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04A" w:rsidRPr="003662BA" w:rsidRDefault="00BB304A" w:rsidP="00BE0FC7">
            <w:pPr>
              <w:spacing w:line="259" w:lineRule="auto"/>
              <w:rPr>
                <w:b/>
                <w:sz w:val="20"/>
                <w:szCs w:val="20"/>
              </w:rPr>
            </w:pPr>
            <w:r w:rsidRPr="003662B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04A" w:rsidRPr="00BE0FC7" w:rsidRDefault="00BB304A" w:rsidP="00BE0FC7">
            <w:pPr>
              <w:spacing w:line="259" w:lineRule="auto"/>
              <w:rPr>
                <w:b/>
              </w:rPr>
            </w:pPr>
            <w:r w:rsidRPr="00BE0FC7">
              <w:rPr>
                <w:rFonts w:ascii="Times New Roman" w:hAnsi="Times New Roman"/>
                <w:b/>
              </w:rPr>
              <w:t>Vakuová pumpa pro evakuaci plynové cely</w:t>
            </w:r>
          </w:p>
        </w:tc>
      </w:tr>
    </w:tbl>
    <w:p w:rsidR="00C452CD" w:rsidRPr="00217236" w:rsidRDefault="00C452CD" w:rsidP="00BE0FC7">
      <w:pPr>
        <w:spacing w:line="259" w:lineRule="auto"/>
        <w:ind w:left="2138"/>
        <w:rPr>
          <w:rFonts w:cs="Arial"/>
          <w:b/>
          <w:caps/>
          <w:szCs w:val="20"/>
          <w:lang w:eastAsia="en-US"/>
        </w:rPr>
      </w:pPr>
    </w:p>
    <w:sectPr w:rsidR="00C452CD" w:rsidRPr="00217236" w:rsidSect="004E2345">
      <w:headerReference w:type="default" r:id="rId13"/>
      <w:pgSz w:w="11906" w:h="16838" w:code="9"/>
      <w:pgMar w:top="1418" w:right="1418" w:bottom="1135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09" w:rsidRDefault="005E2809" w:rsidP="00EC5C5F">
      <w:r>
        <w:separator/>
      </w:r>
    </w:p>
  </w:endnote>
  <w:endnote w:type="continuationSeparator" w:id="0">
    <w:p w:rsidR="005E2809" w:rsidRDefault="005E2809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ąŮĹ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19" w:rsidRDefault="00CF6D19" w:rsidP="00872F06">
    <w:pPr>
      <w:pStyle w:val="Zhlav"/>
      <w:ind w:firstLine="708"/>
      <w:jc w:val="center"/>
      <w:rPr>
        <w:rStyle w:val="slostrnky"/>
        <w:rFonts w:ascii="Calibri" w:hAnsi="Calibri" w:cs="Arial"/>
        <w:sz w:val="16"/>
        <w:szCs w:val="16"/>
      </w:rPr>
    </w:pPr>
  </w:p>
  <w:p w:rsidR="00CF6D19" w:rsidRPr="002915D3" w:rsidRDefault="00CF6D19" w:rsidP="00927C5E">
    <w:pPr>
      <w:pStyle w:val="Zpat"/>
      <w:jc w:val="right"/>
      <w:rPr>
        <w:rFonts w:ascii="Calibri" w:hAnsi="Calibri"/>
        <w:b/>
        <w:sz w:val="18"/>
        <w:szCs w:val="18"/>
        <w:lang w:val="en-GB"/>
      </w:rPr>
    </w:pPr>
    <w:r>
      <w:rPr>
        <w:rFonts w:ascii="Calibri" w:hAnsi="Calibri"/>
        <w:sz w:val="16"/>
        <w:lang w:val="en-GB"/>
      </w:rPr>
      <w:t>Strana</w:t>
    </w:r>
    <w:r w:rsidRPr="002915D3">
      <w:rPr>
        <w:rFonts w:ascii="Calibri" w:hAnsi="Calibri"/>
        <w:sz w:val="16"/>
        <w:lang w:val="en-GB"/>
      </w:rPr>
      <w:t xml:space="preserve"> </w:t>
    </w:r>
    <w:r w:rsidRPr="002915D3">
      <w:rPr>
        <w:rStyle w:val="slostrnky"/>
        <w:rFonts w:ascii="Calibri" w:hAnsi="Calibri"/>
        <w:sz w:val="16"/>
        <w:lang w:val="en-GB"/>
      </w:rPr>
      <w:fldChar w:fldCharType="begin"/>
    </w:r>
    <w:r w:rsidRPr="002915D3">
      <w:rPr>
        <w:rStyle w:val="slostrnky"/>
        <w:rFonts w:ascii="Calibri" w:hAnsi="Calibri"/>
        <w:sz w:val="16"/>
        <w:lang w:val="en-GB"/>
      </w:rPr>
      <w:instrText xml:space="preserve"> PAGE </w:instrText>
    </w:r>
    <w:r w:rsidRPr="002915D3">
      <w:rPr>
        <w:rStyle w:val="slostrnky"/>
        <w:rFonts w:ascii="Calibri" w:hAnsi="Calibri"/>
        <w:sz w:val="16"/>
        <w:lang w:val="en-GB"/>
      </w:rPr>
      <w:fldChar w:fldCharType="separate"/>
    </w:r>
    <w:r w:rsidR="004C0F7E">
      <w:rPr>
        <w:rStyle w:val="slostrnky"/>
        <w:rFonts w:ascii="Calibri" w:hAnsi="Calibri"/>
        <w:noProof/>
        <w:sz w:val="16"/>
        <w:lang w:val="en-GB"/>
      </w:rPr>
      <w:t>2</w:t>
    </w:r>
    <w:r w:rsidRPr="002915D3">
      <w:rPr>
        <w:rStyle w:val="slostrnky"/>
        <w:rFonts w:ascii="Calibri" w:hAnsi="Calibri"/>
        <w:sz w:val="16"/>
        <w:lang w:val="en-GB"/>
      </w:rPr>
      <w:fldChar w:fldCharType="end"/>
    </w:r>
    <w:r w:rsidRPr="002915D3">
      <w:rPr>
        <w:rFonts w:ascii="Calibri" w:hAnsi="Calibri"/>
        <w:sz w:val="16"/>
        <w:lang w:val="en-GB"/>
      </w:rPr>
      <w:t xml:space="preserve"> </w:t>
    </w:r>
    <w:r>
      <w:rPr>
        <w:rFonts w:ascii="Calibri" w:hAnsi="Calibri"/>
        <w:sz w:val="16"/>
        <w:lang w:val="en-GB"/>
      </w:rPr>
      <w:t>z</w:t>
    </w:r>
    <w:r w:rsidRPr="002915D3">
      <w:rPr>
        <w:rFonts w:ascii="Calibri" w:hAnsi="Calibri"/>
        <w:sz w:val="16"/>
        <w:lang w:val="en-GB"/>
      </w:rPr>
      <w:t> </w:t>
    </w:r>
    <w:r w:rsidRPr="002915D3">
      <w:rPr>
        <w:rStyle w:val="slostrnky"/>
        <w:rFonts w:ascii="Calibri" w:hAnsi="Calibri"/>
        <w:sz w:val="16"/>
        <w:lang w:val="en-GB"/>
      </w:rPr>
      <w:fldChar w:fldCharType="begin"/>
    </w:r>
    <w:r w:rsidRPr="002915D3">
      <w:rPr>
        <w:rStyle w:val="slostrnky"/>
        <w:rFonts w:ascii="Calibri" w:hAnsi="Calibri"/>
        <w:sz w:val="16"/>
        <w:lang w:val="en-GB"/>
      </w:rPr>
      <w:instrText xml:space="preserve"> NUMPAGES </w:instrText>
    </w:r>
    <w:r w:rsidRPr="002915D3">
      <w:rPr>
        <w:rStyle w:val="slostrnky"/>
        <w:rFonts w:ascii="Calibri" w:hAnsi="Calibri"/>
        <w:sz w:val="16"/>
        <w:lang w:val="en-GB"/>
      </w:rPr>
      <w:fldChar w:fldCharType="separate"/>
    </w:r>
    <w:r w:rsidR="004C0F7E">
      <w:rPr>
        <w:rStyle w:val="slostrnky"/>
        <w:rFonts w:ascii="Calibri" w:hAnsi="Calibri"/>
        <w:noProof/>
        <w:sz w:val="16"/>
        <w:lang w:val="en-GB"/>
      </w:rPr>
      <w:t>15</w:t>
    </w:r>
    <w:r w:rsidRPr="002915D3">
      <w:rPr>
        <w:rStyle w:val="slostrnky"/>
        <w:rFonts w:ascii="Calibri" w:hAnsi="Calibri"/>
        <w:sz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19" w:rsidRPr="00EC5C5F" w:rsidRDefault="00CF6D19" w:rsidP="009B0477">
    <w:pPr>
      <w:pStyle w:val="Zpat"/>
      <w:pBdr>
        <w:top w:val="single" w:sz="4" w:space="5" w:color="548DD4"/>
      </w:pBdr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Institute</w:t>
    </w:r>
    <w:r w:rsidRPr="009B0477">
      <w:rPr>
        <w:rFonts w:ascii="Calibri" w:hAnsi="Calibri"/>
        <w:b/>
        <w:sz w:val="18"/>
        <w:szCs w:val="18"/>
      </w:rPr>
      <w:t>of Atmospheric Physics CAS</w:t>
    </w:r>
    <w:r w:rsidRPr="00EC5C5F">
      <w:rPr>
        <w:rFonts w:ascii="Calibri" w:hAnsi="Calibri"/>
        <w:b/>
        <w:sz w:val="18"/>
        <w:szCs w:val="18"/>
      </w:rPr>
      <w:sym w:font="Symbol" w:char="F0B7"/>
    </w:r>
    <w:r>
      <w:rPr>
        <w:rFonts w:ascii="Calibri" w:hAnsi="Calibri"/>
        <w:b/>
        <w:sz w:val="18"/>
        <w:szCs w:val="18"/>
      </w:rPr>
      <w:t>CI No.</w:t>
    </w:r>
    <w:r w:rsidRPr="00EC5C5F">
      <w:rPr>
        <w:rFonts w:ascii="Calibri" w:hAnsi="Calibri"/>
        <w:b/>
        <w:sz w:val="18"/>
        <w:szCs w:val="18"/>
      </w:rPr>
      <w:t xml:space="preserve">: 68378289 </w:t>
    </w:r>
    <w:r w:rsidRPr="00EC5C5F">
      <w:rPr>
        <w:rFonts w:ascii="Calibri" w:hAnsi="Calibri"/>
        <w:b/>
        <w:sz w:val="18"/>
        <w:szCs w:val="18"/>
      </w:rPr>
      <w:sym w:font="Symbol" w:char="F0B7"/>
    </w:r>
    <w:r>
      <w:rPr>
        <w:rFonts w:ascii="Calibri" w:hAnsi="Calibri"/>
        <w:b/>
        <w:sz w:val="18"/>
        <w:szCs w:val="18"/>
      </w:rPr>
      <w:t>VAT</w:t>
    </w:r>
    <w:r w:rsidRPr="00EC5C5F">
      <w:rPr>
        <w:rFonts w:ascii="Calibri" w:hAnsi="Calibri"/>
        <w:b/>
        <w:sz w:val="18"/>
        <w:szCs w:val="18"/>
      </w:rPr>
      <w:t xml:space="preserve"> CZ68378289 </w:t>
    </w:r>
    <w:r w:rsidRPr="00EC5C5F">
      <w:rPr>
        <w:rFonts w:ascii="Calibri" w:hAnsi="Calibri"/>
        <w:b/>
        <w:sz w:val="18"/>
        <w:szCs w:val="18"/>
      </w:rPr>
      <w:sym w:font="Symbol" w:char="F0B7"/>
    </w:r>
    <w:hyperlink r:id="rId1" w:history="1">
      <w:r w:rsidRPr="00EC5C5F">
        <w:rPr>
          <w:rFonts w:ascii="Calibri" w:hAnsi="Calibri"/>
          <w:b/>
          <w:sz w:val="18"/>
          <w:szCs w:val="18"/>
        </w:rPr>
        <w:t>www.ufa.cas.cz</w:t>
      </w:r>
    </w:hyperlink>
    <w:r>
      <w:rPr>
        <w:rFonts w:ascii="Calibri" w:hAnsi="Calibri"/>
        <w:b/>
        <w:sz w:val="18"/>
        <w:szCs w:val="18"/>
      </w:rPr>
      <w:tab/>
    </w:r>
    <w:r w:rsidRPr="00172627">
      <w:rPr>
        <w:rFonts w:ascii="Calibri" w:hAnsi="Calibri"/>
        <w:sz w:val="16"/>
      </w:rPr>
      <w:t>Strana</w:t>
    </w:r>
    <w:r w:rsidRPr="00172627">
      <w:rPr>
        <w:rStyle w:val="slostrnky"/>
        <w:rFonts w:ascii="Calibri" w:hAnsi="Calibri"/>
        <w:sz w:val="16"/>
      </w:rPr>
      <w:fldChar w:fldCharType="begin"/>
    </w:r>
    <w:r w:rsidRPr="00172627">
      <w:rPr>
        <w:rStyle w:val="slostrnky"/>
        <w:rFonts w:ascii="Calibri" w:hAnsi="Calibri"/>
        <w:sz w:val="16"/>
      </w:rPr>
      <w:instrText xml:space="preserve"> PAGE </w:instrText>
    </w:r>
    <w:r w:rsidRPr="00172627">
      <w:rPr>
        <w:rStyle w:val="slostrnky"/>
        <w:rFonts w:ascii="Calibri" w:hAnsi="Calibri"/>
        <w:sz w:val="16"/>
      </w:rPr>
      <w:fldChar w:fldCharType="separate"/>
    </w:r>
    <w:r w:rsidRPr="00172627">
      <w:rPr>
        <w:rStyle w:val="slostrnky"/>
        <w:rFonts w:ascii="Calibri" w:hAnsi="Calibri"/>
        <w:sz w:val="16"/>
      </w:rPr>
      <w:t>1</w:t>
    </w:r>
    <w:r w:rsidRPr="00172627">
      <w:rPr>
        <w:rStyle w:val="slostrnky"/>
        <w:rFonts w:ascii="Calibri" w:hAnsi="Calibri"/>
        <w:sz w:val="16"/>
      </w:rPr>
      <w:fldChar w:fldCharType="end"/>
    </w:r>
    <w:r w:rsidRPr="00172627">
      <w:rPr>
        <w:rFonts w:ascii="Calibri" w:hAnsi="Calibri"/>
        <w:sz w:val="16"/>
      </w:rPr>
      <w:t xml:space="preserve"> z </w:t>
    </w:r>
    <w:r w:rsidRPr="00172627">
      <w:rPr>
        <w:rStyle w:val="slostrnky"/>
        <w:rFonts w:ascii="Calibri" w:hAnsi="Calibri"/>
        <w:sz w:val="16"/>
      </w:rPr>
      <w:fldChar w:fldCharType="begin"/>
    </w:r>
    <w:r w:rsidRPr="00172627">
      <w:rPr>
        <w:rStyle w:val="slostrnky"/>
        <w:rFonts w:ascii="Calibri" w:hAnsi="Calibri"/>
        <w:sz w:val="16"/>
      </w:rPr>
      <w:instrText xml:space="preserve"> NUMPAGES </w:instrText>
    </w:r>
    <w:r w:rsidRPr="00172627">
      <w:rPr>
        <w:rStyle w:val="slostrnky"/>
        <w:rFonts w:ascii="Calibri" w:hAnsi="Calibri"/>
        <w:sz w:val="16"/>
      </w:rPr>
      <w:fldChar w:fldCharType="separate"/>
    </w:r>
    <w:r w:rsidR="00674E6A">
      <w:rPr>
        <w:rStyle w:val="slostrnky"/>
        <w:rFonts w:ascii="Calibri" w:hAnsi="Calibri"/>
        <w:noProof/>
        <w:sz w:val="16"/>
      </w:rPr>
      <w:t>15</w:t>
    </w:r>
    <w:r w:rsidRPr="00172627">
      <w:rPr>
        <w:rStyle w:val="slostrnky"/>
        <w:rFonts w:ascii="Calibri" w:hAnsi="Calibri"/>
        <w:sz w:val="16"/>
      </w:rPr>
      <w:fldChar w:fldCharType="end"/>
    </w:r>
  </w:p>
  <w:p w:rsidR="00CF6D19" w:rsidRPr="009B0477" w:rsidRDefault="00CF6D19" w:rsidP="009B0477">
    <w:pPr>
      <w:pStyle w:val="Zpat"/>
      <w:pBdr>
        <w:top w:val="single" w:sz="4" w:space="5" w:color="548DD4"/>
      </w:pBdr>
      <w:rPr>
        <w:rFonts w:ascii="Calibri" w:hAnsi="Calibri"/>
        <w:sz w:val="18"/>
        <w:szCs w:val="18"/>
      </w:rPr>
    </w:pPr>
    <w:r w:rsidRPr="00EC5C5F">
      <w:rPr>
        <w:rFonts w:ascii="Calibri" w:hAnsi="Calibri"/>
        <w:sz w:val="18"/>
        <w:szCs w:val="18"/>
      </w:rPr>
      <w:t>Boční II 1401, 141 31</w:t>
    </w:r>
    <w:r>
      <w:rPr>
        <w:rFonts w:ascii="Calibri" w:hAnsi="Calibri"/>
        <w:sz w:val="18"/>
        <w:szCs w:val="18"/>
      </w:rPr>
      <w:t xml:space="preserve"> </w:t>
    </w:r>
    <w:r w:rsidRPr="00EC5C5F">
      <w:rPr>
        <w:rFonts w:ascii="Calibri" w:hAnsi="Calibri"/>
        <w:sz w:val="18"/>
        <w:szCs w:val="18"/>
      </w:rPr>
      <w:t xml:space="preserve">Praha 4 </w:t>
    </w:r>
    <w:r w:rsidRPr="00EC5C5F">
      <w:rPr>
        <w:rFonts w:ascii="Calibri" w:hAnsi="Calibri"/>
        <w:sz w:val="18"/>
        <w:szCs w:val="18"/>
      </w:rPr>
      <w:sym w:font="Symbol" w:char="F0B7"/>
    </w:r>
    <w:hyperlink r:id="rId2" w:history="1">
      <w:r w:rsidRPr="00EC5C5F">
        <w:rPr>
          <w:rStyle w:val="Hypertextovodkaz"/>
          <w:rFonts w:ascii="Calibri" w:hAnsi="Calibri"/>
          <w:sz w:val="18"/>
          <w:szCs w:val="18"/>
        </w:rPr>
        <w:t>ufa@ufa.cas.cz</w:t>
      </w:r>
    </w:hyperlink>
    <w:r w:rsidRPr="00EC5C5F">
      <w:rPr>
        <w:rFonts w:ascii="Calibri" w:hAnsi="Calibri"/>
        <w:sz w:val="18"/>
        <w:szCs w:val="18"/>
      </w:rPr>
      <w:sym w:font="Symbol" w:char="F0B7"/>
    </w:r>
    <w:r w:rsidRPr="00EC5C5F">
      <w:rPr>
        <w:rFonts w:ascii="Calibri" w:hAnsi="Calibri"/>
        <w:sz w:val="18"/>
        <w:szCs w:val="18"/>
      </w:rPr>
      <w:t xml:space="preserve"> tel. +420 272 764 336 </w:t>
    </w:r>
    <w:r w:rsidRPr="00EC5C5F">
      <w:rPr>
        <w:rFonts w:ascii="Calibri" w:hAnsi="Calibri"/>
        <w:sz w:val="18"/>
        <w:szCs w:val="18"/>
      </w:rPr>
      <w:sym w:font="Symbol" w:char="F0B7"/>
    </w:r>
    <w:r w:rsidRPr="00EC5C5F">
      <w:rPr>
        <w:rFonts w:ascii="Calibri" w:hAnsi="Calibri"/>
        <w:sz w:val="18"/>
        <w:szCs w:val="18"/>
      </w:rPr>
      <w:t xml:space="preserve"> fax: +420 272 763</w:t>
    </w:r>
    <w:r>
      <w:rPr>
        <w:rFonts w:ascii="Calibri" w:hAnsi="Calibri"/>
        <w:sz w:val="18"/>
        <w:szCs w:val="18"/>
      </w:rPr>
      <w:t> </w:t>
    </w:r>
    <w:r w:rsidRPr="00EC5C5F">
      <w:rPr>
        <w:rFonts w:ascii="Calibri" w:hAnsi="Calibri"/>
        <w:sz w:val="18"/>
        <w:szCs w:val="18"/>
      </w:rPr>
      <w:t>745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09" w:rsidRDefault="005E2809" w:rsidP="00EC5C5F">
      <w:r>
        <w:separator/>
      </w:r>
    </w:p>
  </w:footnote>
  <w:footnote w:type="continuationSeparator" w:id="0">
    <w:p w:rsidR="005E2809" w:rsidRDefault="005E2809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8"/>
      <w:gridCol w:w="5642"/>
    </w:tblGrid>
    <w:tr w:rsidR="00CF6D19" w:rsidTr="00A93E87">
      <w:tc>
        <w:tcPr>
          <w:tcW w:w="1890" w:type="pct"/>
        </w:tcPr>
        <w:p w:rsidR="00CF6D19" w:rsidRPr="00474388" w:rsidRDefault="00CF6D19" w:rsidP="00265DAA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1424"/>
            <w:rPr>
              <w:rFonts w:eastAsia="SimSun" w:cs="Arial"/>
              <w:b/>
              <w:caps/>
              <w:noProof/>
              <w:spacing w:val="8"/>
              <w:kern w:val="20"/>
            </w:rPr>
          </w:pPr>
        </w:p>
      </w:tc>
      <w:tc>
        <w:tcPr>
          <w:tcW w:w="3110" w:type="pct"/>
          <w:vAlign w:val="center"/>
        </w:tcPr>
        <w:p w:rsidR="00CF6D19" w:rsidRDefault="00CF6D19" w:rsidP="00265DAA">
          <w:pPr>
            <w:pStyle w:val="Zhlav"/>
            <w:ind w:left="2342" w:right="-76"/>
            <w:jc w:val="right"/>
          </w:pPr>
        </w:p>
      </w:tc>
    </w:tr>
  </w:tbl>
  <w:p w:rsidR="00CF6D19" w:rsidRPr="00B009E5" w:rsidRDefault="00CF6D19" w:rsidP="00872F06">
    <w:pPr>
      <w:tabs>
        <w:tab w:val="center" w:pos="4536"/>
        <w:tab w:val="right" w:pos="9072"/>
      </w:tabs>
      <w:suppressAutoHyphens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19" w:rsidRPr="00FB763A" w:rsidRDefault="004C0F7E" w:rsidP="00FB763A">
    <w:pPr>
      <w:tabs>
        <w:tab w:val="right" w:pos="9072"/>
      </w:tabs>
      <w:suppressAutoHyphens w:val="0"/>
      <w:spacing w:before="900"/>
      <w:ind w:left="3260" w:hanging="3260"/>
      <w:jc w:val="right"/>
      <w:rPr>
        <w:szCs w:val="22"/>
        <w:lang w:eastAsia="en-US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105025" cy="65468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D19" w:rsidRPr="00FB763A">
      <w:rPr>
        <w:szCs w:val="22"/>
        <w:lang w:eastAsia="en-US"/>
      </w:rPr>
      <w:tab/>
    </w:r>
    <w:r w:rsidR="005E2809">
      <w:rPr>
        <w:szCs w:val="22"/>
        <w:lang w:eastAsia="en-US"/>
      </w:rPr>
      <w:pict>
        <v:rect id="_x0000_i1030" style="width:290.6pt;height:.5pt" o:hralign="right" o:hrstd="t" o:hrnoshade="t" o:hr="t" fillcolor="black" stroked="f"/>
      </w:pict>
    </w:r>
  </w:p>
  <w:p w:rsidR="00CF6D19" w:rsidRDefault="00CF6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9646"/>
    </w:tblGrid>
    <w:tr w:rsidR="00CF6D19" w:rsidTr="00A93E87">
      <w:tc>
        <w:tcPr>
          <w:tcW w:w="1674" w:type="pct"/>
        </w:tcPr>
        <w:p w:rsidR="00CF6D19" w:rsidRPr="00474388" w:rsidRDefault="00CF6D19" w:rsidP="00265DAA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1424"/>
            <w:rPr>
              <w:rFonts w:eastAsia="SimSun" w:cs="Arial"/>
              <w:b/>
              <w:caps/>
              <w:noProof/>
              <w:spacing w:val="8"/>
              <w:kern w:val="20"/>
            </w:rPr>
          </w:pPr>
        </w:p>
      </w:tc>
      <w:tc>
        <w:tcPr>
          <w:tcW w:w="3326" w:type="pct"/>
          <w:vAlign w:val="center"/>
        </w:tcPr>
        <w:p w:rsidR="00CF6D19" w:rsidRDefault="00CF6D19" w:rsidP="00265DAA">
          <w:pPr>
            <w:pStyle w:val="Zhlav"/>
            <w:ind w:left="2342" w:right="-76"/>
            <w:jc w:val="right"/>
          </w:pPr>
        </w:p>
      </w:tc>
    </w:tr>
  </w:tbl>
  <w:p w:rsidR="00CF6D19" w:rsidRPr="00B009E5" w:rsidRDefault="00CF6D19" w:rsidP="00872F06">
    <w:pPr>
      <w:tabs>
        <w:tab w:val="center" w:pos="4536"/>
        <w:tab w:val="right" w:pos="9072"/>
      </w:tabs>
      <w:suppressAutoHyphens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5"/>
      <w:gridCol w:w="4641"/>
    </w:tblGrid>
    <w:tr w:rsidR="00CF6D19" w:rsidTr="006F18AD">
      <w:tc>
        <w:tcPr>
          <w:tcW w:w="2501" w:type="pct"/>
        </w:tcPr>
        <w:p w:rsidR="00CF6D19" w:rsidRPr="00474388" w:rsidRDefault="00CF6D19" w:rsidP="006F18AD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953"/>
            <w:rPr>
              <w:rFonts w:eastAsia="SimSun" w:cs="Arial"/>
              <w:b/>
              <w:caps/>
              <w:noProof/>
              <w:spacing w:val="8"/>
              <w:kern w:val="20"/>
            </w:rPr>
          </w:pPr>
        </w:p>
      </w:tc>
      <w:tc>
        <w:tcPr>
          <w:tcW w:w="2499" w:type="pct"/>
          <w:vAlign w:val="center"/>
        </w:tcPr>
        <w:p w:rsidR="00CF6D19" w:rsidRDefault="00CF6D19" w:rsidP="006F18AD">
          <w:pPr>
            <w:pStyle w:val="Zhlav"/>
            <w:ind w:left="176" w:right="-76"/>
            <w:jc w:val="right"/>
          </w:pPr>
        </w:p>
      </w:tc>
    </w:tr>
  </w:tbl>
  <w:p w:rsidR="00CF6D19" w:rsidRPr="00B009E5" w:rsidRDefault="00CF6D19" w:rsidP="00872F06">
    <w:pPr>
      <w:tabs>
        <w:tab w:val="center" w:pos="4536"/>
        <w:tab w:val="right" w:pos="9072"/>
      </w:tabs>
      <w:suppressAutoHyphens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630FCB"/>
    <w:multiLevelType w:val="hybridMultilevel"/>
    <w:tmpl w:val="0010DEA4"/>
    <w:lvl w:ilvl="0" w:tplc="D180A1D8">
      <w:start w:val="1"/>
      <w:numFmt w:val="decimal"/>
      <w:lvlText w:val="2.%1."/>
      <w:lvlJc w:val="left"/>
      <w:pPr>
        <w:ind w:left="425" w:hanging="4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6C67"/>
    <w:multiLevelType w:val="hybridMultilevel"/>
    <w:tmpl w:val="D2B6150E"/>
    <w:lvl w:ilvl="0" w:tplc="E7F8A0E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522331"/>
    <w:multiLevelType w:val="hybridMultilevel"/>
    <w:tmpl w:val="256ACEE6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067609"/>
    <w:multiLevelType w:val="multilevel"/>
    <w:tmpl w:val="7A18754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17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E2D6CD8"/>
    <w:multiLevelType w:val="hybridMultilevel"/>
    <w:tmpl w:val="3746C9FC"/>
    <w:lvl w:ilvl="0" w:tplc="2A1012B6">
      <w:start w:val="1"/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2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0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61177F0"/>
    <w:multiLevelType w:val="hybridMultilevel"/>
    <w:tmpl w:val="1E9800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7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"/>
  </w:num>
  <w:num w:numId="5">
    <w:abstractNumId w:val="30"/>
  </w:num>
  <w:num w:numId="6">
    <w:abstractNumId w:val="30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2"/>
  </w:num>
  <w:num w:numId="10">
    <w:abstractNumId w:val="26"/>
    <w:lvlOverride w:ilvl="0">
      <w:startOverride w:val="1"/>
    </w:lvlOverride>
  </w:num>
  <w:num w:numId="11">
    <w:abstractNumId w:val="35"/>
  </w:num>
  <w:num w:numId="12">
    <w:abstractNumId w:val="31"/>
  </w:num>
  <w:num w:numId="13">
    <w:abstractNumId w:val="36"/>
  </w:num>
  <w:num w:numId="14">
    <w:abstractNumId w:val="26"/>
  </w:num>
  <w:num w:numId="15">
    <w:abstractNumId w:val="26"/>
    <w:lvlOverride w:ilvl="0">
      <w:startOverride w:val="1"/>
    </w:lvlOverride>
  </w:num>
  <w:num w:numId="16">
    <w:abstractNumId w:val="23"/>
  </w:num>
  <w:num w:numId="17">
    <w:abstractNumId w:val="25"/>
  </w:num>
  <w:num w:numId="18">
    <w:abstractNumId w:val="22"/>
  </w:num>
  <w:num w:numId="19">
    <w:abstractNumId w:val="15"/>
  </w:num>
  <w:num w:numId="20">
    <w:abstractNumId w:val="7"/>
  </w:num>
  <w:num w:numId="21">
    <w:abstractNumId w:val="8"/>
  </w:num>
  <w:num w:numId="22">
    <w:abstractNumId w:val="0"/>
  </w:num>
  <w:num w:numId="23">
    <w:abstractNumId w:val="37"/>
  </w:num>
  <w:num w:numId="24">
    <w:abstractNumId w:val="33"/>
  </w:num>
  <w:num w:numId="25">
    <w:abstractNumId w:val="34"/>
  </w:num>
  <w:num w:numId="26">
    <w:abstractNumId w:val="10"/>
  </w:num>
  <w:num w:numId="27">
    <w:abstractNumId w:val="9"/>
  </w:num>
  <w:num w:numId="28">
    <w:abstractNumId w:val="17"/>
  </w:num>
  <w:num w:numId="29">
    <w:abstractNumId w:val="4"/>
  </w:num>
  <w:num w:numId="30">
    <w:abstractNumId w:val="24"/>
  </w:num>
  <w:num w:numId="31">
    <w:abstractNumId w:val="14"/>
  </w:num>
  <w:num w:numId="32">
    <w:abstractNumId w:val="30"/>
  </w:num>
  <w:num w:numId="33">
    <w:abstractNumId w:val="30"/>
  </w:num>
  <w:num w:numId="34">
    <w:abstractNumId w:val="30"/>
  </w:num>
  <w:num w:numId="35">
    <w:abstractNumId w:val="30"/>
  </w:num>
  <w:num w:numId="36">
    <w:abstractNumId w:val="18"/>
  </w:num>
  <w:num w:numId="37">
    <w:abstractNumId w:val="5"/>
  </w:num>
  <w:num w:numId="38">
    <w:abstractNumId w:val="2"/>
  </w:num>
  <w:num w:numId="39">
    <w:abstractNumId w:val="11"/>
  </w:num>
  <w:num w:numId="40">
    <w:abstractNumId w:val="26"/>
  </w:num>
  <w:num w:numId="41">
    <w:abstractNumId w:val="27"/>
  </w:num>
  <w:num w:numId="42">
    <w:abstractNumId w:val="13"/>
  </w:num>
  <w:num w:numId="43">
    <w:abstractNumId w:val="20"/>
  </w:num>
  <w:num w:numId="44">
    <w:abstractNumId w:val="26"/>
  </w:num>
  <w:num w:numId="45">
    <w:abstractNumId w:val="32"/>
  </w:num>
  <w:num w:numId="46">
    <w:abstractNumId w:val="21"/>
  </w:num>
  <w:num w:numId="47">
    <w:abstractNumId w:val="9"/>
  </w:num>
  <w:num w:numId="48">
    <w:abstractNumId w:val="9"/>
  </w:num>
  <w:num w:numId="4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53E0"/>
    <w:rsid w:val="00076700"/>
    <w:rsid w:val="00077E79"/>
    <w:rsid w:val="00085881"/>
    <w:rsid w:val="0008707D"/>
    <w:rsid w:val="000912E6"/>
    <w:rsid w:val="00092291"/>
    <w:rsid w:val="00095CCF"/>
    <w:rsid w:val="0009747C"/>
    <w:rsid w:val="000A0DAA"/>
    <w:rsid w:val="000A1CA7"/>
    <w:rsid w:val="000B00A0"/>
    <w:rsid w:val="000B3BA8"/>
    <w:rsid w:val="000B5647"/>
    <w:rsid w:val="000B79E2"/>
    <w:rsid w:val="000C7BB1"/>
    <w:rsid w:val="000D1594"/>
    <w:rsid w:val="000D318E"/>
    <w:rsid w:val="000D4E3F"/>
    <w:rsid w:val="000D69F5"/>
    <w:rsid w:val="000E1AF7"/>
    <w:rsid w:val="000E2E15"/>
    <w:rsid w:val="000E779F"/>
    <w:rsid w:val="000F10ED"/>
    <w:rsid w:val="000F3714"/>
    <w:rsid w:val="000F5456"/>
    <w:rsid w:val="000F6CA5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5137A"/>
    <w:rsid w:val="001533CE"/>
    <w:rsid w:val="00155620"/>
    <w:rsid w:val="00156B6A"/>
    <w:rsid w:val="00161E46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B34B2"/>
    <w:rsid w:val="001B5898"/>
    <w:rsid w:val="001B6C7A"/>
    <w:rsid w:val="001D7FB8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6036D"/>
    <w:rsid w:val="0026069B"/>
    <w:rsid w:val="00262CFA"/>
    <w:rsid w:val="00265133"/>
    <w:rsid w:val="00265DAA"/>
    <w:rsid w:val="00284DA5"/>
    <w:rsid w:val="00290555"/>
    <w:rsid w:val="00290C14"/>
    <w:rsid w:val="002915D3"/>
    <w:rsid w:val="002B08A3"/>
    <w:rsid w:val="002B1D5F"/>
    <w:rsid w:val="002B2070"/>
    <w:rsid w:val="002B37D2"/>
    <w:rsid w:val="002C3738"/>
    <w:rsid w:val="002C5647"/>
    <w:rsid w:val="002C650B"/>
    <w:rsid w:val="002C7814"/>
    <w:rsid w:val="002C7EBB"/>
    <w:rsid w:val="002D2DDF"/>
    <w:rsid w:val="002D370C"/>
    <w:rsid w:val="002D58FD"/>
    <w:rsid w:val="002D6455"/>
    <w:rsid w:val="002E15B6"/>
    <w:rsid w:val="002E183D"/>
    <w:rsid w:val="002F47EA"/>
    <w:rsid w:val="002F4B62"/>
    <w:rsid w:val="002F4DFA"/>
    <w:rsid w:val="00302137"/>
    <w:rsid w:val="0030298F"/>
    <w:rsid w:val="00304E96"/>
    <w:rsid w:val="003065C0"/>
    <w:rsid w:val="00307126"/>
    <w:rsid w:val="00313732"/>
    <w:rsid w:val="00322215"/>
    <w:rsid w:val="00323612"/>
    <w:rsid w:val="00324C23"/>
    <w:rsid w:val="0033126A"/>
    <w:rsid w:val="00335AA2"/>
    <w:rsid w:val="003367D0"/>
    <w:rsid w:val="003377A9"/>
    <w:rsid w:val="0034196F"/>
    <w:rsid w:val="00361F67"/>
    <w:rsid w:val="0036299E"/>
    <w:rsid w:val="00363B16"/>
    <w:rsid w:val="003662BA"/>
    <w:rsid w:val="0037015A"/>
    <w:rsid w:val="003710ED"/>
    <w:rsid w:val="00371A63"/>
    <w:rsid w:val="003745D2"/>
    <w:rsid w:val="00384BDE"/>
    <w:rsid w:val="00392CA5"/>
    <w:rsid w:val="003A146B"/>
    <w:rsid w:val="003A7F4F"/>
    <w:rsid w:val="003B51C6"/>
    <w:rsid w:val="003B7F61"/>
    <w:rsid w:val="003C06F6"/>
    <w:rsid w:val="003C30F6"/>
    <w:rsid w:val="003C3CA7"/>
    <w:rsid w:val="003D0B6B"/>
    <w:rsid w:val="003D22C7"/>
    <w:rsid w:val="003D4791"/>
    <w:rsid w:val="003E0A2D"/>
    <w:rsid w:val="003E10FC"/>
    <w:rsid w:val="003E6561"/>
    <w:rsid w:val="003F1C1C"/>
    <w:rsid w:val="00400B1A"/>
    <w:rsid w:val="00401749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2175"/>
    <w:rsid w:val="0044338A"/>
    <w:rsid w:val="004505DB"/>
    <w:rsid w:val="004508F6"/>
    <w:rsid w:val="00454B79"/>
    <w:rsid w:val="00456B80"/>
    <w:rsid w:val="00461DA6"/>
    <w:rsid w:val="004704E3"/>
    <w:rsid w:val="0047128F"/>
    <w:rsid w:val="00471F20"/>
    <w:rsid w:val="00474388"/>
    <w:rsid w:val="004767C8"/>
    <w:rsid w:val="0049180B"/>
    <w:rsid w:val="0049199B"/>
    <w:rsid w:val="00492CD6"/>
    <w:rsid w:val="00493976"/>
    <w:rsid w:val="00493A97"/>
    <w:rsid w:val="00493F03"/>
    <w:rsid w:val="004966CC"/>
    <w:rsid w:val="004A2046"/>
    <w:rsid w:val="004A64DE"/>
    <w:rsid w:val="004B0530"/>
    <w:rsid w:val="004C0F7E"/>
    <w:rsid w:val="004C532C"/>
    <w:rsid w:val="004C7118"/>
    <w:rsid w:val="004D3818"/>
    <w:rsid w:val="004D5D00"/>
    <w:rsid w:val="004D6AE9"/>
    <w:rsid w:val="004E2345"/>
    <w:rsid w:val="004E3492"/>
    <w:rsid w:val="004E72EF"/>
    <w:rsid w:val="004E7841"/>
    <w:rsid w:val="004F2E33"/>
    <w:rsid w:val="004F7B66"/>
    <w:rsid w:val="00500512"/>
    <w:rsid w:val="005042CD"/>
    <w:rsid w:val="00504BA2"/>
    <w:rsid w:val="00506FA7"/>
    <w:rsid w:val="00513E21"/>
    <w:rsid w:val="00516609"/>
    <w:rsid w:val="00522605"/>
    <w:rsid w:val="0052765D"/>
    <w:rsid w:val="00531FA3"/>
    <w:rsid w:val="00532B77"/>
    <w:rsid w:val="00534C3C"/>
    <w:rsid w:val="005408D7"/>
    <w:rsid w:val="00541A22"/>
    <w:rsid w:val="0054516F"/>
    <w:rsid w:val="00546D2F"/>
    <w:rsid w:val="00555196"/>
    <w:rsid w:val="00587133"/>
    <w:rsid w:val="00587EF4"/>
    <w:rsid w:val="005A0203"/>
    <w:rsid w:val="005A0BCD"/>
    <w:rsid w:val="005A3886"/>
    <w:rsid w:val="005A7B30"/>
    <w:rsid w:val="005B1D1E"/>
    <w:rsid w:val="005B2A2F"/>
    <w:rsid w:val="005B697F"/>
    <w:rsid w:val="005C019D"/>
    <w:rsid w:val="005C1F61"/>
    <w:rsid w:val="005C3271"/>
    <w:rsid w:val="005C38F7"/>
    <w:rsid w:val="005C5B45"/>
    <w:rsid w:val="005E2809"/>
    <w:rsid w:val="005E3F58"/>
    <w:rsid w:val="005F15AB"/>
    <w:rsid w:val="005F654D"/>
    <w:rsid w:val="006118A3"/>
    <w:rsid w:val="00612E93"/>
    <w:rsid w:val="00613494"/>
    <w:rsid w:val="006154A2"/>
    <w:rsid w:val="00617B1E"/>
    <w:rsid w:val="00634719"/>
    <w:rsid w:val="00643C4B"/>
    <w:rsid w:val="006461D0"/>
    <w:rsid w:val="0065091D"/>
    <w:rsid w:val="006528D0"/>
    <w:rsid w:val="006534B8"/>
    <w:rsid w:val="00657452"/>
    <w:rsid w:val="006625D4"/>
    <w:rsid w:val="006733F9"/>
    <w:rsid w:val="0067449A"/>
    <w:rsid w:val="00674E6A"/>
    <w:rsid w:val="00681C49"/>
    <w:rsid w:val="006876A7"/>
    <w:rsid w:val="00690CF4"/>
    <w:rsid w:val="00693E16"/>
    <w:rsid w:val="00694541"/>
    <w:rsid w:val="00697748"/>
    <w:rsid w:val="006A487B"/>
    <w:rsid w:val="006A7A50"/>
    <w:rsid w:val="006B19E9"/>
    <w:rsid w:val="006B38CB"/>
    <w:rsid w:val="006C571E"/>
    <w:rsid w:val="006C715A"/>
    <w:rsid w:val="006D06EF"/>
    <w:rsid w:val="006D2C7D"/>
    <w:rsid w:val="006D3397"/>
    <w:rsid w:val="006D53B3"/>
    <w:rsid w:val="006D7713"/>
    <w:rsid w:val="006D7D82"/>
    <w:rsid w:val="006F1092"/>
    <w:rsid w:val="006F18AD"/>
    <w:rsid w:val="006F612E"/>
    <w:rsid w:val="006F621C"/>
    <w:rsid w:val="007014CC"/>
    <w:rsid w:val="00726AB6"/>
    <w:rsid w:val="00732853"/>
    <w:rsid w:val="00733C06"/>
    <w:rsid w:val="00734DC0"/>
    <w:rsid w:val="00741B5F"/>
    <w:rsid w:val="00746379"/>
    <w:rsid w:val="007470F1"/>
    <w:rsid w:val="00747323"/>
    <w:rsid w:val="00752ABF"/>
    <w:rsid w:val="00752E0E"/>
    <w:rsid w:val="00753F4B"/>
    <w:rsid w:val="0076074E"/>
    <w:rsid w:val="00764306"/>
    <w:rsid w:val="00766828"/>
    <w:rsid w:val="007670C3"/>
    <w:rsid w:val="00771C38"/>
    <w:rsid w:val="00776F57"/>
    <w:rsid w:val="00776F95"/>
    <w:rsid w:val="00784A1A"/>
    <w:rsid w:val="00787D20"/>
    <w:rsid w:val="007915DC"/>
    <w:rsid w:val="00792D51"/>
    <w:rsid w:val="00793164"/>
    <w:rsid w:val="00795FAF"/>
    <w:rsid w:val="007960CE"/>
    <w:rsid w:val="0079610A"/>
    <w:rsid w:val="007A2D2F"/>
    <w:rsid w:val="007A32A1"/>
    <w:rsid w:val="007A3561"/>
    <w:rsid w:val="007A589D"/>
    <w:rsid w:val="007B5494"/>
    <w:rsid w:val="007B6FBD"/>
    <w:rsid w:val="007B75EE"/>
    <w:rsid w:val="007C076B"/>
    <w:rsid w:val="007C1C3F"/>
    <w:rsid w:val="007C2DF1"/>
    <w:rsid w:val="007C39D9"/>
    <w:rsid w:val="007D1E66"/>
    <w:rsid w:val="007D33E0"/>
    <w:rsid w:val="007D4B6A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66C3"/>
    <w:rsid w:val="00825A70"/>
    <w:rsid w:val="00825C53"/>
    <w:rsid w:val="00830505"/>
    <w:rsid w:val="00835260"/>
    <w:rsid w:val="00851D88"/>
    <w:rsid w:val="00857F16"/>
    <w:rsid w:val="008646A2"/>
    <w:rsid w:val="00872F06"/>
    <w:rsid w:val="008761BA"/>
    <w:rsid w:val="00877DCC"/>
    <w:rsid w:val="008823D2"/>
    <w:rsid w:val="00884340"/>
    <w:rsid w:val="008850CD"/>
    <w:rsid w:val="00887EEF"/>
    <w:rsid w:val="0089333D"/>
    <w:rsid w:val="008946B7"/>
    <w:rsid w:val="00894DB7"/>
    <w:rsid w:val="008A4737"/>
    <w:rsid w:val="008B0039"/>
    <w:rsid w:val="008B1C97"/>
    <w:rsid w:val="008B3E26"/>
    <w:rsid w:val="008C0EC4"/>
    <w:rsid w:val="008C2BF2"/>
    <w:rsid w:val="008C708D"/>
    <w:rsid w:val="008C7A69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906"/>
    <w:rsid w:val="009074C0"/>
    <w:rsid w:val="0092477C"/>
    <w:rsid w:val="00927C5E"/>
    <w:rsid w:val="0094179C"/>
    <w:rsid w:val="00961A81"/>
    <w:rsid w:val="009629D5"/>
    <w:rsid w:val="0096303D"/>
    <w:rsid w:val="0096550C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0F49"/>
    <w:rsid w:val="009E2479"/>
    <w:rsid w:val="009F6517"/>
    <w:rsid w:val="00A00819"/>
    <w:rsid w:val="00A06AB5"/>
    <w:rsid w:val="00A10552"/>
    <w:rsid w:val="00A109D6"/>
    <w:rsid w:val="00A10B89"/>
    <w:rsid w:val="00A16EB1"/>
    <w:rsid w:val="00A20B59"/>
    <w:rsid w:val="00A25F5B"/>
    <w:rsid w:val="00A30E92"/>
    <w:rsid w:val="00A36303"/>
    <w:rsid w:val="00A40103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738E"/>
    <w:rsid w:val="00A93E87"/>
    <w:rsid w:val="00A94858"/>
    <w:rsid w:val="00A961A3"/>
    <w:rsid w:val="00AA401D"/>
    <w:rsid w:val="00AB7040"/>
    <w:rsid w:val="00AC2F2A"/>
    <w:rsid w:val="00AC64FC"/>
    <w:rsid w:val="00AC6BD4"/>
    <w:rsid w:val="00AD3370"/>
    <w:rsid w:val="00AE3D28"/>
    <w:rsid w:val="00AE5D47"/>
    <w:rsid w:val="00AF1608"/>
    <w:rsid w:val="00AF4B59"/>
    <w:rsid w:val="00AF684B"/>
    <w:rsid w:val="00B00629"/>
    <w:rsid w:val="00B009E5"/>
    <w:rsid w:val="00B0259A"/>
    <w:rsid w:val="00B0589F"/>
    <w:rsid w:val="00B131A9"/>
    <w:rsid w:val="00B22E15"/>
    <w:rsid w:val="00B30256"/>
    <w:rsid w:val="00B31B8B"/>
    <w:rsid w:val="00B34762"/>
    <w:rsid w:val="00B362B5"/>
    <w:rsid w:val="00B428B4"/>
    <w:rsid w:val="00B43F4A"/>
    <w:rsid w:val="00B45E4F"/>
    <w:rsid w:val="00B47C37"/>
    <w:rsid w:val="00B6188D"/>
    <w:rsid w:val="00B62B7A"/>
    <w:rsid w:val="00B6425D"/>
    <w:rsid w:val="00B653D0"/>
    <w:rsid w:val="00B70333"/>
    <w:rsid w:val="00B71252"/>
    <w:rsid w:val="00B757B1"/>
    <w:rsid w:val="00B77253"/>
    <w:rsid w:val="00B80591"/>
    <w:rsid w:val="00B80DA6"/>
    <w:rsid w:val="00B84068"/>
    <w:rsid w:val="00B8657E"/>
    <w:rsid w:val="00B97413"/>
    <w:rsid w:val="00BA64F8"/>
    <w:rsid w:val="00BB206C"/>
    <w:rsid w:val="00BB304A"/>
    <w:rsid w:val="00BC13A9"/>
    <w:rsid w:val="00BC4C16"/>
    <w:rsid w:val="00BC6CF5"/>
    <w:rsid w:val="00BD3C8A"/>
    <w:rsid w:val="00BD4E13"/>
    <w:rsid w:val="00BD629F"/>
    <w:rsid w:val="00BE0FC7"/>
    <w:rsid w:val="00BE1029"/>
    <w:rsid w:val="00BE3F37"/>
    <w:rsid w:val="00BE41C3"/>
    <w:rsid w:val="00BE60E8"/>
    <w:rsid w:val="00BE64EA"/>
    <w:rsid w:val="00BF1442"/>
    <w:rsid w:val="00BF46CC"/>
    <w:rsid w:val="00BF612F"/>
    <w:rsid w:val="00BF7D9C"/>
    <w:rsid w:val="00C00092"/>
    <w:rsid w:val="00C05CC3"/>
    <w:rsid w:val="00C06639"/>
    <w:rsid w:val="00C13E2C"/>
    <w:rsid w:val="00C16407"/>
    <w:rsid w:val="00C206C0"/>
    <w:rsid w:val="00C32E0F"/>
    <w:rsid w:val="00C420C7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3EDA"/>
    <w:rsid w:val="00CA4458"/>
    <w:rsid w:val="00CC1C3A"/>
    <w:rsid w:val="00CC2A4B"/>
    <w:rsid w:val="00CC44E2"/>
    <w:rsid w:val="00CD2600"/>
    <w:rsid w:val="00CE5BF9"/>
    <w:rsid w:val="00CF028D"/>
    <w:rsid w:val="00CF20FD"/>
    <w:rsid w:val="00CF5E73"/>
    <w:rsid w:val="00CF6D19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216BA"/>
    <w:rsid w:val="00D312C4"/>
    <w:rsid w:val="00D440A3"/>
    <w:rsid w:val="00D4567E"/>
    <w:rsid w:val="00D46BF5"/>
    <w:rsid w:val="00D46EAA"/>
    <w:rsid w:val="00D54CE1"/>
    <w:rsid w:val="00D62248"/>
    <w:rsid w:val="00D6651A"/>
    <w:rsid w:val="00D74D5F"/>
    <w:rsid w:val="00D76A87"/>
    <w:rsid w:val="00D84193"/>
    <w:rsid w:val="00D90797"/>
    <w:rsid w:val="00D91CC3"/>
    <w:rsid w:val="00D97182"/>
    <w:rsid w:val="00DA01E5"/>
    <w:rsid w:val="00DA7491"/>
    <w:rsid w:val="00DB25E2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029C1"/>
    <w:rsid w:val="00E11DAB"/>
    <w:rsid w:val="00E123FE"/>
    <w:rsid w:val="00E146BA"/>
    <w:rsid w:val="00E150FF"/>
    <w:rsid w:val="00E15907"/>
    <w:rsid w:val="00E15A8F"/>
    <w:rsid w:val="00E16BB9"/>
    <w:rsid w:val="00E23610"/>
    <w:rsid w:val="00E34256"/>
    <w:rsid w:val="00E34B83"/>
    <w:rsid w:val="00E441FB"/>
    <w:rsid w:val="00E452BC"/>
    <w:rsid w:val="00E469CF"/>
    <w:rsid w:val="00E56F23"/>
    <w:rsid w:val="00E5711B"/>
    <w:rsid w:val="00E63C9B"/>
    <w:rsid w:val="00E64B85"/>
    <w:rsid w:val="00E703C6"/>
    <w:rsid w:val="00E72A81"/>
    <w:rsid w:val="00E74B33"/>
    <w:rsid w:val="00E816CE"/>
    <w:rsid w:val="00E91CF5"/>
    <w:rsid w:val="00EA36D5"/>
    <w:rsid w:val="00EA66A8"/>
    <w:rsid w:val="00EB759B"/>
    <w:rsid w:val="00EB7AFE"/>
    <w:rsid w:val="00EC213F"/>
    <w:rsid w:val="00EC5C5F"/>
    <w:rsid w:val="00EC5E53"/>
    <w:rsid w:val="00EC7CF9"/>
    <w:rsid w:val="00ED0619"/>
    <w:rsid w:val="00ED5E64"/>
    <w:rsid w:val="00ED6E11"/>
    <w:rsid w:val="00EE36F9"/>
    <w:rsid w:val="00EE58C4"/>
    <w:rsid w:val="00EE762C"/>
    <w:rsid w:val="00EF27E4"/>
    <w:rsid w:val="00EF4152"/>
    <w:rsid w:val="00F023D0"/>
    <w:rsid w:val="00F02E8B"/>
    <w:rsid w:val="00F040F3"/>
    <w:rsid w:val="00F07DCC"/>
    <w:rsid w:val="00F13A17"/>
    <w:rsid w:val="00F13D43"/>
    <w:rsid w:val="00F1484F"/>
    <w:rsid w:val="00F15512"/>
    <w:rsid w:val="00F21A3B"/>
    <w:rsid w:val="00F30F92"/>
    <w:rsid w:val="00F4051D"/>
    <w:rsid w:val="00F42494"/>
    <w:rsid w:val="00F43ADF"/>
    <w:rsid w:val="00F43E7D"/>
    <w:rsid w:val="00F54F97"/>
    <w:rsid w:val="00F6023C"/>
    <w:rsid w:val="00F62F4E"/>
    <w:rsid w:val="00F67FCB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6D81"/>
    <w:rsid w:val="00FA7697"/>
    <w:rsid w:val="00FB2B46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68A8"/>
    <w:rsid w:val="00FE6B18"/>
    <w:rsid w:val="00FE7A46"/>
    <w:rsid w:val="00FF1F6A"/>
    <w:rsid w:val="00FF334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426077"/>
  <w14:defaultImageDpi w14:val="0"/>
  <w15:docId w15:val="{81DCCC9A-F7EA-441B-9A30-2A74E4EE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04A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 w:bidi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 w:bidi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 w:val="24"/>
      <w:szCs w:val="24"/>
      <w:lang w:val="cs-CZ" w:eastAsia="ar-SA" w:bidi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0"/>
      <w:lang w:val="x-none" w:eastAsia="ar-SA" w:bidi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val="x-none"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val="x-none"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val="x-none"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B0259A"/>
    <w:rPr>
      <w:rFonts w:ascii="Courier New" w:hAnsi="Courier New" w:cs="Courier New"/>
      <w:sz w:val="20"/>
      <w:szCs w:val="20"/>
      <w:lang w:val="cs-CZ" w:eastAsia="cs-CZ"/>
    </w:rPr>
  </w:style>
  <w:style w:type="table" w:customStyle="1" w:styleId="TableGrid">
    <w:name w:val="TableGrid"/>
    <w:rsid w:val="00BB304A"/>
    <w:rPr>
      <w:rFonts w:asciiTheme="minorHAnsi" w:eastAsiaTheme="minorEastAsia" w:hAnsiTheme="minorHAnsi" w:cs="Times New Roman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a@ufa.cas.cz" TargetMode="External"/><Relationship Id="rId1" Type="http://schemas.openxmlformats.org/officeDocument/2006/relationships/hyperlink" Target="http://www.ufa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7800-A9F8-4E34-9107-6F36D3A4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97CB7129.dotm</Template>
  <TotalTime>0</TotalTime>
  <Pages>15</Pages>
  <Words>3639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PURCHASE CONTRACT</vt:lpstr>
    </vt:vector>
  </TitlesOfParts>
  <Company>Microsoft</Company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subject/>
  <dc:creator>Marta Arazimova</dc:creator>
  <cp:keywords/>
  <dc:description/>
  <cp:lastModifiedBy>Smajsova, Radka</cp:lastModifiedBy>
  <cp:revision>2</cp:revision>
  <cp:lastPrinted>2019-12-10T12:34:00Z</cp:lastPrinted>
  <dcterms:created xsi:type="dcterms:W3CDTF">2020-01-14T13:08:00Z</dcterms:created>
  <dcterms:modified xsi:type="dcterms:W3CDTF">2020-01-14T13:08:00Z</dcterms:modified>
</cp:coreProperties>
</file>