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21" w:rsidRDefault="00DC0A38" w:rsidP="00575FCB">
      <w:pPr>
        <w:pStyle w:val="Nadpis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C4910F" wp14:editId="09FDC5B1">
                <wp:simplePos x="0" y="0"/>
                <wp:positionH relativeFrom="column">
                  <wp:posOffset>1943100</wp:posOffset>
                </wp:positionH>
                <wp:positionV relativeFrom="paragraph">
                  <wp:posOffset>68580</wp:posOffset>
                </wp:positionV>
                <wp:extent cx="4374515" cy="960120"/>
                <wp:effectExtent l="0" t="1905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EC6" w:rsidRDefault="00EB5F3A" w:rsidP="00FE17B9">
                            <w:pPr>
                              <w:pStyle w:val="Nadpis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Dohoda o úpravě cenových podmínek ke</w:t>
                            </w:r>
                          </w:p>
                          <w:p w:rsidR="00317EC6" w:rsidRDefault="00317EC6" w:rsidP="00575FCB">
                            <w:pPr>
                              <w:pStyle w:val="Nadpis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SMLOUVÁM </w:t>
                            </w:r>
                          </w:p>
                          <w:p w:rsidR="00317EC6" w:rsidRDefault="00317EC6" w:rsidP="00575FCB">
                            <w:pPr>
                              <w:pStyle w:val="Nadpis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 SDRUŽENÝCH SLUŽBÁCH DODÁVKY ELEKTŘINY  ZÁKAZNÍKOVI –</w:t>
                            </w:r>
                            <w:r w:rsidR="00FE17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Kategorie C</w:t>
                            </w:r>
                          </w:p>
                          <w:p w:rsidR="00317EC6" w:rsidRDefault="00317EC6" w:rsidP="00575FCB">
                            <w:pPr>
                              <w:pStyle w:val="Zkladntex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317EC6" w:rsidRDefault="00317E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type w14:anchorId="42C491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3pt;margin-top:5.4pt;width:344.45pt;height:7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8JggIAAA8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" stroked="f">
                <v:textbox>
                  <w:txbxContent>
                    <w:p w:rsidR="00317EC6" w:rsidRDefault="00EB5F3A" w:rsidP="00FE17B9">
                      <w:pPr>
                        <w:pStyle w:val="Nadpis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Dohoda o úpravě cenových podmínek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</w:t>
                      </w:r>
                      <w:proofErr w:type="gramEnd"/>
                    </w:p>
                    <w:p w:rsidR="00317EC6" w:rsidRDefault="00317EC6" w:rsidP="00575FCB">
                      <w:pPr>
                        <w:pStyle w:val="Nadpis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SMLOUVÁM </w:t>
                      </w:r>
                    </w:p>
                    <w:p w:rsidR="00317EC6" w:rsidRDefault="00317EC6" w:rsidP="00575FCB">
                      <w:pPr>
                        <w:pStyle w:val="Nadpis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 SDRUŽENÝCH SLUŽBÁCH DODÁVKY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ELEKTŘINY  ZÁKAZNÍKOVI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</w:t>
                      </w:r>
                      <w:r w:rsidR="00FE17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Kategorie C</w:t>
                      </w:r>
                    </w:p>
                    <w:p w:rsidR="00317EC6" w:rsidRDefault="00317EC6" w:rsidP="00575FCB">
                      <w:pPr>
                        <w:pStyle w:val="Zkladntex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317EC6" w:rsidRDefault="00317EC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95D796" wp14:editId="7A7C8FD9">
            <wp:extent cx="1828800" cy="981075"/>
            <wp:effectExtent l="0" t="0" r="0" b="9525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0EC" w:rsidRDefault="00B420EC">
      <w:pPr>
        <w:pStyle w:val="Zkladntext"/>
        <w:rPr>
          <w:rFonts w:ascii="Times New Roman" w:hAnsi="Times New Roman" w:cs="Times New Roman"/>
          <w:b/>
          <w:bCs/>
        </w:rPr>
      </w:pPr>
    </w:p>
    <w:p w:rsidR="00307321" w:rsidRDefault="00307321">
      <w:pPr>
        <w:pStyle w:val="Zkladn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Smluvní strany</w:t>
      </w:r>
    </w:p>
    <w:p w:rsidR="00307321" w:rsidRDefault="00307321">
      <w:pPr>
        <w:rPr>
          <w:b/>
          <w:bCs/>
        </w:rPr>
      </w:pPr>
      <w:r>
        <w:rPr>
          <w:b/>
          <w:bCs/>
        </w:rPr>
        <w:t>1. DODAVATEL:</w:t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07321">
        <w:trPr>
          <w:trHeight w:val="1479"/>
        </w:trPr>
        <w:tc>
          <w:tcPr>
            <w:tcW w:w="9709" w:type="dxa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307321" w:rsidRDefault="00307321">
            <w:pPr>
              <w:tabs>
                <w:tab w:val="left" w:pos="1140"/>
              </w:tabs>
            </w:pPr>
            <w:r>
              <w:t xml:space="preserve">Firma: </w:t>
            </w:r>
            <w:r>
              <w:tab/>
            </w:r>
            <w:r>
              <w:rPr>
                <w:b/>
                <w:bCs/>
              </w:rPr>
              <w:t>Správa železniční dopravní cesty,  státní organizace</w:t>
            </w:r>
          </w:p>
          <w:p w:rsidR="00307321" w:rsidRDefault="00307321">
            <w:pPr>
              <w:tabs>
                <w:tab w:val="left" w:pos="1140"/>
              </w:tabs>
            </w:pPr>
            <w:r>
              <w:t xml:space="preserve">Sídlo: </w:t>
            </w:r>
            <w:r>
              <w:tab/>
            </w:r>
            <w:r>
              <w:rPr>
                <w:b/>
                <w:bCs/>
              </w:rPr>
              <w:t>Praha 1 Nové Město, Dlážděná 1003/7, PSČ 11000</w:t>
            </w:r>
          </w:p>
          <w:p w:rsidR="00307321" w:rsidRDefault="00307321">
            <w:pPr>
              <w:tabs>
                <w:tab w:val="left" w:pos="1140"/>
              </w:tabs>
            </w:pPr>
            <w:r>
              <w:tab/>
              <w:t xml:space="preserve">Zapsaná v Obchodním rejstříku, vedeném Městským soudem v Praze, oddíl A, vložka </w:t>
            </w:r>
            <w:proofErr w:type="gramStart"/>
            <w:r>
              <w:t>č.48384</w:t>
            </w:r>
            <w:proofErr w:type="gramEnd"/>
          </w:p>
          <w:p w:rsidR="00307321" w:rsidRDefault="00307321">
            <w:pPr>
              <w:tabs>
                <w:tab w:val="left" w:pos="1140"/>
                <w:tab w:val="left" w:pos="4536"/>
              </w:tabs>
            </w:pPr>
            <w:r>
              <w:tab/>
              <w:t>IČ: 70 99 42 34</w:t>
            </w:r>
            <w:r>
              <w:tab/>
              <w:t xml:space="preserve">   DIČ: CZ 70 99 42 34</w:t>
            </w:r>
          </w:p>
          <w:p w:rsidR="00307321" w:rsidRDefault="00307321">
            <w:pPr>
              <w:tabs>
                <w:tab w:val="left" w:pos="1140"/>
                <w:tab w:val="left" w:pos="4536"/>
              </w:tabs>
            </w:pPr>
            <w:r>
              <w:t xml:space="preserve">                       Číslo licence na distribuci: 120605086         Číslo licence na obchod: 140705577 </w:t>
            </w:r>
          </w:p>
          <w:p w:rsidR="00307321" w:rsidRDefault="00307321">
            <w:pPr>
              <w:tabs>
                <w:tab w:val="left" w:pos="1140"/>
                <w:tab w:val="left" w:pos="4536"/>
              </w:tabs>
            </w:pPr>
            <w:r>
              <w:t xml:space="preserve">                       RÚT: 1875</w:t>
            </w:r>
          </w:p>
          <w:p w:rsidR="00307321" w:rsidRDefault="00307321">
            <w:pPr>
              <w:tabs>
                <w:tab w:val="left" w:pos="1140"/>
                <w:tab w:val="left" w:pos="4536"/>
              </w:tabs>
            </w:pPr>
            <w:r>
              <w:t xml:space="preserve">                       Bankovní spojení: Komerční banka, a.s.       </w:t>
            </w:r>
            <w:proofErr w:type="spellStart"/>
            <w:r>
              <w:t>Č.účtu</w:t>
            </w:r>
            <w:proofErr w:type="spellEnd"/>
            <w:r>
              <w:t>/kód banky:  43-0935760267/0100</w:t>
            </w:r>
          </w:p>
          <w:p w:rsidR="00307321" w:rsidRDefault="00307321"/>
          <w:p w:rsidR="00307321" w:rsidRDefault="00307321">
            <w:pPr>
              <w:tabs>
                <w:tab w:val="left" w:pos="1701"/>
                <w:tab w:val="left" w:pos="7371"/>
              </w:tabs>
            </w:pPr>
            <w:r>
              <w:t>Zástupce:</w:t>
            </w:r>
            <w:r>
              <w:tab/>
            </w:r>
            <w:r w:rsidR="00066232">
              <w:t>Ing. Petr Vodička</w:t>
            </w:r>
            <w:r>
              <w:t xml:space="preserve">, </w:t>
            </w:r>
            <w:r w:rsidR="00F40C5F">
              <w:t>ředitel</w:t>
            </w:r>
            <w:r>
              <w:t xml:space="preserve"> </w:t>
            </w:r>
            <w:r w:rsidR="00F40C5F">
              <w:t>S</w:t>
            </w:r>
            <w:r>
              <w:t xml:space="preserve">právy železniční energetiky </w:t>
            </w:r>
          </w:p>
          <w:p w:rsidR="00307321" w:rsidRDefault="00307321">
            <w:pPr>
              <w:tabs>
                <w:tab w:val="left" w:pos="1701"/>
                <w:tab w:val="left" w:pos="7371"/>
              </w:tabs>
            </w:pPr>
            <w:r>
              <w:t xml:space="preserve">                                  </w:t>
            </w:r>
          </w:p>
          <w:p w:rsidR="00307321" w:rsidRPr="00D01C00" w:rsidRDefault="00307321">
            <w:pPr>
              <w:tabs>
                <w:tab w:val="left" w:pos="1701"/>
                <w:tab w:val="left" w:pos="6521"/>
              </w:tabs>
            </w:pPr>
            <w:r>
              <w:rPr>
                <w:b/>
                <w:u w:val="single"/>
              </w:rPr>
              <w:t>Adresa pro doručování</w:t>
            </w:r>
            <w:r w:rsidRPr="00D01C00">
              <w:rPr>
                <w:b/>
                <w:u w:val="single"/>
              </w:rPr>
              <w:t>:</w:t>
            </w:r>
            <w:r w:rsidRPr="00D01C00">
              <w:rPr>
                <w:b/>
              </w:rPr>
              <w:t xml:space="preserve">   </w:t>
            </w:r>
            <w:bookmarkStart w:id="0" w:name="stredisko"/>
            <w:r w:rsidR="00F40C5F" w:rsidRPr="00D01C00">
              <w:fldChar w:fldCharType="begin">
                <w:ffData>
                  <w:name w:val="stredisko"/>
                  <w:enabled/>
                  <w:calcOnExit w:val="0"/>
                  <w:ddList>
                    <w:listEntry w:val="Riegrovo náměstí 914, 500 02 HRADEC KRÁLOVÉ"/>
                    <w:listEntry w:val="Kulkova 1, 614 00 BRNO"/>
                    <w:listEntry w:val="A. Trägera, 370 10 ČESKÉ BUDĚJOVICE"/>
                    <w:listEntry w:val="Nerudova 1, 772 11 OLOMOUC"/>
                    <w:listEntry w:val="Zákrejsova 1077, 702 00 OSTRAVA 1"/>
                    <w:listEntry w:val="Hlaváčova 206, 530 02 PARDUBICE"/>
                    <w:listEntry w:val="Sušická 23, 326 00 PLZEŇ"/>
                    <w:listEntry w:val="Chodovská 4, 141 00 PRAHA 4"/>
                    <w:listEntry w:val="Čajkovského 98, 400 01 ÚSTÍ nad Labem"/>
                  </w:ddList>
                </w:ffData>
              </w:fldChar>
            </w:r>
            <w:r w:rsidR="00F40C5F" w:rsidRPr="00D01C00">
              <w:instrText xml:space="preserve"> FORMDROPDOWN </w:instrText>
            </w:r>
            <w:r w:rsidR="00D01C00" w:rsidRPr="00D01C00">
              <w:fldChar w:fldCharType="separate"/>
            </w:r>
            <w:r w:rsidR="00F40C5F" w:rsidRPr="00D01C00">
              <w:fldChar w:fldCharType="end"/>
            </w:r>
            <w:bookmarkEnd w:id="0"/>
            <w:r w:rsidRPr="00D01C00">
              <w:tab/>
            </w:r>
            <w:bookmarkStart w:id="1" w:name="Rozbalovací4"/>
            <w:r w:rsidRPr="00D01C00">
              <w:t xml:space="preserve"> </w:t>
            </w:r>
            <w:bookmarkEnd w:id="1"/>
          </w:p>
          <w:p w:rsidR="00307321" w:rsidRDefault="00307321">
            <w:pPr>
              <w:tabs>
                <w:tab w:val="left" w:pos="1680"/>
                <w:tab w:val="left" w:pos="4536"/>
                <w:tab w:val="left" w:pos="6521"/>
                <w:tab w:val="left" w:pos="7230"/>
              </w:tabs>
              <w:rPr>
                <w:rFonts w:ascii="Arial" w:hAnsi="Arial" w:cs="Arial"/>
                <w:iCs/>
              </w:rPr>
            </w:pPr>
            <w:r w:rsidRPr="00D01C00">
              <w:t>Kontaktní osoba:</w:t>
            </w:r>
            <w:r w:rsidRPr="00D01C00">
              <w:tab/>
            </w:r>
            <w:r w:rsidR="00066232" w:rsidRPr="00D01C00">
              <w:t>Jarmila Jíšová</w:t>
            </w:r>
            <w:r w:rsidRPr="00D01C00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Pr="00D01C00">
              <w:t>tel.:</w:t>
            </w:r>
            <w:bookmarkStart w:id="2" w:name="Text2"/>
            <w:r w:rsidR="00FE17B9" w:rsidRPr="00D01C00">
              <w:t xml:space="preserve"> </w:t>
            </w:r>
            <w:r w:rsidR="00066232" w:rsidRPr="00D01C00">
              <w:t>724 534 066</w:t>
            </w:r>
            <w:bookmarkEnd w:id="2"/>
            <w:r w:rsidRPr="00D01C00">
              <w:tab/>
              <w:t>E-mail:</w:t>
            </w:r>
            <w:r w:rsidRPr="00D01C00">
              <w:tab/>
            </w:r>
            <w:r w:rsidR="008065A3" w:rsidRPr="00D01C00">
              <w:fldChar w:fldCharType="begin">
                <w:ffData>
                  <w:name w:val="Text3"/>
                  <w:enabled/>
                  <w:calcOnExit w:val="0"/>
                  <w:textInput>
                    <w:default w:val="BlazekP@szdc.cz"/>
                  </w:textInput>
                </w:ffData>
              </w:fldChar>
            </w:r>
            <w:r w:rsidR="008065A3" w:rsidRPr="00D01C00">
              <w:instrText xml:space="preserve"> </w:instrText>
            </w:r>
            <w:bookmarkStart w:id="3" w:name="Text3"/>
            <w:r w:rsidR="008065A3" w:rsidRPr="00D01C00">
              <w:instrText xml:space="preserve">FORMTEXT </w:instrText>
            </w:r>
            <w:r w:rsidR="008065A3" w:rsidRPr="00D01C00">
              <w:fldChar w:fldCharType="separate"/>
            </w:r>
            <w:r w:rsidR="00066232" w:rsidRPr="00D01C00">
              <w:rPr>
                <w:noProof/>
              </w:rPr>
              <w:t>Jisova</w:t>
            </w:r>
            <w:r w:rsidR="008065A3" w:rsidRPr="00D01C00">
              <w:rPr>
                <w:noProof/>
              </w:rPr>
              <w:t>@szdc.cz</w:t>
            </w:r>
            <w:r w:rsidR="008065A3" w:rsidRPr="00D01C00">
              <w:fldChar w:fldCharType="end"/>
            </w:r>
            <w:bookmarkEnd w:id="3"/>
          </w:p>
          <w:p w:rsidR="00307321" w:rsidRDefault="00307321">
            <w:pPr>
              <w:tabs>
                <w:tab w:val="left" w:pos="4536"/>
              </w:tabs>
            </w:pPr>
          </w:p>
        </w:tc>
      </w:tr>
    </w:tbl>
    <w:p w:rsidR="00307321" w:rsidRDefault="00307321">
      <w:pPr>
        <w:pStyle w:val="Zkladntext"/>
        <w:rPr>
          <w:rFonts w:ascii="Times New Roman" w:hAnsi="Times New Roman" w:cs="Times New Roman"/>
          <w:b/>
          <w:bCs/>
        </w:rPr>
      </w:pPr>
    </w:p>
    <w:p w:rsidR="00307321" w:rsidRDefault="00307321">
      <w:pPr>
        <w:pStyle w:val="Zkladn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</w:p>
    <w:p w:rsidR="00307321" w:rsidRDefault="00307321">
      <w:pPr>
        <w:pStyle w:val="Zkladntex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ZÁKAZNÍK: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07321">
        <w:trPr>
          <w:trHeight w:val="3454"/>
        </w:trPr>
        <w:tc>
          <w:tcPr>
            <w:tcW w:w="9709" w:type="dxa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307321" w:rsidRPr="00D01C00" w:rsidRDefault="00307321">
            <w:pPr>
              <w:tabs>
                <w:tab w:val="left" w:pos="1701"/>
                <w:tab w:val="left" w:pos="2268"/>
              </w:tabs>
            </w:pPr>
            <w:r w:rsidRPr="00D01C00">
              <w:t>Číslo obchodního partnera:</w:t>
            </w:r>
            <w:r w:rsidRPr="00D01C00">
              <w:tab/>
            </w:r>
            <w:r w:rsidR="00C36755" w:rsidRPr="00D01C00">
              <w:t>5073691</w:t>
            </w:r>
          </w:p>
          <w:p w:rsidR="00307321" w:rsidRPr="00D01C00" w:rsidRDefault="00307321">
            <w:pPr>
              <w:tabs>
                <w:tab w:val="left" w:pos="1701"/>
                <w:tab w:val="left" w:pos="2268"/>
              </w:tabs>
              <w:rPr>
                <w:b/>
              </w:rPr>
            </w:pPr>
            <w:r w:rsidRPr="00D01C00">
              <w:t>Obchodní firma:</w:t>
            </w:r>
            <w:r w:rsidRPr="00D01C00">
              <w:tab/>
            </w:r>
            <w:r w:rsidR="00772C89" w:rsidRPr="00D01C00">
              <w:rPr>
                <w:b/>
                <w:bCs/>
              </w:rPr>
              <w:t>ČD – Telematika a.s.</w:t>
            </w:r>
            <w:r w:rsidRPr="00D01C00">
              <w:t xml:space="preserve">                                               </w:t>
            </w:r>
          </w:p>
          <w:p w:rsidR="00307321" w:rsidRPr="00D01C00" w:rsidRDefault="00307321">
            <w:pPr>
              <w:tabs>
                <w:tab w:val="left" w:pos="1701"/>
                <w:tab w:val="left" w:pos="4536"/>
              </w:tabs>
            </w:pPr>
            <w:r w:rsidRPr="00D01C00">
              <w:t>Sídlo – místo podnikání:</w:t>
            </w:r>
          </w:p>
          <w:p w:rsidR="00307321" w:rsidRPr="00D01C00" w:rsidRDefault="00307321">
            <w:pPr>
              <w:tabs>
                <w:tab w:val="left" w:pos="555"/>
                <w:tab w:val="left" w:pos="1701"/>
                <w:tab w:val="left" w:pos="4536"/>
                <w:tab w:val="left" w:pos="5103"/>
              </w:tabs>
              <w:rPr>
                <w:b/>
              </w:rPr>
            </w:pPr>
            <w:r w:rsidRPr="00D01C00">
              <w:tab/>
              <w:t>Ulice:</w:t>
            </w:r>
            <w:r w:rsidRPr="00D01C00">
              <w:tab/>
            </w:r>
            <w:r w:rsidR="00772C89" w:rsidRPr="00D01C00">
              <w:t>Pernerova 2819/2a</w:t>
            </w:r>
          </w:p>
          <w:p w:rsidR="00B44857" w:rsidRPr="00D01C00" w:rsidRDefault="00307321" w:rsidP="00B44857">
            <w:pPr>
              <w:tabs>
                <w:tab w:val="left" w:pos="555"/>
                <w:tab w:val="left" w:pos="1701"/>
                <w:tab w:val="left" w:pos="4536"/>
                <w:tab w:val="left" w:pos="5103"/>
              </w:tabs>
            </w:pPr>
            <w:r w:rsidRPr="00D01C00">
              <w:tab/>
              <w:t>Obec:</w:t>
            </w:r>
            <w:r w:rsidRPr="00D01C00">
              <w:tab/>
            </w:r>
            <w:r w:rsidR="00772C89" w:rsidRPr="00D01C00">
              <w:t>Praha 3</w:t>
            </w:r>
            <w:r w:rsidRPr="00D01C00">
              <w:tab/>
              <w:t>PSČ:</w:t>
            </w:r>
            <w:r w:rsidRPr="00D01C00">
              <w:tab/>
            </w:r>
            <w:r w:rsidR="00B44857" w:rsidRPr="00D01C00">
              <w:t>1</w:t>
            </w:r>
            <w:r w:rsidR="00772C89" w:rsidRPr="00D01C00">
              <w:t>30</w:t>
            </w:r>
            <w:r w:rsidR="00B44857" w:rsidRPr="00D01C00">
              <w:t xml:space="preserve"> 00</w:t>
            </w:r>
          </w:p>
          <w:p w:rsidR="00307321" w:rsidRPr="00D01C00" w:rsidRDefault="00307321" w:rsidP="00B44857">
            <w:pPr>
              <w:tabs>
                <w:tab w:val="left" w:pos="555"/>
                <w:tab w:val="left" w:pos="1701"/>
                <w:tab w:val="left" w:pos="4536"/>
                <w:tab w:val="left" w:pos="5103"/>
              </w:tabs>
            </w:pPr>
            <w:r w:rsidRPr="00D01C00">
              <w:tab/>
              <w:t>IČ:</w:t>
            </w:r>
            <w:r w:rsidRPr="00D01C00">
              <w:tab/>
            </w:r>
            <w:r w:rsidR="00772C89" w:rsidRPr="00D01C00">
              <w:t>61459445</w:t>
            </w:r>
            <w:r w:rsidRPr="00D01C00">
              <w:tab/>
              <w:t>DIČ:</w:t>
            </w:r>
            <w:r w:rsidRPr="00D01C00">
              <w:tab/>
            </w:r>
            <w:r w:rsidR="00B44857" w:rsidRPr="00D01C00">
              <w:t>CZ</w:t>
            </w:r>
            <w:r w:rsidR="00772C89" w:rsidRPr="00D01C00">
              <w:t>61459445</w:t>
            </w:r>
            <w:r w:rsidRPr="00D01C00">
              <w:t xml:space="preserve">     </w:t>
            </w:r>
            <w:r w:rsidRPr="00D01C00">
              <w:tab/>
            </w:r>
          </w:p>
          <w:p w:rsidR="00307321" w:rsidRPr="00D01C00" w:rsidRDefault="00307321" w:rsidP="00772C89">
            <w:pPr>
              <w:tabs>
                <w:tab w:val="left" w:pos="555"/>
                <w:tab w:val="left" w:pos="1701"/>
                <w:tab w:val="left" w:pos="4536"/>
                <w:tab w:val="left" w:pos="5103"/>
              </w:tabs>
            </w:pPr>
            <w:r w:rsidRPr="00D01C00">
              <w:tab/>
              <w:t>Zapsaná:</w:t>
            </w:r>
            <w:r w:rsidRPr="00D01C00">
              <w:tab/>
            </w:r>
            <w:r w:rsidR="00772C89" w:rsidRPr="00D01C00">
              <w:t>v obchodním rejstříku vedeném Městským soudem v Praze, oddíl B, vložka 8938</w:t>
            </w:r>
          </w:p>
          <w:p w:rsidR="00307321" w:rsidRPr="00D01C00" w:rsidRDefault="00307321">
            <w:pPr>
              <w:tabs>
                <w:tab w:val="left" w:pos="567"/>
                <w:tab w:val="left" w:pos="1701"/>
                <w:tab w:val="left" w:pos="4536"/>
                <w:tab w:val="left" w:pos="5103"/>
              </w:tabs>
            </w:pPr>
            <w:r w:rsidRPr="00D01C00">
              <w:tab/>
              <w:t>tel.:</w:t>
            </w:r>
            <w:r w:rsidRPr="00D01C00">
              <w:tab/>
            </w:r>
            <w:bookmarkStart w:id="4" w:name="adrc_fax_number"/>
            <w:r w:rsidRPr="00D01C00">
              <w:tab/>
              <w:t>fax:</w:t>
            </w:r>
            <w:bookmarkEnd w:id="4"/>
            <w:r w:rsidRPr="00D01C00">
              <w:tab/>
            </w:r>
          </w:p>
          <w:p w:rsidR="00307321" w:rsidRPr="00D01C00" w:rsidRDefault="00307321">
            <w:pPr>
              <w:tabs>
                <w:tab w:val="left" w:pos="555"/>
                <w:tab w:val="left" w:pos="1701"/>
                <w:tab w:val="left" w:pos="4536"/>
                <w:tab w:val="left" w:pos="5400"/>
                <w:tab w:val="left" w:pos="5955"/>
              </w:tabs>
            </w:pPr>
          </w:p>
          <w:p w:rsidR="00BB16CB" w:rsidRPr="00D01C00" w:rsidRDefault="003F4779" w:rsidP="003F4779">
            <w:pPr>
              <w:tabs>
                <w:tab w:val="left" w:pos="555"/>
                <w:tab w:val="left" w:pos="1701"/>
                <w:tab w:val="left" w:pos="4536"/>
                <w:tab w:val="left" w:pos="5103"/>
                <w:tab w:val="left" w:pos="6521"/>
              </w:tabs>
            </w:pPr>
            <w:r w:rsidRPr="00D01C00">
              <w:t xml:space="preserve">           </w:t>
            </w:r>
            <w:r w:rsidR="00F24384" w:rsidRPr="00D01C00">
              <w:t xml:space="preserve">zastoupena: </w:t>
            </w:r>
            <w:r w:rsidR="00D3608F" w:rsidRPr="00D01C00">
              <w:t xml:space="preserve">  </w:t>
            </w:r>
            <w:r w:rsidR="00772C89" w:rsidRPr="00D01C00">
              <w:t xml:space="preserve">Ing. </w:t>
            </w:r>
            <w:r w:rsidR="00F61AB3" w:rsidRPr="00D01C00">
              <w:t xml:space="preserve">Davidem </w:t>
            </w:r>
            <w:proofErr w:type="spellStart"/>
            <w:r w:rsidR="00F61AB3" w:rsidRPr="00D01C00">
              <w:t>Wolskim</w:t>
            </w:r>
            <w:proofErr w:type="spellEnd"/>
            <w:r w:rsidR="00D3608F" w:rsidRPr="00D01C00">
              <w:t xml:space="preserve">, předsedou představenstva a </w:t>
            </w:r>
          </w:p>
          <w:p w:rsidR="00F244BC" w:rsidRPr="00D01C00" w:rsidRDefault="00BB16CB">
            <w:pPr>
              <w:tabs>
                <w:tab w:val="left" w:pos="555"/>
                <w:tab w:val="left" w:pos="1701"/>
                <w:tab w:val="left" w:pos="4536"/>
                <w:tab w:val="left" w:pos="5103"/>
                <w:tab w:val="left" w:pos="6521"/>
              </w:tabs>
            </w:pPr>
            <w:r w:rsidRPr="00D01C00">
              <w:t xml:space="preserve">                                 a </w:t>
            </w:r>
            <w:r w:rsidR="00B14857" w:rsidRPr="00D01C00">
              <w:rPr>
                <w:sz w:val="21"/>
                <w:szCs w:val="21"/>
              </w:rPr>
              <w:t xml:space="preserve">Ing. Bruno </w:t>
            </w:r>
            <w:proofErr w:type="spellStart"/>
            <w:r w:rsidR="00B14857" w:rsidRPr="00D01C00">
              <w:rPr>
                <w:sz w:val="21"/>
                <w:szCs w:val="21"/>
              </w:rPr>
              <w:t>Wertlen</w:t>
            </w:r>
            <w:r w:rsidR="00745AA4" w:rsidRPr="00D01C00">
              <w:rPr>
                <w:sz w:val="21"/>
                <w:szCs w:val="21"/>
              </w:rPr>
              <w:t>em</w:t>
            </w:r>
            <w:proofErr w:type="spellEnd"/>
            <w:r w:rsidR="00B14857" w:rsidRPr="00D01C00">
              <w:rPr>
                <w:sz w:val="21"/>
                <w:szCs w:val="21"/>
              </w:rPr>
              <w:t>, Ph.D., MSc.</w:t>
            </w:r>
            <w:r w:rsidR="00CF0BA3" w:rsidRPr="00D01C00">
              <w:t>, členem představenstva</w:t>
            </w:r>
            <w:r w:rsidR="00CF0BA3" w:rsidRPr="00D01C00">
              <w:rPr>
                <w:b/>
                <w:color w:val="000000"/>
                <w:sz w:val="24"/>
              </w:rPr>
              <w:t xml:space="preserve"> </w:t>
            </w:r>
          </w:p>
          <w:p w:rsidR="00BB16CB" w:rsidRPr="00D01C00" w:rsidRDefault="00D92E59">
            <w:pPr>
              <w:tabs>
                <w:tab w:val="left" w:pos="555"/>
                <w:tab w:val="left" w:pos="1701"/>
                <w:tab w:val="left" w:pos="4536"/>
                <w:tab w:val="left" w:pos="5103"/>
                <w:tab w:val="left" w:pos="6521"/>
              </w:tabs>
            </w:pPr>
            <w:r w:rsidRPr="00D01C00">
              <w:t xml:space="preserve"> </w:t>
            </w:r>
          </w:p>
          <w:p w:rsidR="00307321" w:rsidRPr="00D01C00" w:rsidRDefault="00307321">
            <w:pPr>
              <w:tabs>
                <w:tab w:val="left" w:pos="555"/>
                <w:tab w:val="left" w:pos="1701"/>
                <w:tab w:val="left" w:pos="4536"/>
                <w:tab w:val="left" w:pos="5103"/>
                <w:tab w:val="left" w:pos="6521"/>
              </w:tabs>
            </w:pPr>
            <w:r w:rsidRPr="00D01C00">
              <w:tab/>
              <w:t>tel.:</w:t>
            </w:r>
            <w:r w:rsidRPr="00D01C00">
              <w:tab/>
            </w:r>
            <w:r w:rsidR="00772C89" w:rsidRPr="00D01C00">
              <w:rPr>
                <w:noProof/>
              </w:rPr>
              <w:t>972 225 555</w:t>
            </w:r>
            <w:r w:rsidRPr="00D01C00">
              <w:tab/>
              <w:t xml:space="preserve">E-mail: </w:t>
            </w:r>
            <w:r w:rsidR="00772C89" w:rsidRPr="00D01C00">
              <w:rPr>
                <w:noProof/>
              </w:rPr>
              <w:t>cdt@cdt.cz</w:t>
            </w:r>
          </w:p>
          <w:p w:rsidR="00307321" w:rsidRPr="00D01C00" w:rsidRDefault="00307321">
            <w:pPr>
              <w:tabs>
                <w:tab w:val="left" w:pos="1701"/>
                <w:tab w:val="left" w:pos="4536"/>
                <w:tab w:val="left" w:pos="5100"/>
                <w:tab w:val="left" w:pos="6521"/>
              </w:tabs>
            </w:pPr>
            <w:bookmarkStart w:id="5" w:name="kont_osoba1"/>
            <w:r w:rsidRPr="00D01C00">
              <w:t>Kontaktní osoba:</w:t>
            </w:r>
            <w:bookmarkEnd w:id="5"/>
            <w:r w:rsidR="00FE17B9" w:rsidRPr="00D01C00">
              <w:t xml:space="preserve">    </w:t>
            </w:r>
            <w:r w:rsidR="00F71456" w:rsidRPr="00D01C00">
              <w:rPr>
                <w:noProof/>
              </w:rPr>
              <w:t xml:space="preserve">  </w:t>
            </w:r>
            <w:r w:rsidR="00462176" w:rsidRPr="00D01C00">
              <w:rPr>
                <w:noProof/>
              </w:rPr>
              <w:t>Ing.</w:t>
            </w:r>
            <w:r w:rsidR="006F7105" w:rsidRPr="00D01C00">
              <w:rPr>
                <w:noProof/>
              </w:rPr>
              <w:t xml:space="preserve">Pavla Drlíková </w:t>
            </w:r>
            <w:r w:rsidRPr="00D01C00">
              <w:tab/>
              <w:t>tel</w:t>
            </w:r>
            <w:bookmarkStart w:id="6" w:name="tel1"/>
            <w:r w:rsidRPr="00D01C00">
              <w:t>.:</w:t>
            </w:r>
            <w:bookmarkEnd w:id="6"/>
            <w:r w:rsidR="00462176" w:rsidRPr="00D01C00">
              <w:t xml:space="preserve"> </w:t>
            </w:r>
            <w:r w:rsidR="00772C89" w:rsidRPr="00D01C00">
              <w:rPr>
                <w:sz w:val="21"/>
                <w:szCs w:val="21"/>
              </w:rPr>
              <w:t>725 039 771</w:t>
            </w:r>
            <w:r w:rsidRPr="00D01C00">
              <w:tab/>
              <w:t xml:space="preserve">E-mail: </w:t>
            </w:r>
            <w:r w:rsidR="006F7105" w:rsidRPr="00D01C00">
              <w:rPr>
                <w:noProof/>
              </w:rPr>
              <w:t>pavla.drlikova</w:t>
            </w:r>
            <w:r w:rsidR="00772C89" w:rsidRPr="00D01C00">
              <w:rPr>
                <w:noProof/>
              </w:rPr>
              <w:t>@cdt.cz</w:t>
            </w:r>
          </w:p>
          <w:p w:rsidR="00307321" w:rsidRPr="00D01C00" w:rsidRDefault="00307321">
            <w:pPr>
              <w:tabs>
                <w:tab w:val="left" w:pos="1701"/>
                <w:tab w:val="left" w:pos="4536"/>
              </w:tabs>
            </w:pPr>
            <w:r w:rsidRPr="00D01C00">
              <w:t>Adresa pro zasílání faktur:</w:t>
            </w:r>
          </w:p>
          <w:p w:rsidR="00307321" w:rsidRPr="00D01C00" w:rsidRDefault="00307321">
            <w:pPr>
              <w:tabs>
                <w:tab w:val="left" w:pos="555"/>
                <w:tab w:val="left" w:pos="1701"/>
                <w:tab w:val="left" w:pos="4536"/>
                <w:tab w:val="left" w:pos="5103"/>
              </w:tabs>
            </w:pPr>
            <w:r w:rsidRPr="00D01C00">
              <w:tab/>
              <w:t>Ulice:</w:t>
            </w:r>
            <w:r w:rsidRPr="00D01C00">
              <w:tab/>
            </w:r>
            <w:r w:rsidR="00772C89" w:rsidRPr="00D01C00">
              <w:t>Pod Táborem 369/8a</w:t>
            </w:r>
          </w:p>
          <w:p w:rsidR="00307321" w:rsidRPr="00D01C00" w:rsidRDefault="00307321">
            <w:pPr>
              <w:tabs>
                <w:tab w:val="left" w:pos="555"/>
                <w:tab w:val="left" w:pos="1701"/>
                <w:tab w:val="left" w:pos="4536"/>
                <w:tab w:val="left" w:pos="5103"/>
              </w:tabs>
            </w:pPr>
            <w:r w:rsidRPr="00D01C00">
              <w:tab/>
              <w:t>Obec:</w:t>
            </w:r>
            <w:r w:rsidRPr="00D01C00">
              <w:tab/>
            </w:r>
            <w:r w:rsidR="00B44857" w:rsidRPr="00D01C00">
              <w:t xml:space="preserve">Praha </w:t>
            </w:r>
            <w:r w:rsidR="00772C89" w:rsidRPr="00D01C00">
              <w:t>9</w:t>
            </w:r>
            <w:r w:rsidRPr="00D01C00">
              <w:tab/>
              <w:t>PSČ:</w:t>
            </w:r>
            <w:r w:rsidRPr="00D01C00">
              <w:tab/>
            </w:r>
            <w:r w:rsidR="00B44857" w:rsidRPr="00D01C00">
              <w:t>1</w:t>
            </w:r>
            <w:r w:rsidR="00772C89" w:rsidRPr="00D01C00">
              <w:t>90</w:t>
            </w:r>
            <w:r w:rsidR="00B44857" w:rsidRPr="00D01C00">
              <w:t xml:space="preserve"> 00</w:t>
            </w:r>
          </w:p>
          <w:p w:rsidR="00307321" w:rsidRDefault="00307321" w:rsidP="00B44857">
            <w:pPr>
              <w:tabs>
                <w:tab w:val="left" w:pos="1701"/>
                <w:tab w:val="left" w:pos="4536"/>
              </w:tabs>
            </w:pPr>
            <w:r w:rsidRPr="00D01C00">
              <w:t>Bankovní spojení:</w:t>
            </w:r>
            <w:r w:rsidRPr="00D01C00">
              <w:tab/>
            </w:r>
            <w:r w:rsidR="00772C89" w:rsidRPr="00D01C00">
              <w:t>Komerční banka a.s.</w:t>
            </w:r>
            <w:r w:rsidRPr="00D01C00">
              <w:tab/>
              <w:t xml:space="preserve">č. účtu/kód banky: </w:t>
            </w:r>
            <w:r w:rsidR="00772C89" w:rsidRPr="00D01C00">
              <w:t>19 – 55 24 20 02 17/0100</w:t>
            </w:r>
          </w:p>
        </w:tc>
      </w:tr>
    </w:tbl>
    <w:p w:rsidR="001A75A9" w:rsidRDefault="001A75A9">
      <w:pPr>
        <w:pStyle w:val="Zkladntext"/>
        <w:spacing w:before="60"/>
        <w:jc w:val="both"/>
        <w:rPr>
          <w:rFonts w:ascii="Times New Roman" w:hAnsi="Times New Roman" w:cs="Times New Roman"/>
        </w:rPr>
      </w:pPr>
    </w:p>
    <w:p w:rsidR="00307321" w:rsidRDefault="00307321">
      <w:pPr>
        <w:pStyle w:val="Zkladntext"/>
        <w:spacing w:before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uzavřely níže uvedeného dne, měsíce a roku </w:t>
      </w:r>
      <w:r w:rsidR="00EB5F3A">
        <w:rPr>
          <w:rFonts w:ascii="Times New Roman" w:hAnsi="Times New Roman" w:cs="Times New Roman"/>
        </w:rPr>
        <w:t>tuto</w:t>
      </w:r>
    </w:p>
    <w:p w:rsidR="001A75A9" w:rsidRDefault="001A75A9">
      <w:pPr>
        <w:pStyle w:val="Zkladntext"/>
        <w:rPr>
          <w:rFonts w:ascii="Times New Roman" w:hAnsi="Times New Roman" w:cs="Times New Roman"/>
          <w:b/>
          <w:bCs/>
        </w:rPr>
      </w:pPr>
    </w:p>
    <w:p w:rsidR="00307321" w:rsidRDefault="00EB5F3A">
      <w:pPr>
        <w:pStyle w:val="Zkladn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Dohodu o úpravě cenových podmínek ke </w:t>
      </w:r>
      <w:r w:rsidR="00307321">
        <w:rPr>
          <w:rFonts w:ascii="Times New Roman" w:hAnsi="Times New Roman" w:cs="Times New Roman"/>
          <w:b/>
          <w:bCs/>
        </w:rPr>
        <w:t>Smlouv</w:t>
      </w:r>
      <w:r w:rsidR="00553CEA">
        <w:rPr>
          <w:rFonts w:ascii="Times New Roman" w:hAnsi="Times New Roman" w:cs="Times New Roman"/>
          <w:b/>
          <w:bCs/>
        </w:rPr>
        <w:t>ám</w:t>
      </w:r>
      <w:r w:rsidR="00307321">
        <w:rPr>
          <w:rFonts w:ascii="Times New Roman" w:hAnsi="Times New Roman" w:cs="Times New Roman"/>
          <w:b/>
          <w:bCs/>
        </w:rPr>
        <w:t xml:space="preserve"> o</w:t>
      </w:r>
      <w:r w:rsidR="00307321">
        <w:rPr>
          <w:rFonts w:ascii="Times New Roman" w:hAnsi="Times New Roman" w:cs="Times New Roman"/>
        </w:rPr>
        <w:t xml:space="preserve"> </w:t>
      </w:r>
      <w:r w:rsidR="00307321">
        <w:rPr>
          <w:rFonts w:ascii="Times New Roman" w:hAnsi="Times New Roman" w:cs="Times New Roman"/>
          <w:b/>
          <w:bCs/>
        </w:rPr>
        <w:t>sdružených službách dodávky elektřiny</w:t>
      </w:r>
    </w:p>
    <w:p w:rsidR="009D0930" w:rsidRDefault="009D0930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(dále „Dohoda“)</w:t>
      </w:r>
    </w:p>
    <w:p w:rsidR="001A75A9" w:rsidRDefault="001A75A9">
      <w:pPr>
        <w:pStyle w:val="Zkladntext"/>
        <w:jc w:val="both"/>
        <w:rPr>
          <w:rFonts w:ascii="Times New Roman" w:hAnsi="Times New Roman" w:cs="Times New Roman"/>
        </w:rPr>
      </w:pPr>
    </w:p>
    <w:p w:rsidR="001A75A9" w:rsidRDefault="00553CEA" w:rsidP="001A75A9">
      <w:pPr>
        <w:pStyle w:val="Zkladntext"/>
        <w:jc w:val="both"/>
        <w:rPr>
          <w:rFonts w:ascii="Times New Roman" w:hAnsi="Times New Roman" w:cs="Times New Roman"/>
        </w:rPr>
      </w:pPr>
      <w:r w:rsidRPr="00D92E59">
        <w:rPr>
          <w:rFonts w:ascii="Times New Roman" w:hAnsi="Times New Roman" w:cs="Times New Roman"/>
        </w:rPr>
        <w:t>uzavřen</w:t>
      </w:r>
      <w:r w:rsidR="00EB55FD">
        <w:rPr>
          <w:rFonts w:ascii="Times New Roman" w:hAnsi="Times New Roman" w:cs="Times New Roman"/>
        </w:rPr>
        <w:t>ou</w:t>
      </w:r>
      <w:r w:rsidRPr="00D92E59">
        <w:rPr>
          <w:rFonts w:ascii="Times New Roman" w:hAnsi="Times New Roman" w:cs="Times New Roman"/>
        </w:rPr>
        <w:t xml:space="preserve"> </w:t>
      </w:r>
      <w:r w:rsidR="00307321" w:rsidRPr="00D92E59">
        <w:rPr>
          <w:rFonts w:ascii="Times New Roman" w:hAnsi="Times New Roman" w:cs="Times New Roman"/>
        </w:rPr>
        <w:t xml:space="preserve">podle zákona č. </w:t>
      </w:r>
      <w:r w:rsidR="00EB55FD">
        <w:rPr>
          <w:rFonts w:ascii="Times New Roman" w:hAnsi="Times New Roman" w:cs="Times New Roman"/>
        </w:rPr>
        <w:t>89</w:t>
      </w:r>
      <w:r w:rsidR="00307321" w:rsidRPr="00D92E59">
        <w:rPr>
          <w:rFonts w:ascii="Times New Roman" w:hAnsi="Times New Roman" w:cs="Times New Roman"/>
        </w:rPr>
        <w:t>/20</w:t>
      </w:r>
      <w:r w:rsidR="00EB55FD">
        <w:rPr>
          <w:rFonts w:ascii="Times New Roman" w:hAnsi="Times New Roman" w:cs="Times New Roman"/>
        </w:rPr>
        <w:t>12</w:t>
      </w:r>
      <w:r w:rsidR="00307321" w:rsidRPr="00D92E59">
        <w:rPr>
          <w:rFonts w:ascii="Times New Roman" w:hAnsi="Times New Roman" w:cs="Times New Roman"/>
        </w:rPr>
        <w:t xml:space="preserve"> Sb., </w:t>
      </w:r>
    </w:p>
    <w:p w:rsidR="00307321" w:rsidRDefault="00307321">
      <w:pPr>
        <w:pStyle w:val="Zkladntext"/>
        <w:rPr>
          <w:rFonts w:ascii="Times New Roman" w:hAnsi="Times New Roman" w:cs="Times New Roman"/>
        </w:rPr>
      </w:pPr>
    </w:p>
    <w:p w:rsidR="00307321" w:rsidRDefault="00307321">
      <w:pPr>
        <w:pStyle w:val="Zkladn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 </w:t>
      </w:r>
      <w:r w:rsidR="00553CEA">
        <w:rPr>
          <w:rFonts w:ascii="Times New Roman" w:hAnsi="Times New Roman" w:cs="Times New Roman"/>
          <w:b/>
          <w:bCs/>
        </w:rPr>
        <w:t xml:space="preserve">Úvodní </w:t>
      </w:r>
      <w:r w:rsidR="006B26D2">
        <w:rPr>
          <w:rFonts w:ascii="Times New Roman" w:hAnsi="Times New Roman" w:cs="Times New Roman"/>
          <w:b/>
          <w:bCs/>
        </w:rPr>
        <w:t>ujednání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709"/>
      </w:tblGrid>
      <w:tr w:rsidR="00307321">
        <w:trPr>
          <w:trHeight w:val="1058"/>
        </w:trPr>
        <w:tc>
          <w:tcPr>
            <w:tcW w:w="9709" w:type="dxa"/>
          </w:tcPr>
          <w:p w:rsidR="009D0930" w:rsidRPr="00553CEA" w:rsidRDefault="00553CEA" w:rsidP="00226A31">
            <w:pPr>
              <w:pStyle w:val="Zkladntext"/>
              <w:numPr>
                <w:ilvl w:val="0"/>
                <w:numId w:val="8"/>
              </w:numPr>
              <w:spacing w:before="240"/>
              <w:ind w:left="284" w:right="97" w:hanging="284"/>
              <w:jc w:val="both"/>
              <w:rPr>
                <w:rFonts w:ascii="Times New Roman" w:hAnsi="Times New Roman" w:cs="Times New Roman"/>
              </w:rPr>
            </w:pPr>
            <w:r w:rsidRPr="00553CEA">
              <w:rPr>
                <w:rFonts w:ascii="Times New Roman" w:hAnsi="Times New Roman" w:cs="Times New Roman"/>
                <w:bCs/>
              </w:rPr>
              <w:t xml:space="preserve">Smluvní strany vzájemně </w:t>
            </w:r>
            <w:r w:rsidR="00CC374D">
              <w:rPr>
                <w:rFonts w:ascii="Times New Roman" w:hAnsi="Times New Roman" w:cs="Times New Roman"/>
                <w:bCs/>
              </w:rPr>
              <w:t xml:space="preserve">mezi sebou </w:t>
            </w:r>
            <w:r w:rsidRPr="00553CEA">
              <w:rPr>
                <w:rFonts w:ascii="Times New Roman" w:hAnsi="Times New Roman" w:cs="Times New Roman"/>
                <w:bCs/>
              </w:rPr>
              <w:t xml:space="preserve">uzavřely Smlouvy o sdružených službách dodávky elektřiny </w:t>
            </w:r>
            <w:r w:rsidR="009D0930">
              <w:rPr>
                <w:rFonts w:ascii="Times New Roman" w:hAnsi="Times New Roman" w:cs="Times New Roman"/>
                <w:bCs/>
              </w:rPr>
              <w:t>ve znění platných dodatků Smlouvy</w:t>
            </w:r>
            <w:r w:rsidRPr="00553CEA">
              <w:rPr>
                <w:rFonts w:ascii="Times New Roman" w:hAnsi="Times New Roman" w:cs="Times New Roman"/>
                <w:bCs/>
              </w:rPr>
              <w:t>.</w:t>
            </w:r>
            <w:r w:rsidR="009D0930">
              <w:rPr>
                <w:rFonts w:ascii="Times New Roman" w:hAnsi="Times New Roman" w:cs="Times New Roman"/>
                <w:bCs/>
              </w:rPr>
              <w:t xml:space="preserve"> </w:t>
            </w:r>
            <w:r w:rsidR="009D0930" w:rsidRPr="00553CEA">
              <w:rPr>
                <w:rFonts w:ascii="Times New Roman" w:hAnsi="Times New Roman" w:cs="Times New Roman"/>
                <w:bCs/>
              </w:rPr>
              <w:t>(dále jen „Smlouvy“)</w:t>
            </w:r>
            <w:r w:rsidR="009D0930">
              <w:rPr>
                <w:rFonts w:ascii="Times New Roman" w:hAnsi="Times New Roman" w:cs="Times New Roman"/>
                <w:bCs/>
              </w:rPr>
              <w:t xml:space="preserve">. Identifikace těchto platných a účinných Smluv je </w:t>
            </w:r>
            <w:r w:rsidR="00CC374D">
              <w:rPr>
                <w:rFonts w:ascii="Times New Roman" w:hAnsi="Times New Roman" w:cs="Times New Roman"/>
                <w:bCs/>
              </w:rPr>
              <w:t>P</w:t>
            </w:r>
            <w:r w:rsidR="009D0930">
              <w:rPr>
                <w:rFonts w:ascii="Times New Roman" w:hAnsi="Times New Roman" w:cs="Times New Roman"/>
                <w:bCs/>
              </w:rPr>
              <w:t>řílohou č. 1 této Dohody</w:t>
            </w:r>
            <w:r w:rsidR="00745AA4">
              <w:rPr>
                <w:rFonts w:ascii="Times New Roman" w:hAnsi="Times New Roman" w:cs="Times New Roman"/>
                <w:bCs/>
              </w:rPr>
              <w:t>.</w:t>
            </w:r>
            <w:r w:rsidRPr="00553CEA">
              <w:rPr>
                <w:rFonts w:ascii="Times New Roman" w:hAnsi="Times New Roman" w:cs="Times New Roman"/>
                <w:bCs/>
              </w:rPr>
              <w:t xml:space="preserve"> </w:t>
            </w:r>
            <w:r w:rsidR="009D0930">
              <w:rPr>
                <w:rFonts w:ascii="Times New Roman" w:hAnsi="Times New Roman" w:cs="Times New Roman"/>
                <w:bCs/>
              </w:rPr>
              <w:t>Vzhledem ke skuteč</w:t>
            </w:r>
            <w:r w:rsidR="00CC374D">
              <w:rPr>
                <w:rFonts w:ascii="Times New Roman" w:hAnsi="Times New Roman" w:cs="Times New Roman"/>
                <w:bCs/>
              </w:rPr>
              <w:t>nosti, že ve Smlouvách uvedenou cenu elektřiny pro sjednanou sazbu</w:t>
            </w:r>
            <w:r w:rsidR="00133011">
              <w:rPr>
                <w:rFonts w:ascii="Times New Roman" w:hAnsi="Times New Roman" w:cs="Times New Roman"/>
                <w:bCs/>
              </w:rPr>
              <w:t>/cenu sjednaného produktu</w:t>
            </w:r>
            <w:r w:rsidR="00CC374D">
              <w:rPr>
                <w:rFonts w:ascii="Times New Roman" w:hAnsi="Times New Roman" w:cs="Times New Roman"/>
                <w:bCs/>
              </w:rPr>
              <w:t>, může dodavatel změnit v souladu s Obchodními podmínkami dodávky, na které se jednotlivé Smlouvy odkazují, dohodly se smluvní strany na uzavření této Dohody, kterou dochází k úpravě ceny elektřiny pro sjednanou sazbu</w:t>
            </w:r>
            <w:r w:rsidR="00133011">
              <w:rPr>
                <w:rFonts w:ascii="Times New Roman" w:hAnsi="Times New Roman" w:cs="Times New Roman"/>
                <w:bCs/>
              </w:rPr>
              <w:t>/cenu sjednaného produktu</w:t>
            </w:r>
            <w:r w:rsidR="00CC374D">
              <w:rPr>
                <w:rFonts w:ascii="Times New Roman" w:hAnsi="Times New Roman" w:cs="Times New Roman"/>
                <w:bCs/>
              </w:rPr>
              <w:t xml:space="preserve"> pro veškeré platné Smlouvy, které mezi sebou smluvní strany uzavřel</w:t>
            </w:r>
            <w:r w:rsidR="006E44F4">
              <w:rPr>
                <w:rFonts w:ascii="Times New Roman" w:hAnsi="Times New Roman" w:cs="Times New Roman"/>
                <w:bCs/>
              </w:rPr>
              <w:t>y</w:t>
            </w:r>
            <w:r w:rsidR="00CC374D">
              <w:rPr>
                <w:rFonts w:ascii="Times New Roman" w:hAnsi="Times New Roman" w:cs="Times New Roman"/>
                <w:bCs/>
              </w:rPr>
              <w:t xml:space="preserve"> a které jsou uvedeny v Příloze č. 1 této Dohody.</w:t>
            </w:r>
          </w:p>
          <w:p w:rsidR="00307321" w:rsidRDefault="00307321" w:rsidP="00D82EB9">
            <w:pPr>
              <w:pStyle w:val="Zkladntext"/>
              <w:spacing w:before="240"/>
              <w:ind w:left="357" w:right="9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A75A9" w:rsidRDefault="001A75A9" w:rsidP="006B26D2">
      <w:pPr>
        <w:pStyle w:val="Zkladntext"/>
        <w:rPr>
          <w:rFonts w:ascii="Times New Roman" w:hAnsi="Times New Roman" w:cs="Times New Roman"/>
          <w:b/>
          <w:bCs/>
        </w:rPr>
      </w:pPr>
    </w:p>
    <w:p w:rsidR="00307321" w:rsidRDefault="00307321" w:rsidP="005B6C4E">
      <w:pPr>
        <w:jc w:val="center"/>
        <w:rPr>
          <w:b/>
          <w:bCs/>
        </w:rPr>
      </w:pPr>
      <w:r>
        <w:rPr>
          <w:b/>
          <w:bCs/>
        </w:rPr>
        <w:lastRenderedPageBreak/>
        <w:t>III. P</w:t>
      </w:r>
      <w:r w:rsidR="00790D86">
        <w:rPr>
          <w:b/>
          <w:bCs/>
        </w:rPr>
        <w:t>ředmět</w:t>
      </w:r>
      <w:r w:rsidR="009D0930">
        <w:rPr>
          <w:b/>
          <w:bCs/>
        </w:rPr>
        <w:t xml:space="preserve"> </w:t>
      </w:r>
      <w:r w:rsidR="00CC374D">
        <w:rPr>
          <w:b/>
          <w:bCs/>
        </w:rPr>
        <w:t>Dohody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709"/>
      </w:tblGrid>
      <w:tr w:rsidR="00307321">
        <w:tc>
          <w:tcPr>
            <w:tcW w:w="9709" w:type="dxa"/>
          </w:tcPr>
          <w:p w:rsidR="00133011" w:rsidRDefault="00133011" w:rsidP="00243DB9">
            <w:pPr>
              <w:pStyle w:val="Zkladntext"/>
              <w:numPr>
                <w:ilvl w:val="0"/>
                <w:numId w:val="2"/>
              </w:numPr>
              <w:spacing w:before="240"/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Smluvní strany se dohodly na změně </w:t>
            </w:r>
            <w:r>
              <w:rPr>
                <w:rFonts w:ascii="Times New Roman" w:hAnsi="Times New Roman" w:cs="Times New Roman"/>
                <w:bCs/>
              </w:rPr>
              <w:t>cenových ujednání týkajících se ceny elektřiny pro sjednanou sazbu/cenu sjednaného produktu pro veškeré platné Smlouvy, které mezi sebou smluvní strany uzavřely a které jsou uvedeny v Příloze č. 1 této Dohody, takto:</w:t>
            </w:r>
          </w:p>
          <w:p w:rsidR="00DC29F7" w:rsidRPr="00CB79E3" w:rsidRDefault="00790D86" w:rsidP="009A6CED">
            <w:pPr>
              <w:pStyle w:val="Zkladntext"/>
              <w:numPr>
                <w:ilvl w:val="0"/>
                <w:numId w:val="2"/>
              </w:numPr>
              <w:spacing w:before="240"/>
              <w:ind w:left="357" w:hanging="3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CB79E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Článku</w:t>
            </w:r>
            <w:r w:rsidRPr="00CB79E3">
              <w:rPr>
                <w:rFonts w:ascii="Times New Roman" w:hAnsi="Times New Roman" w:cs="Times New Roman"/>
              </w:rPr>
              <w:t xml:space="preserve"> </w:t>
            </w:r>
            <w:r w:rsidR="00B312B3" w:rsidRPr="00CB79E3">
              <w:rPr>
                <w:rFonts w:ascii="Times New Roman" w:hAnsi="Times New Roman" w:cs="Times New Roman"/>
              </w:rPr>
              <w:t>týkající</w:t>
            </w:r>
            <w:r w:rsidR="00CB79E3">
              <w:rPr>
                <w:rFonts w:ascii="Times New Roman" w:hAnsi="Times New Roman" w:cs="Times New Roman"/>
              </w:rPr>
              <w:t>ho</w:t>
            </w:r>
            <w:r w:rsidR="00B312B3" w:rsidRPr="00CB79E3">
              <w:rPr>
                <w:rFonts w:ascii="Times New Roman" w:hAnsi="Times New Roman" w:cs="Times New Roman"/>
              </w:rPr>
              <w:t xml:space="preserve"> se ceny (čl. </w:t>
            </w:r>
            <w:r w:rsidRPr="00CB79E3">
              <w:rPr>
                <w:rFonts w:ascii="Times New Roman" w:hAnsi="Times New Roman" w:cs="Times New Roman"/>
              </w:rPr>
              <w:t>V. Cena</w:t>
            </w:r>
            <w:r w:rsidR="00B312B3" w:rsidRPr="00CB79E3">
              <w:rPr>
                <w:rFonts w:ascii="Times New Roman" w:hAnsi="Times New Roman" w:cs="Times New Roman"/>
              </w:rPr>
              <w:t>)</w:t>
            </w:r>
            <w:r w:rsidRPr="00CB79E3">
              <w:rPr>
                <w:rFonts w:ascii="Times New Roman" w:hAnsi="Times New Roman" w:cs="Times New Roman"/>
              </w:rPr>
              <w:t xml:space="preserve"> </w:t>
            </w:r>
            <w:r w:rsidR="00133011" w:rsidRPr="00CB79E3">
              <w:rPr>
                <w:rFonts w:ascii="Times New Roman" w:hAnsi="Times New Roman" w:cs="Times New Roman"/>
              </w:rPr>
              <w:t xml:space="preserve"> u </w:t>
            </w:r>
            <w:r w:rsidR="00F2638D" w:rsidRPr="00CB79E3">
              <w:rPr>
                <w:rFonts w:ascii="Times New Roman" w:hAnsi="Times New Roman" w:cs="Times New Roman"/>
              </w:rPr>
              <w:t>Smluv</w:t>
            </w:r>
            <w:r w:rsidR="00133011" w:rsidRPr="00CB79E3">
              <w:rPr>
                <w:rFonts w:ascii="Times New Roman" w:hAnsi="Times New Roman" w:cs="Times New Roman"/>
              </w:rPr>
              <w:t xml:space="preserve"> dle Přílohy č. 1</w:t>
            </w:r>
            <w:r w:rsidR="00CB79E3">
              <w:rPr>
                <w:rFonts w:ascii="Times New Roman" w:hAnsi="Times New Roman" w:cs="Times New Roman"/>
              </w:rPr>
              <w:t xml:space="preserve"> </w:t>
            </w:r>
            <w:r w:rsidRPr="00CB79E3">
              <w:rPr>
                <w:rFonts w:ascii="Times New Roman" w:hAnsi="Times New Roman" w:cs="Times New Roman"/>
              </w:rPr>
              <w:t xml:space="preserve">se </w:t>
            </w:r>
            <w:r w:rsidR="000C5773" w:rsidRPr="00CB79E3">
              <w:rPr>
                <w:rFonts w:ascii="Times New Roman" w:hAnsi="Times New Roman" w:cs="Times New Roman"/>
              </w:rPr>
              <w:t>pro uvedený</w:t>
            </w:r>
            <w:r w:rsidRPr="00CB79E3">
              <w:rPr>
                <w:rFonts w:ascii="Times New Roman" w:hAnsi="Times New Roman" w:cs="Times New Roman"/>
              </w:rPr>
              <w:t xml:space="preserve"> sjednan</w:t>
            </w:r>
            <w:r w:rsidR="000C5773" w:rsidRPr="00CB79E3">
              <w:rPr>
                <w:rFonts w:ascii="Times New Roman" w:hAnsi="Times New Roman" w:cs="Times New Roman"/>
              </w:rPr>
              <w:t>ý</w:t>
            </w:r>
            <w:r w:rsidRPr="00CB79E3">
              <w:rPr>
                <w:rFonts w:ascii="Times New Roman" w:hAnsi="Times New Roman" w:cs="Times New Roman"/>
              </w:rPr>
              <w:t xml:space="preserve"> produkt</w:t>
            </w:r>
            <w:r w:rsidR="000C5773" w:rsidRPr="00CB79E3">
              <w:rPr>
                <w:rFonts w:ascii="Times New Roman" w:hAnsi="Times New Roman" w:cs="Times New Roman"/>
              </w:rPr>
              <w:t xml:space="preserve"> </w:t>
            </w:r>
            <w:r w:rsidR="00B312B3" w:rsidRPr="00CB79E3">
              <w:rPr>
                <w:rFonts w:ascii="Times New Roman" w:hAnsi="Times New Roman" w:cs="Times New Roman"/>
              </w:rPr>
              <w:t>s</w:t>
            </w:r>
            <w:r w:rsidR="00F01D97" w:rsidRPr="00CB79E3">
              <w:rPr>
                <w:rFonts w:ascii="Times New Roman" w:hAnsi="Times New Roman" w:cs="Times New Roman"/>
              </w:rPr>
              <w:t>ilová elektřina</w:t>
            </w:r>
            <w:r w:rsidR="00746B4C" w:rsidRPr="00CB79E3">
              <w:rPr>
                <w:rFonts w:ascii="Times New Roman" w:hAnsi="Times New Roman" w:cs="Times New Roman"/>
              </w:rPr>
              <w:t xml:space="preserve"> </w:t>
            </w:r>
            <w:r w:rsidR="00F01D97" w:rsidRPr="00CB79E3">
              <w:rPr>
                <w:rFonts w:ascii="Times New Roman" w:hAnsi="Times New Roman" w:cs="Times New Roman"/>
              </w:rPr>
              <w:t xml:space="preserve">SŽDC </w:t>
            </w:r>
            <w:r w:rsidR="000C5773" w:rsidRPr="00CB79E3">
              <w:rPr>
                <w:rFonts w:ascii="Times New Roman" w:hAnsi="Times New Roman" w:cs="Times New Roman"/>
              </w:rPr>
              <w:t>rozumí následující ceny silové elektřiny a stálých platů</w:t>
            </w:r>
            <w:r w:rsidR="00950E7F" w:rsidRPr="00CB79E3">
              <w:rPr>
                <w:rFonts w:ascii="Times New Roman" w:hAnsi="Times New Roman" w:cs="Times New Roman"/>
              </w:rPr>
              <w:t>:</w:t>
            </w:r>
            <w:r w:rsidR="000C5773" w:rsidRPr="00CB79E3">
              <w:rPr>
                <w:rFonts w:ascii="Times New Roman" w:hAnsi="Times New Roman" w:cs="Times New Roman"/>
              </w:rPr>
              <w:br/>
            </w:r>
          </w:p>
          <w:tbl>
            <w:tblPr>
              <w:tblW w:w="9150" w:type="dxa"/>
              <w:tblInd w:w="21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78"/>
              <w:gridCol w:w="1682"/>
              <w:gridCol w:w="1682"/>
              <w:gridCol w:w="1254"/>
              <w:gridCol w:w="1254"/>
            </w:tblGrid>
            <w:tr w:rsidR="00DC29F7" w:rsidRPr="00DC29F7" w:rsidTr="006F12C2">
              <w:trPr>
                <w:trHeight w:val="504"/>
              </w:trPr>
              <w:tc>
                <w:tcPr>
                  <w:tcW w:w="32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29F7" w:rsidRPr="00DC29F7" w:rsidRDefault="00DC29F7" w:rsidP="00DC29F7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Produkt - Modrá energie SŽDC</w:t>
                  </w:r>
                </w:p>
              </w:tc>
              <w:tc>
                <w:tcPr>
                  <w:tcW w:w="16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Distribuční </w:t>
                  </w:r>
                </w:p>
              </w:tc>
              <w:tc>
                <w:tcPr>
                  <w:tcW w:w="1682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St. plat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VT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NT</w:t>
                  </w:r>
                </w:p>
              </w:tc>
            </w:tr>
            <w:tr w:rsidR="00DC29F7" w:rsidRPr="00DC29F7" w:rsidTr="006F12C2">
              <w:trPr>
                <w:trHeight w:val="267"/>
              </w:trPr>
              <w:tc>
                <w:tcPr>
                  <w:tcW w:w="32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sazba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Kč/</w:t>
                  </w:r>
                  <w:proofErr w:type="spellStart"/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měs</w:t>
                  </w:r>
                  <w:proofErr w:type="spellEnd"/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/OM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Kč/</w:t>
                  </w:r>
                  <w:proofErr w:type="spellStart"/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MWh</w:t>
                  </w:r>
                  <w:proofErr w:type="spellEnd"/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Kč/</w:t>
                  </w:r>
                  <w:proofErr w:type="spellStart"/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MWh</w:t>
                  </w:r>
                  <w:proofErr w:type="spellEnd"/>
                </w:p>
              </w:tc>
            </w:tr>
            <w:tr w:rsidR="00DC29F7" w:rsidRPr="00DC29F7" w:rsidTr="006F12C2">
              <w:trPr>
                <w:trHeight w:val="267"/>
              </w:trPr>
              <w:tc>
                <w:tcPr>
                  <w:tcW w:w="32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C01d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CFFCC"/>
                  <w:noWrap/>
                  <w:vAlign w:val="center"/>
                  <w:hideMark/>
                </w:tcPr>
                <w:p w:rsidR="00DC29F7" w:rsidRPr="00DC29F7" w:rsidRDefault="00D01C00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XXX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center"/>
                  <w:hideMark/>
                </w:tcPr>
                <w:p w:rsidR="00DC29F7" w:rsidRPr="00DC29F7" w:rsidRDefault="00D01C00" w:rsidP="00FE17B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XXX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center"/>
                  <w:hideMark/>
                </w:tcPr>
                <w:p w:rsidR="00DC29F7" w:rsidRPr="00DC29F7" w:rsidRDefault="00D01C00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XXX</w:t>
                  </w:r>
                </w:p>
              </w:tc>
            </w:tr>
            <w:tr w:rsidR="00DC29F7" w:rsidRPr="00DC29F7" w:rsidTr="006F12C2">
              <w:trPr>
                <w:trHeight w:val="267"/>
              </w:trPr>
              <w:tc>
                <w:tcPr>
                  <w:tcW w:w="32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Standard SŽDC_S2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C02d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FFCC"/>
                  <w:noWrap/>
                  <w:vAlign w:val="center"/>
                  <w:hideMark/>
                </w:tcPr>
                <w:p w:rsidR="00DC29F7" w:rsidRPr="00DC29F7" w:rsidRDefault="00D01C00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XXX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center"/>
                  <w:hideMark/>
                </w:tcPr>
                <w:p w:rsidR="00DC29F7" w:rsidRPr="00DC29F7" w:rsidRDefault="00D01C00" w:rsidP="00FE17B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XXX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center"/>
                  <w:hideMark/>
                </w:tcPr>
                <w:p w:rsidR="00DC29F7" w:rsidRPr="00DC29F7" w:rsidRDefault="00D01C00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XXX</w:t>
                  </w:r>
                </w:p>
              </w:tc>
            </w:tr>
            <w:tr w:rsidR="00DC29F7" w:rsidRPr="00DC29F7" w:rsidTr="006F12C2">
              <w:trPr>
                <w:trHeight w:val="267"/>
              </w:trPr>
              <w:tc>
                <w:tcPr>
                  <w:tcW w:w="32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6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C03d</w:t>
                  </w:r>
                </w:p>
              </w:tc>
              <w:tc>
                <w:tcPr>
                  <w:tcW w:w="16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CCFFCC"/>
                  <w:noWrap/>
                  <w:vAlign w:val="center"/>
                  <w:hideMark/>
                </w:tcPr>
                <w:p w:rsidR="00DC29F7" w:rsidRPr="00DC29F7" w:rsidRDefault="00D01C00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XXX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center"/>
                  <w:hideMark/>
                </w:tcPr>
                <w:p w:rsidR="00DC29F7" w:rsidRPr="00DC29F7" w:rsidRDefault="00D01C00" w:rsidP="00FE17B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XXX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center"/>
                  <w:hideMark/>
                </w:tcPr>
                <w:p w:rsidR="00DC29F7" w:rsidRPr="00DC29F7" w:rsidRDefault="00D01C00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XXX</w:t>
                  </w:r>
                </w:p>
              </w:tc>
            </w:tr>
            <w:tr w:rsidR="00DC29F7" w:rsidRPr="00DC29F7" w:rsidTr="006F12C2">
              <w:trPr>
                <w:trHeight w:val="267"/>
              </w:trPr>
              <w:tc>
                <w:tcPr>
                  <w:tcW w:w="32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Akumulace 8 SŽDC_S2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C25d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center"/>
                  <w:hideMark/>
                </w:tcPr>
                <w:p w:rsidR="00DC29F7" w:rsidRPr="00DC29F7" w:rsidRDefault="00D01C00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XXX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center"/>
                  <w:hideMark/>
                </w:tcPr>
                <w:p w:rsidR="00DC29F7" w:rsidRPr="00DC29F7" w:rsidRDefault="00D01C00" w:rsidP="00FE17B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XXX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center"/>
                  <w:hideMark/>
                </w:tcPr>
                <w:p w:rsidR="00DC29F7" w:rsidRPr="00DC29F7" w:rsidRDefault="00D01C00" w:rsidP="00FE17B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XXX</w:t>
                  </w:r>
                </w:p>
              </w:tc>
            </w:tr>
            <w:tr w:rsidR="00DC29F7" w:rsidRPr="00DC29F7" w:rsidTr="006F12C2">
              <w:trPr>
                <w:trHeight w:val="267"/>
              </w:trPr>
              <w:tc>
                <w:tcPr>
                  <w:tcW w:w="32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Přímotop SŽDC_S2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29F7" w:rsidRPr="00DC29F7" w:rsidRDefault="00DC29F7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29F7">
                    <w:rPr>
                      <w:rFonts w:ascii="Arial" w:hAnsi="Arial" w:cs="Arial"/>
                      <w:b/>
                      <w:bCs/>
                      <w:color w:val="000000"/>
                    </w:rPr>
                    <w:t>C45d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center"/>
                  <w:hideMark/>
                </w:tcPr>
                <w:p w:rsidR="00DC29F7" w:rsidRPr="00DC29F7" w:rsidRDefault="00D01C00" w:rsidP="00DC29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XXX</w:t>
                  </w:r>
                  <w:bookmarkStart w:id="7" w:name="_GoBack"/>
                  <w:bookmarkEnd w:id="7"/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center"/>
                  <w:hideMark/>
                </w:tcPr>
                <w:p w:rsidR="00DC29F7" w:rsidRPr="00DC29F7" w:rsidRDefault="00D01C00" w:rsidP="00FE17B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XXX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center"/>
                  <w:hideMark/>
                </w:tcPr>
                <w:p w:rsidR="00DC29F7" w:rsidRPr="00DC29F7" w:rsidRDefault="00D01C00" w:rsidP="00FE17B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XXX</w:t>
                  </w:r>
                </w:p>
              </w:tc>
            </w:tr>
          </w:tbl>
          <w:p w:rsidR="00307321" w:rsidRDefault="00307321" w:rsidP="00DC29F7">
            <w:pPr>
              <w:pStyle w:val="Zkladntext"/>
              <w:spacing w:before="240"/>
              <w:ind w:left="357"/>
              <w:jc w:val="left"/>
              <w:rPr>
                <w:rFonts w:ascii="Times New Roman" w:hAnsi="Times New Roman" w:cs="Times New Roman"/>
              </w:rPr>
            </w:pPr>
          </w:p>
          <w:p w:rsidR="00317EC6" w:rsidRPr="00317EC6" w:rsidRDefault="000C5773" w:rsidP="00446CE0">
            <w:pPr>
              <w:pStyle w:val="Zkladntext"/>
              <w:numPr>
                <w:ilvl w:val="0"/>
                <w:numId w:val="2"/>
              </w:numPr>
              <w:spacing w:after="240"/>
              <w:ind w:left="357" w:right="96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Uvedené ceny silové elektřiny Dodavatel nebude měnit v souladu s Obchodními podmínkami dodávky elektřiny, uvedené ceny jsou platné pro dodávky elektřiny do </w:t>
            </w:r>
            <w:r w:rsidR="00A62D5B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</w:t>
            </w:r>
            <w:r w:rsidR="00ED6F2B">
              <w:rPr>
                <w:rFonts w:ascii="Times New Roman" w:hAnsi="Times New Roman" w:cs="Times New Roman"/>
              </w:rPr>
              <w:t xml:space="preserve"> </w:t>
            </w:r>
            <w:r w:rsidR="00A62D5B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="00ED6F2B">
              <w:rPr>
                <w:rFonts w:ascii="Times New Roman" w:hAnsi="Times New Roman" w:cs="Times New Roman"/>
              </w:rPr>
              <w:t xml:space="preserve"> </w:t>
            </w:r>
            <w:r w:rsidR="00F61AB3">
              <w:rPr>
                <w:rFonts w:ascii="Times New Roman" w:hAnsi="Times New Roman" w:cs="Times New Roman"/>
              </w:rPr>
              <w:t>20</w:t>
            </w:r>
            <w:r w:rsidR="00FE17B9">
              <w:rPr>
                <w:rFonts w:ascii="Times New Roman" w:hAnsi="Times New Roman" w:cs="Times New Roman"/>
              </w:rPr>
              <w:t>20</w:t>
            </w:r>
            <w:r w:rsidR="00F2638D">
              <w:rPr>
                <w:rFonts w:ascii="Times New Roman" w:hAnsi="Times New Roman" w:cs="Times New Roman"/>
              </w:rPr>
              <w:t>.</w:t>
            </w:r>
          </w:p>
          <w:p w:rsidR="00B312B3" w:rsidRDefault="00B312B3" w:rsidP="00446CE0">
            <w:pPr>
              <w:pStyle w:val="Zkladntext"/>
              <w:numPr>
                <w:ilvl w:val="0"/>
                <w:numId w:val="2"/>
              </w:numPr>
              <w:spacing w:before="240"/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Smluvní strany se dohodly na změně </w:t>
            </w:r>
            <w:r>
              <w:rPr>
                <w:rFonts w:ascii="Times New Roman" w:hAnsi="Times New Roman" w:cs="Times New Roman"/>
                <w:bCs/>
              </w:rPr>
              <w:t>Doby platnosti u jednotlivých Smluv (čl. VIII Doba platnosti smlouvy) pro veškeré platné Smlouvy, které mezi sebou smluvní strany uzavřely a které jsou uvedeny v Příloze č. 1 této Dohody, takto:</w:t>
            </w:r>
          </w:p>
          <w:p w:rsidR="00307321" w:rsidRPr="00446CE0" w:rsidRDefault="000C5773" w:rsidP="00446CE0">
            <w:pPr>
              <w:pStyle w:val="Zkladntext"/>
              <w:numPr>
                <w:ilvl w:val="0"/>
                <w:numId w:val="2"/>
              </w:numPr>
              <w:spacing w:after="240"/>
              <w:ind w:left="357" w:right="97" w:hanging="357"/>
              <w:jc w:val="both"/>
              <w:rPr>
                <w:rFonts w:ascii="Times New Roman" w:hAnsi="Times New Roman" w:cs="Times New Roman"/>
              </w:rPr>
            </w:pPr>
            <w:r w:rsidRPr="00446CE0">
              <w:rPr>
                <w:rFonts w:ascii="Times New Roman" w:hAnsi="Times New Roman" w:cs="Times New Roman"/>
                <w:bCs/>
              </w:rPr>
              <w:t>Smlouvy se uzavírají na dobu určitou od 1.</w:t>
            </w:r>
            <w:r w:rsidR="00ED6F2B" w:rsidRPr="00446CE0">
              <w:rPr>
                <w:rFonts w:ascii="Times New Roman" w:hAnsi="Times New Roman" w:cs="Times New Roman"/>
                <w:bCs/>
              </w:rPr>
              <w:t xml:space="preserve"> </w:t>
            </w:r>
            <w:r w:rsidR="00A62D5B" w:rsidRPr="00446CE0">
              <w:rPr>
                <w:rFonts w:ascii="Times New Roman" w:hAnsi="Times New Roman" w:cs="Times New Roman"/>
                <w:bCs/>
              </w:rPr>
              <w:t>1</w:t>
            </w:r>
            <w:r w:rsidRPr="00446CE0">
              <w:rPr>
                <w:rFonts w:ascii="Times New Roman" w:hAnsi="Times New Roman" w:cs="Times New Roman"/>
                <w:bCs/>
              </w:rPr>
              <w:t>.</w:t>
            </w:r>
            <w:r w:rsidR="00ED6F2B" w:rsidRPr="00446CE0">
              <w:rPr>
                <w:rFonts w:ascii="Times New Roman" w:hAnsi="Times New Roman" w:cs="Times New Roman"/>
                <w:bCs/>
              </w:rPr>
              <w:t xml:space="preserve"> </w:t>
            </w:r>
            <w:r w:rsidR="00FE17B9">
              <w:rPr>
                <w:rFonts w:ascii="Times New Roman" w:hAnsi="Times New Roman" w:cs="Times New Roman"/>
                <w:bCs/>
              </w:rPr>
              <w:t>2020</w:t>
            </w:r>
            <w:r w:rsidRPr="00446CE0">
              <w:rPr>
                <w:rFonts w:ascii="Times New Roman" w:hAnsi="Times New Roman" w:cs="Times New Roman"/>
                <w:bCs/>
              </w:rPr>
              <w:t xml:space="preserve"> do 3</w:t>
            </w:r>
            <w:r w:rsidR="00A62D5B" w:rsidRPr="00446CE0">
              <w:rPr>
                <w:rFonts w:ascii="Times New Roman" w:hAnsi="Times New Roman" w:cs="Times New Roman"/>
                <w:bCs/>
              </w:rPr>
              <w:t>1</w:t>
            </w:r>
            <w:r w:rsidRPr="00446CE0">
              <w:rPr>
                <w:rFonts w:ascii="Times New Roman" w:hAnsi="Times New Roman" w:cs="Times New Roman"/>
                <w:bCs/>
              </w:rPr>
              <w:t>.</w:t>
            </w:r>
            <w:r w:rsidR="00ED6F2B" w:rsidRPr="00446CE0">
              <w:rPr>
                <w:rFonts w:ascii="Times New Roman" w:hAnsi="Times New Roman" w:cs="Times New Roman"/>
                <w:bCs/>
              </w:rPr>
              <w:t xml:space="preserve"> </w:t>
            </w:r>
            <w:r w:rsidR="00A62D5B" w:rsidRPr="00446CE0">
              <w:rPr>
                <w:rFonts w:ascii="Times New Roman" w:hAnsi="Times New Roman" w:cs="Times New Roman"/>
                <w:bCs/>
              </w:rPr>
              <w:t>12</w:t>
            </w:r>
            <w:r w:rsidRPr="00446CE0">
              <w:rPr>
                <w:rFonts w:ascii="Times New Roman" w:hAnsi="Times New Roman" w:cs="Times New Roman"/>
                <w:bCs/>
              </w:rPr>
              <w:t>.</w:t>
            </w:r>
            <w:r w:rsidR="00ED6F2B" w:rsidRPr="00446CE0">
              <w:rPr>
                <w:rFonts w:ascii="Times New Roman" w:hAnsi="Times New Roman" w:cs="Times New Roman"/>
                <w:bCs/>
              </w:rPr>
              <w:t xml:space="preserve"> </w:t>
            </w:r>
            <w:r w:rsidRPr="00446CE0">
              <w:rPr>
                <w:rFonts w:ascii="Times New Roman" w:hAnsi="Times New Roman" w:cs="Times New Roman"/>
                <w:bCs/>
              </w:rPr>
              <w:t>20</w:t>
            </w:r>
            <w:r w:rsidR="00FE17B9">
              <w:rPr>
                <w:rFonts w:ascii="Times New Roman" w:hAnsi="Times New Roman" w:cs="Times New Roman"/>
                <w:bCs/>
              </w:rPr>
              <w:t>20</w:t>
            </w:r>
            <w:r w:rsidR="00950E7F" w:rsidRPr="00446CE0">
              <w:rPr>
                <w:rFonts w:ascii="Times New Roman" w:hAnsi="Times New Roman" w:cs="Times New Roman"/>
                <w:bCs/>
              </w:rPr>
              <w:t>.</w:t>
            </w:r>
          </w:p>
          <w:p w:rsidR="00950E7F" w:rsidRPr="00317EC6" w:rsidRDefault="00950E7F" w:rsidP="00D658D5">
            <w:pPr>
              <w:pStyle w:val="Zkladntext"/>
              <w:spacing w:after="240"/>
              <w:ind w:right="9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7321" w:rsidRDefault="00307321">
      <w:pPr>
        <w:pStyle w:val="Zkladntext"/>
        <w:rPr>
          <w:rFonts w:ascii="Times New Roman" w:hAnsi="Times New Roman" w:cs="Times New Roman"/>
          <w:b/>
          <w:bCs/>
        </w:rPr>
      </w:pPr>
    </w:p>
    <w:p w:rsidR="00307321" w:rsidRDefault="00307321">
      <w:pPr>
        <w:pStyle w:val="Zkladn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F71456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. Zvláštní ujednání</w:t>
      </w: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307321">
        <w:tc>
          <w:tcPr>
            <w:tcW w:w="97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1456" w:rsidRDefault="00F71456" w:rsidP="00FE17B9">
            <w:pPr>
              <w:pStyle w:val="Zkladntext"/>
              <w:jc w:val="left"/>
              <w:rPr>
                <w:rFonts w:ascii="Times New Roman" w:hAnsi="Times New Roman" w:cs="Times New Roman"/>
              </w:rPr>
            </w:pPr>
          </w:p>
          <w:p w:rsidR="00307321" w:rsidRDefault="0091450F" w:rsidP="00FE17B9">
            <w:pPr>
              <w:pStyle w:val="Zkladntext"/>
              <w:ind w:left="426" w:hanging="42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Ujednání vyplývající z této Dohody pro jednotlivé Smlouvy dle Přílohy č. 1</w:t>
            </w:r>
            <w:r w:rsidR="00FE17B9">
              <w:rPr>
                <w:rFonts w:ascii="Times New Roman" w:hAnsi="Times New Roman" w:cs="Times New Roman"/>
              </w:rPr>
              <w:t xml:space="preserve"> </w:t>
            </w:r>
            <w:r w:rsidR="00520F1C">
              <w:rPr>
                <w:rFonts w:ascii="Times New Roman" w:hAnsi="Times New Roman" w:cs="Times New Roman"/>
              </w:rPr>
              <w:t>jsou nadřazeny</w:t>
            </w:r>
            <w:bookmarkStart w:id="8" w:name="platne_od"/>
            <w:r w:rsidR="00FE17B9">
              <w:rPr>
                <w:rFonts w:ascii="Times New Roman" w:hAnsi="Times New Roman" w:cs="Times New Roman"/>
              </w:rPr>
              <w:t xml:space="preserve"> </w:t>
            </w:r>
            <w:r w:rsidR="00307321">
              <w:rPr>
                <w:rFonts w:ascii="Times New Roman" w:hAnsi="Times New Roman" w:cs="Times New Roman"/>
                <w:b/>
                <w:bCs/>
              </w:rPr>
              <w:t>Obchodní</w:t>
            </w:r>
            <w:r w:rsidR="00A77616">
              <w:rPr>
                <w:rFonts w:ascii="Times New Roman" w:hAnsi="Times New Roman" w:cs="Times New Roman"/>
                <w:b/>
                <w:bCs/>
              </w:rPr>
              <w:t>m</w:t>
            </w:r>
            <w:r w:rsidR="00FE17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07321">
              <w:rPr>
                <w:rFonts w:ascii="Times New Roman" w:hAnsi="Times New Roman" w:cs="Times New Roman"/>
                <w:b/>
                <w:bCs/>
              </w:rPr>
              <w:t>podmínk</w:t>
            </w:r>
            <w:r w:rsidR="00520F1C">
              <w:rPr>
                <w:rFonts w:ascii="Times New Roman" w:hAnsi="Times New Roman" w:cs="Times New Roman"/>
                <w:b/>
                <w:bCs/>
              </w:rPr>
              <w:t>á</w:t>
            </w:r>
            <w:r w:rsidR="00A77616">
              <w:rPr>
                <w:rFonts w:ascii="Times New Roman" w:hAnsi="Times New Roman" w:cs="Times New Roman"/>
                <w:b/>
                <w:bCs/>
              </w:rPr>
              <w:t>m</w:t>
            </w:r>
            <w:r w:rsidR="00FE17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07321">
              <w:rPr>
                <w:rFonts w:ascii="Times New Roman" w:hAnsi="Times New Roman" w:cs="Times New Roman"/>
                <w:b/>
                <w:bCs/>
              </w:rPr>
              <w:t xml:space="preserve">dodávky elektřiny z </w:t>
            </w:r>
            <w:proofErr w:type="spellStart"/>
            <w:r w:rsidR="00307321">
              <w:rPr>
                <w:rFonts w:ascii="Times New Roman" w:hAnsi="Times New Roman" w:cs="Times New Roman"/>
                <w:b/>
                <w:bCs/>
              </w:rPr>
              <w:t>LDSž</w:t>
            </w:r>
            <w:proofErr w:type="spellEnd"/>
            <w:r w:rsidR="00307321">
              <w:rPr>
                <w:rFonts w:ascii="Times New Roman" w:hAnsi="Times New Roman" w:cs="Times New Roman"/>
              </w:rPr>
              <w:t xml:space="preserve"> v platném znění</w:t>
            </w:r>
            <w:bookmarkEnd w:id="8"/>
            <w:r w:rsidR="00A77616">
              <w:rPr>
                <w:rFonts w:ascii="Times New Roman" w:hAnsi="Times New Roman" w:cs="Times New Roman"/>
              </w:rPr>
              <w:t xml:space="preserve">, </w:t>
            </w:r>
            <w:r w:rsidR="00520F1C">
              <w:rPr>
                <w:rFonts w:ascii="Times New Roman" w:hAnsi="Times New Roman" w:cs="Times New Roman"/>
              </w:rPr>
              <w:t>pokud jsou s nimi v</w:t>
            </w:r>
            <w:r w:rsidR="00950E7F">
              <w:rPr>
                <w:rFonts w:ascii="Times New Roman" w:hAnsi="Times New Roman" w:cs="Times New Roman"/>
              </w:rPr>
              <w:t> </w:t>
            </w:r>
            <w:r w:rsidR="00520F1C">
              <w:rPr>
                <w:rFonts w:ascii="Times New Roman" w:hAnsi="Times New Roman" w:cs="Times New Roman"/>
              </w:rPr>
              <w:t>rozporu</w:t>
            </w:r>
            <w:r w:rsidR="00950E7F">
              <w:rPr>
                <w:rFonts w:ascii="Times New Roman" w:hAnsi="Times New Roman" w:cs="Times New Roman"/>
              </w:rPr>
              <w:t>.</w:t>
            </w:r>
          </w:p>
          <w:p w:rsidR="00317EC6" w:rsidRDefault="00317EC6" w:rsidP="00FE17B9">
            <w:pPr>
              <w:pStyle w:val="Zkladntext"/>
              <w:jc w:val="left"/>
              <w:rPr>
                <w:rFonts w:ascii="Times New Roman" w:hAnsi="Times New Roman" w:cs="Times New Roman"/>
              </w:rPr>
            </w:pPr>
          </w:p>
          <w:p w:rsidR="00307321" w:rsidRDefault="00307321" w:rsidP="005B6C4E">
            <w:pPr>
              <w:pStyle w:val="Zkladntext"/>
              <w:ind w:right="98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307321" w:rsidRDefault="00307321">
      <w:pPr>
        <w:pStyle w:val="Zkladntext"/>
        <w:rPr>
          <w:rFonts w:ascii="Times New Roman" w:hAnsi="Times New Roman" w:cs="Times New Roman"/>
          <w:b/>
          <w:bCs/>
        </w:rPr>
      </w:pPr>
    </w:p>
    <w:p w:rsidR="001A75A9" w:rsidRDefault="001A75A9">
      <w:pPr>
        <w:pStyle w:val="Zkladntext"/>
        <w:rPr>
          <w:rFonts w:ascii="Times New Roman" w:hAnsi="Times New Roman" w:cs="Times New Roman"/>
          <w:b/>
          <w:bCs/>
        </w:rPr>
      </w:pPr>
    </w:p>
    <w:p w:rsidR="00307321" w:rsidRDefault="00307321">
      <w:pPr>
        <w:pStyle w:val="Zkladn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V. </w:t>
      </w:r>
      <w:r w:rsidR="00A77616">
        <w:rPr>
          <w:rFonts w:ascii="Times New Roman" w:hAnsi="Times New Roman" w:cs="Times New Roman"/>
          <w:b/>
          <w:bCs/>
        </w:rPr>
        <w:t>Závěrečná ujednání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07321">
        <w:tc>
          <w:tcPr>
            <w:tcW w:w="9709" w:type="dxa"/>
            <w:vAlign w:val="center"/>
          </w:tcPr>
          <w:p w:rsidR="007E3F3A" w:rsidRDefault="007E3F3A" w:rsidP="00766879">
            <w:pPr>
              <w:tabs>
                <w:tab w:val="left" w:pos="2835"/>
                <w:tab w:val="left" w:pos="4253"/>
                <w:tab w:val="left" w:pos="6804"/>
                <w:tab w:val="left" w:pos="7200"/>
              </w:tabs>
            </w:pPr>
            <w:bookmarkStart w:id="9" w:name="urc"/>
          </w:p>
          <w:bookmarkEnd w:id="9"/>
          <w:p w:rsidR="0091450F" w:rsidRPr="00B7245E" w:rsidRDefault="0091450F" w:rsidP="00863687">
            <w:pPr>
              <w:pStyle w:val="Odstavecseseznamem"/>
              <w:numPr>
                <w:ilvl w:val="0"/>
                <w:numId w:val="7"/>
              </w:numPr>
              <w:spacing w:before="120" w:line="276" w:lineRule="auto"/>
              <w:jc w:val="both"/>
            </w:pPr>
            <w:r>
              <w:t>Tato Dohoda</w:t>
            </w:r>
            <w:r w:rsidRPr="005B6C4E">
              <w:t xml:space="preserve"> představuje úplnou dohodu smluvních stran o předmětu této </w:t>
            </w:r>
            <w:r>
              <w:t>Dohody</w:t>
            </w:r>
            <w:r w:rsidRPr="005B6C4E">
              <w:t xml:space="preserve">. </w:t>
            </w:r>
            <w:r>
              <w:t>Dohodu</w:t>
            </w:r>
            <w:r w:rsidRPr="005B6C4E">
              <w:t xml:space="preserve"> lze měnit nebo doplňovat jen oboustranně odsouhlasenými písemnými dodatky podepsanými oprávněnými zástupci obou smluvních stran.</w:t>
            </w:r>
            <w:r w:rsidRPr="00863687">
              <w:t xml:space="preserve"> </w:t>
            </w:r>
          </w:p>
          <w:p w:rsidR="00DD22D0" w:rsidRPr="00EC5BF5" w:rsidRDefault="00DD22D0" w:rsidP="00DD22D0">
            <w:pPr>
              <w:pStyle w:val="Odstavecseseznamem"/>
              <w:numPr>
                <w:ilvl w:val="0"/>
                <w:numId w:val="7"/>
              </w:numPr>
              <w:spacing w:before="120" w:line="276" w:lineRule="auto"/>
              <w:jc w:val="both"/>
            </w:pPr>
            <w:r w:rsidRPr="00EC5BF5">
              <w:t>Smluvní s</w:t>
            </w:r>
            <w:r>
              <w:t>trany berou na vědomí, že tato Dohoda</w:t>
            </w:r>
            <w:r w:rsidRPr="00EC5BF5">
              <w:t xml:space="preserve"> podléhá uveřejnění v registru smluv podle zákona č. 340/2015 Sb., o zvláštních podmínkách účinnosti některých smluv, uveřejňování těchto smluv a o registru smluv, ve znění pozdějších předpisů (dále jen „ZRS“), a současně souhlasí se zveřejněním údajů o identifikaci s</w:t>
            </w:r>
            <w:r>
              <w:t>mluvních stran, předmětu Dohody</w:t>
            </w:r>
            <w:r w:rsidRPr="00EC5BF5">
              <w:t>, jeho ceně či hod</w:t>
            </w:r>
            <w:r>
              <w:t>notě a datu uzavření této dohody</w:t>
            </w:r>
            <w:r w:rsidRPr="00EC5BF5">
              <w:t>.</w:t>
            </w:r>
          </w:p>
          <w:p w:rsidR="00DD22D0" w:rsidRPr="00EC5BF5" w:rsidRDefault="00DD22D0" w:rsidP="00DD22D0">
            <w:pPr>
              <w:pStyle w:val="Odstavecseseznamem"/>
              <w:numPr>
                <w:ilvl w:val="0"/>
                <w:numId w:val="7"/>
              </w:numPr>
              <w:spacing w:before="120" w:line="276" w:lineRule="auto"/>
              <w:jc w:val="both"/>
            </w:pPr>
            <w:r>
              <w:t>Zaslání dohody</w:t>
            </w:r>
            <w:r w:rsidRPr="00EC5BF5">
              <w:t xml:space="preserve"> správci registru smluv k uveřejnění v registru smlu</w:t>
            </w:r>
            <w:r>
              <w:t>v zajišťuje obvykle D</w:t>
            </w:r>
            <w:r w:rsidRPr="00EC5BF5">
              <w:t>odavatel. Nebude-</w:t>
            </w:r>
            <w:r>
              <w:t xml:space="preserve">li tato </w:t>
            </w:r>
            <w:r w:rsidR="007335BA">
              <w:t>D</w:t>
            </w:r>
            <w:r>
              <w:t>ohoda</w:t>
            </w:r>
            <w:r w:rsidRPr="00EC5BF5">
              <w:t xml:space="preserve"> zaslána k uveřejnění a/nebo uveřejněna prostřednictvím registru smluv, není žádná ze smluvních stran oprávněna požadovat po druhé smluvní straně náhradu škody ani jiné újmy, která by jí v této souvislosti vznikla nebo vzniknout mohla.</w:t>
            </w:r>
          </w:p>
          <w:p w:rsidR="00DD22D0" w:rsidRPr="00EC5BF5" w:rsidRDefault="00DD22D0" w:rsidP="00DD22D0">
            <w:pPr>
              <w:pStyle w:val="Odstavecseseznamem"/>
              <w:numPr>
                <w:ilvl w:val="0"/>
                <w:numId w:val="7"/>
              </w:numPr>
              <w:spacing w:before="120" w:line="276" w:lineRule="auto"/>
              <w:jc w:val="both"/>
            </w:pPr>
            <w:r w:rsidRPr="00EC5BF5">
              <w:t>Smluvní strany výslovně prohlašují, že údaje a další sk</w:t>
            </w:r>
            <w:r>
              <w:t xml:space="preserve">utečnosti uvedené v této </w:t>
            </w:r>
            <w:r w:rsidR="00FF79F2">
              <w:t>D</w:t>
            </w:r>
            <w:r>
              <w:t>ohodě</w:t>
            </w:r>
            <w:r w:rsidRPr="00EC5BF5">
              <w:t>, vyjma částí označených ve smyslu nás</w:t>
            </w:r>
            <w:r>
              <w:t xml:space="preserve">ledujícího odstavce této </w:t>
            </w:r>
            <w:r w:rsidR="00FF79F2">
              <w:t>D</w:t>
            </w:r>
            <w:r>
              <w:t>ohody</w:t>
            </w:r>
            <w:r w:rsidRPr="00EC5BF5">
              <w:t xml:space="preserve">, nepovažují za obchodní tajemství ve smyslu ustanovení § 504 zákona č. 89/2012 Sb., občanský zákoník, ve znění pozdějších předpisů (dále jen „obchodní tajemství“), a že se nejedná ani o informace, které nemohou být v registru smluv uveřejněny na základě </w:t>
            </w:r>
            <w:proofErr w:type="spellStart"/>
            <w:r w:rsidRPr="00EC5BF5">
              <w:t>ust</w:t>
            </w:r>
            <w:proofErr w:type="spellEnd"/>
            <w:r w:rsidRPr="00EC5BF5">
              <w:t>. § 3 odst. 1 ZRS.</w:t>
            </w:r>
          </w:p>
          <w:p w:rsidR="009A6CED" w:rsidRPr="009A6CED" w:rsidRDefault="00DD22D0" w:rsidP="009A6CED">
            <w:pPr>
              <w:pStyle w:val="Odstavecseseznamem"/>
              <w:numPr>
                <w:ilvl w:val="0"/>
                <w:numId w:val="7"/>
              </w:numPr>
              <w:spacing w:before="120" w:line="276" w:lineRule="auto"/>
              <w:jc w:val="both"/>
            </w:pPr>
            <w:r w:rsidRPr="00EC5BF5">
              <w:t>Jestliže smluvní strana označí za své obchod</w:t>
            </w:r>
            <w:r w:rsidR="00FF79F2">
              <w:t>ní tajemství část obsahu Dohody</w:t>
            </w:r>
            <w:r w:rsidRPr="00EC5BF5">
              <w:t>, která v důsledku toho b</w:t>
            </w:r>
            <w:r>
              <w:t xml:space="preserve">ude pro účely uveřejnění </w:t>
            </w:r>
            <w:r w:rsidR="00FF79F2">
              <w:t>D</w:t>
            </w:r>
            <w:r>
              <w:t>ohody</w:t>
            </w:r>
            <w:r w:rsidRPr="00EC5BF5">
              <w:t xml:space="preserve"> v registru smluv znečitelněna, nese tato smluvní strana odpovědnost, pokud by </w:t>
            </w:r>
            <w:r w:rsidR="00AB1B64">
              <w:t>D</w:t>
            </w:r>
            <w:r>
              <w:t>ohoda</w:t>
            </w:r>
            <w:r w:rsidRPr="00EC5BF5">
              <w:t xml:space="preserve"> v důsledku takového označení byla uveřejněna způsobem odporujícím ZRS, a to bez ohledu na to, která ze stran smlouvu v registru sm</w:t>
            </w:r>
            <w:r>
              <w:t xml:space="preserve">luv uveřejnila. S částmi </w:t>
            </w:r>
            <w:r w:rsidR="00AB1B64">
              <w:t>D</w:t>
            </w:r>
            <w:r>
              <w:t>ohody</w:t>
            </w:r>
            <w:r w:rsidRPr="00EC5BF5">
              <w:t>, které druhá smluvní strana neoznačí za své obchodní tajemství před uza</w:t>
            </w:r>
            <w:r>
              <w:t xml:space="preserve">vřením této </w:t>
            </w:r>
            <w:r w:rsidR="00AB1B64">
              <w:t>D</w:t>
            </w:r>
            <w:r>
              <w:t>oho</w:t>
            </w:r>
            <w:r w:rsidR="00AB1B64">
              <w:t>d</w:t>
            </w:r>
            <w:r>
              <w:t>y, nebude D</w:t>
            </w:r>
            <w:r w:rsidRPr="00EC5BF5">
              <w:t xml:space="preserve">odavatel jako s obchodním tajemstvím nakládat a ani odpovídat </w:t>
            </w:r>
            <w:r w:rsidRPr="00EC5BF5">
              <w:lastRenderedPageBreak/>
              <w:t>za případnou škodu či jinou újmu takovým postupem vzniklou. Označením obchodního tajemství ve smyslu předchozí věty se rozumí doručení písemného oz</w:t>
            </w:r>
            <w:r>
              <w:t>námení druhé smluvní strany D</w:t>
            </w:r>
            <w:r w:rsidRPr="00EC5BF5">
              <w:t>odavateli obsahujícího přesnou iden</w:t>
            </w:r>
            <w:r w:rsidR="00B5601C">
              <w:t xml:space="preserve">tifikaci dotčených částí </w:t>
            </w:r>
            <w:r w:rsidR="00E24164">
              <w:t>D</w:t>
            </w:r>
            <w:r w:rsidR="00B5601C">
              <w:t>ohody</w:t>
            </w:r>
            <w:r w:rsidRPr="00EC5BF5">
              <w:t xml:space="preserve"> včetně odůvodnění, proč jsou za obchodní tajemství považovány. Druhá smluvní strana je povinna výslovně uvést, že informace, které označila jako své obchodní tajemství, naplňují </w:t>
            </w:r>
            <w:r w:rsidRPr="009A6CED">
              <w:t>současně všechny definiční znaky obchodního tajemství, tak jak je vymezeno v ustanovení § 504 občanského zákoníku, a zavazuje se neprodleně písemně sdělit</w:t>
            </w:r>
            <w:r w:rsidR="00B5601C" w:rsidRPr="009A6CED">
              <w:t xml:space="preserve"> D</w:t>
            </w:r>
            <w:r w:rsidRPr="009A6CED">
              <w:t>odavateli skutečnost, že takto označené informace přestaly naplňovat znaky obchodního tajemství.</w:t>
            </w:r>
          </w:p>
          <w:p w:rsidR="009A6CED" w:rsidRPr="00863687" w:rsidRDefault="00F93291" w:rsidP="009A6CED">
            <w:pPr>
              <w:pStyle w:val="Odstavecseseznamem"/>
              <w:numPr>
                <w:ilvl w:val="0"/>
                <w:numId w:val="7"/>
              </w:numPr>
              <w:spacing w:before="120" w:line="276" w:lineRule="auto"/>
              <w:jc w:val="both"/>
            </w:pPr>
            <w:r w:rsidRPr="009A6CED">
              <w:t>Dodavatel, pro účely zpracování žádosti/smlouvy, shromažďuje, zpracovává a uchovává osobní údaje Zákazníka – fyzické osoby, a to zejména</w:t>
            </w:r>
            <w:r w:rsidRPr="00100C2B">
              <w:t xml:space="preserve"> jméno, příjmení, akademický titul, pobyt (trvalý / přechodný), datum narození a popř. číslo bankovního účtu. Osobní údaje subjektu údajů jsou zpracovávány v souladu s Nařízením Evropského parlamentu a Rady (EU) 2016/679 ze dne 27. dubna 2016 o ochraně fyzických osob v souvislosti se zpracováním osobních údajů a o volném pohybu těchto údajů (GDPR) a o zrušení směrnice 95/46/ES (obecné nařízení o ochraně osobních údajů). Osobní údaje budou pro </w:t>
            </w:r>
            <w:r w:rsidRPr="00863687">
              <w:t>Dodavatele</w:t>
            </w:r>
            <w:r w:rsidRPr="00100C2B">
              <w:t xml:space="preserve"> dále zpracovávat zpracovatelé poskytující služby obsluhy </w:t>
            </w:r>
            <w:r w:rsidRPr="00863687">
              <w:t>Zákazníků</w:t>
            </w:r>
            <w:r w:rsidRPr="00100C2B">
              <w:t xml:space="preserve"> na základě řádně uzavřených zpracovatelských smluv. Kompletní seznam zpracovatelů bude SŽE na požádání </w:t>
            </w:r>
            <w:r w:rsidRPr="00863687">
              <w:t xml:space="preserve">Zákazníkovi </w:t>
            </w:r>
            <w:r w:rsidRPr="00100C2B">
              <w:t xml:space="preserve">poskytnut. Bližší informace týkající se zpracování osobních údajů naleznete na internetových stránkách </w:t>
            </w:r>
            <w:hyperlink r:id="rId9" w:history="1">
              <w:r w:rsidRPr="00863687">
                <w:t>www.szdc.cz/o-nas/zpracovani-osobnich-udaju.html</w:t>
              </w:r>
            </w:hyperlink>
            <w:r w:rsidRPr="00100C2B">
              <w:t>, příp. mohou být subjektu údajů na základě žádosti poskytnuty.</w:t>
            </w:r>
          </w:p>
          <w:p w:rsidR="009A6CED" w:rsidRDefault="00B5601C" w:rsidP="009A6CED">
            <w:pPr>
              <w:pStyle w:val="Odstavecseseznamem"/>
              <w:numPr>
                <w:ilvl w:val="0"/>
                <w:numId w:val="7"/>
              </w:numPr>
              <w:spacing w:before="120" w:line="276" w:lineRule="auto"/>
              <w:jc w:val="both"/>
            </w:pPr>
            <w:r w:rsidRPr="009A6CED">
              <w:t>Osoby uzavírající tuto Dohodu</w:t>
            </w:r>
            <w:r w:rsidR="00DD22D0" w:rsidRPr="009A6CED">
              <w:t xml:space="preserve"> za smluvní strany souhlasí s uveřejněním svých osobních údajů, které jsou uvedeny v</w:t>
            </w:r>
            <w:r w:rsidRPr="009A6CED">
              <w:t> </w:t>
            </w:r>
            <w:r w:rsidR="00DD22D0" w:rsidRPr="009A6CED">
              <w:t>této</w:t>
            </w:r>
            <w:r w:rsidRPr="009A6CED">
              <w:t xml:space="preserve"> Dohodě, spolu s Dohodou</w:t>
            </w:r>
            <w:r w:rsidR="00DD22D0" w:rsidRPr="009A6CED">
              <w:t xml:space="preserve"> v registru smluv. Tento souhlas je udělen na dobu neurčitou.</w:t>
            </w:r>
          </w:p>
          <w:p w:rsidR="0091450F" w:rsidRPr="009A6CED" w:rsidRDefault="0091450F" w:rsidP="009A6CED">
            <w:pPr>
              <w:pStyle w:val="Odstavecseseznamem"/>
              <w:numPr>
                <w:ilvl w:val="0"/>
                <w:numId w:val="7"/>
              </w:numPr>
              <w:spacing w:before="120" w:line="276" w:lineRule="auto"/>
              <w:jc w:val="both"/>
            </w:pPr>
            <w:r w:rsidRPr="009A6CED">
              <w:t>Práva a povinnosti smluvních stran výslovně v této Dohodě neupravená se řídí příslušnými ustanoveními zákona č. 89/2012 Sb., občanský zákoník.</w:t>
            </w:r>
          </w:p>
          <w:p w:rsidR="0091450F" w:rsidRPr="005B6C4E" w:rsidRDefault="0091450F" w:rsidP="00DD22D0">
            <w:pPr>
              <w:pStyle w:val="Zkladntext"/>
              <w:numPr>
                <w:ilvl w:val="0"/>
                <w:numId w:val="7"/>
              </w:numPr>
              <w:ind w:right="71"/>
              <w:jc w:val="both"/>
              <w:rPr>
                <w:rFonts w:ascii="Times New Roman" w:hAnsi="Times New Roman" w:cs="Times New Roman"/>
              </w:rPr>
            </w:pPr>
            <w:r w:rsidRPr="005B6C4E">
              <w:rPr>
                <w:rFonts w:ascii="Times New Roman" w:hAnsi="Times New Roman" w:cs="Times New Roman"/>
              </w:rPr>
              <w:t xml:space="preserve">Případné obchodní zvyklosti, týkající se plnění této </w:t>
            </w:r>
            <w:r>
              <w:rPr>
                <w:rFonts w:ascii="Times New Roman" w:hAnsi="Times New Roman" w:cs="Times New Roman"/>
              </w:rPr>
              <w:t>Dohody</w:t>
            </w:r>
            <w:r w:rsidRPr="005B6C4E">
              <w:rPr>
                <w:rFonts w:ascii="Times New Roman" w:hAnsi="Times New Roman" w:cs="Times New Roman"/>
              </w:rPr>
              <w:t xml:space="preserve"> nemají přednost před ujednáními v této </w:t>
            </w:r>
            <w:r>
              <w:rPr>
                <w:rFonts w:ascii="Times New Roman" w:hAnsi="Times New Roman" w:cs="Times New Roman"/>
              </w:rPr>
              <w:t>Dohodě</w:t>
            </w:r>
            <w:r w:rsidRPr="005B6C4E">
              <w:rPr>
                <w:rFonts w:ascii="Times New Roman" w:hAnsi="Times New Roman" w:cs="Times New Roman"/>
              </w:rPr>
              <w:t>, ani před ustanoveními zákona, byť by tato ustanovení neměla donucující účinky.</w:t>
            </w:r>
          </w:p>
          <w:p w:rsidR="0091450F" w:rsidRPr="009A6CED" w:rsidRDefault="0091450F" w:rsidP="00DD22D0">
            <w:pPr>
              <w:pStyle w:val="Zkladntext"/>
              <w:numPr>
                <w:ilvl w:val="0"/>
                <w:numId w:val="7"/>
              </w:numPr>
              <w:ind w:right="71"/>
              <w:jc w:val="both"/>
              <w:rPr>
                <w:rFonts w:ascii="Times New Roman" w:hAnsi="Times New Roman" w:cs="Times New Roman"/>
              </w:rPr>
            </w:pPr>
            <w:r w:rsidRPr="009A6CED">
              <w:rPr>
                <w:rFonts w:ascii="Times New Roman" w:hAnsi="Times New Roman" w:cs="Times New Roman"/>
              </w:rPr>
              <w:t>Nevynutitelnost nebo neplatnost kteréhokoli ustanovení této Dohody neovlivní vynutitelnost nebo platnost jejích ostatních ujednání. V případě, že kterékoli ujednání této Dohody by mělo z jakéhokoli důvodu pozbýt platnosti (zejména z důvodu rozporu s aplikovatelnými zákony a ostatními právními normami), smluvní strany se zavazují k nahrazení takového neplatného nebo nevynutitelného ujednání ujednáním novým, které bude nejblíže odpovídat jeho účelu a smyslu.</w:t>
            </w:r>
          </w:p>
          <w:p w:rsidR="0091450F" w:rsidRPr="00504A53" w:rsidRDefault="0091450F" w:rsidP="00243DB9">
            <w:pPr>
              <w:pStyle w:val="Zkladntext"/>
              <w:numPr>
                <w:ilvl w:val="0"/>
                <w:numId w:val="7"/>
              </w:numPr>
              <w:ind w:right="71"/>
              <w:jc w:val="both"/>
              <w:rPr>
                <w:rFonts w:ascii="Times New Roman" w:hAnsi="Times New Roman" w:cs="Times New Roman"/>
                <w:bCs/>
              </w:rPr>
            </w:pPr>
            <w:r w:rsidRPr="00504A53">
              <w:rPr>
                <w:rFonts w:ascii="Times New Roman" w:hAnsi="Times New Roman" w:cs="Times New Roman"/>
                <w:bCs/>
              </w:rPr>
              <w:t>Nedílnou součástí této Dohody je tato příloha:</w:t>
            </w:r>
            <w:r w:rsidR="00243DB9" w:rsidRPr="00504A53">
              <w:rPr>
                <w:rFonts w:ascii="Times New Roman" w:hAnsi="Times New Roman" w:cs="Times New Roman"/>
                <w:bCs/>
              </w:rPr>
              <w:t xml:space="preserve"> </w:t>
            </w:r>
            <w:r w:rsidRPr="00504A53">
              <w:rPr>
                <w:rFonts w:ascii="Times New Roman" w:hAnsi="Times New Roman" w:cs="Times New Roman"/>
                <w:bCs/>
              </w:rPr>
              <w:t>Příloha č. 1</w:t>
            </w:r>
            <w:r w:rsidR="00504A53">
              <w:rPr>
                <w:rFonts w:ascii="Times New Roman" w:hAnsi="Times New Roman" w:cs="Times New Roman"/>
                <w:bCs/>
              </w:rPr>
              <w:t xml:space="preserve"> -</w:t>
            </w:r>
            <w:r w:rsidR="00DE4681" w:rsidRPr="00504A53">
              <w:rPr>
                <w:rFonts w:ascii="Times New Roman" w:hAnsi="Times New Roman" w:cs="Times New Roman"/>
                <w:bCs/>
              </w:rPr>
              <w:t xml:space="preserve"> </w:t>
            </w:r>
            <w:r w:rsidRPr="00504A53">
              <w:rPr>
                <w:rFonts w:ascii="Times New Roman" w:hAnsi="Times New Roman" w:cs="Times New Roman"/>
                <w:bCs/>
              </w:rPr>
              <w:t>plat</w:t>
            </w:r>
            <w:r w:rsidR="006E44F4" w:rsidRPr="00504A53">
              <w:rPr>
                <w:rFonts w:ascii="Times New Roman" w:hAnsi="Times New Roman" w:cs="Times New Roman"/>
                <w:bCs/>
              </w:rPr>
              <w:t>n</w:t>
            </w:r>
            <w:r w:rsidRPr="00504A53">
              <w:rPr>
                <w:rFonts w:ascii="Times New Roman" w:hAnsi="Times New Roman" w:cs="Times New Roman"/>
                <w:bCs/>
              </w:rPr>
              <w:t xml:space="preserve">é </w:t>
            </w:r>
            <w:r w:rsidRPr="00504A53">
              <w:rPr>
                <w:rFonts w:ascii="Times New Roman" w:hAnsi="Times New Roman" w:cs="Times New Roman"/>
                <w:b/>
                <w:bCs/>
              </w:rPr>
              <w:t>Smlouvy o</w:t>
            </w:r>
            <w:r w:rsidRPr="00504A53">
              <w:rPr>
                <w:rFonts w:ascii="Times New Roman" w:hAnsi="Times New Roman" w:cs="Times New Roman"/>
              </w:rPr>
              <w:t xml:space="preserve"> </w:t>
            </w:r>
            <w:r w:rsidRPr="00504A53">
              <w:rPr>
                <w:rFonts w:ascii="Times New Roman" w:hAnsi="Times New Roman" w:cs="Times New Roman"/>
                <w:b/>
                <w:bCs/>
              </w:rPr>
              <w:t>sdružených službách dodávky elektřiny</w:t>
            </w:r>
            <w:r w:rsidR="006B26D2" w:rsidRPr="00504A53">
              <w:rPr>
                <w:rFonts w:ascii="Times New Roman" w:hAnsi="Times New Roman" w:cs="Times New Roman"/>
                <w:bCs/>
              </w:rPr>
              <w:t>, uzavřené mezi smluvními stranami</w:t>
            </w:r>
            <w:r w:rsidR="00504A53">
              <w:rPr>
                <w:rFonts w:ascii="Times New Roman" w:hAnsi="Times New Roman" w:cs="Times New Roman"/>
                <w:bCs/>
              </w:rPr>
              <w:t>.</w:t>
            </w:r>
          </w:p>
          <w:p w:rsidR="0091450F" w:rsidRDefault="0091450F" w:rsidP="00DD22D0">
            <w:pPr>
              <w:pStyle w:val="Zkladntext"/>
              <w:numPr>
                <w:ilvl w:val="0"/>
                <w:numId w:val="7"/>
              </w:numPr>
              <w:ind w:right="71"/>
              <w:jc w:val="both"/>
              <w:rPr>
                <w:rFonts w:ascii="Times New Roman" w:hAnsi="Times New Roman" w:cs="Times New Roman"/>
              </w:rPr>
            </w:pPr>
            <w:r w:rsidRPr="005B6C4E">
              <w:rPr>
                <w:rFonts w:ascii="Times New Roman" w:hAnsi="Times New Roman" w:cs="Times New Roman"/>
              </w:rPr>
              <w:t xml:space="preserve">Smluvní strany výslovně prohlašují, že si text </w:t>
            </w:r>
            <w:r w:rsidR="006B26D2">
              <w:rPr>
                <w:rFonts w:ascii="Times New Roman" w:hAnsi="Times New Roman" w:cs="Times New Roman"/>
              </w:rPr>
              <w:t xml:space="preserve">Dohody </w:t>
            </w:r>
            <w:r w:rsidRPr="005B6C4E">
              <w:rPr>
                <w:rFonts w:ascii="Times New Roman" w:hAnsi="Times New Roman" w:cs="Times New Roman"/>
              </w:rPr>
              <w:t>důkladně přečetly, veškerým ustanovením rozumí a souhlasí s nimi, a že žádná ze smluvních stran nejedná v tísni ani za nápadně nevýhodných podmínek, což stvrzují svými vlastnoručními podpisy.</w:t>
            </w:r>
          </w:p>
          <w:p w:rsidR="0091450F" w:rsidRPr="005B6C4E" w:rsidRDefault="001A1B2E" w:rsidP="00DD22D0">
            <w:pPr>
              <w:pStyle w:val="Zkladntext"/>
              <w:numPr>
                <w:ilvl w:val="0"/>
                <w:numId w:val="7"/>
              </w:numPr>
              <w:ind w:right="71"/>
              <w:jc w:val="both"/>
              <w:rPr>
                <w:rFonts w:ascii="Times New Roman" w:hAnsi="Times New Roman" w:cs="Times New Roman"/>
              </w:rPr>
            </w:pPr>
            <w:r w:rsidRPr="0091450F">
              <w:rPr>
                <w:rFonts w:ascii="Times New Roman" w:hAnsi="Times New Roman" w:cs="Times New Roman"/>
              </w:rPr>
              <w:t>T</w:t>
            </w:r>
            <w:r w:rsidR="0091450F" w:rsidRPr="0091450F">
              <w:rPr>
                <w:rFonts w:ascii="Times New Roman" w:hAnsi="Times New Roman" w:cs="Times New Roman"/>
              </w:rPr>
              <w:t>ato</w:t>
            </w:r>
            <w:r w:rsidRPr="0091450F">
              <w:rPr>
                <w:rFonts w:ascii="Times New Roman" w:hAnsi="Times New Roman" w:cs="Times New Roman"/>
              </w:rPr>
              <w:t xml:space="preserve"> </w:t>
            </w:r>
            <w:r w:rsidR="0091450F" w:rsidRPr="0091450F">
              <w:rPr>
                <w:rFonts w:ascii="Times New Roman" w:hAnsi="Times New Roman" w:cs="Times New Roman"/>
              </w:rPr>
              <w:t xml:space="preserve">Dohoda </w:t>
            </w:r>
            <w:r w:rsidRPr="0091450F">
              <w:rPr>
                <w:rFonts w:ascii="Times New Roman" w:hAnsi="Times New Roman" w:cs="Times New Roman"/>
              </w:rPr>
              <w:t xml:space="preserve">se uzavírá na </w:t>
            </w:r>
            <w:r w:rsidR="00520F1C" w:rsidRPr="0091450F">
              <w:rPr>
                <w:rFonts w:ascii="Times New Roman" w:hAnsi="Times New Roman" w:cs="Times New Roman"/>
              </w:rPr>
              <w:t>dobu určitou</w:t>
            </w:r>
            <w:r w:rsidR="00A77616" w:rsidRPr="0091450F">
              <w:rPr>
                <w:rFonts w:ascii="Times New Roman" w:hAnsi="Times New Roman" w:cs="Times New Roman"/>
              </w:rPr>
              <w:t xml:space="preserve"> s účinností</w:t>
            </w:r>
            <w:r w:rsidR="00766879" w:rsidRPr="009145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66879" w:rsidRPr="0091450F">
              <w:rPr>
                <w:rFonts w:ascii="Times New Roman" w:hAnsi="Times New Roman" w:cs="Times New Roman"/>
              </w:rPr>
              <w:t>od</w:t>
            </w:r>
            <w:proofErr w:type="gramEnd"/>
            <w:r w:rsidR="00766879" w:rsidRPr="0091450F">
              <w:rPr>
                <w:rFonts w:ascii="Times New Roman" w:hAnsi="Times New Roman" w:cs="Times New Roman"/>
              </w:rPr>
              <w:t>:</w:t>
            </w:r>
            <w:r w:rsidR="00A77616" w:rsidRPr="009145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E17B9">
              <w:rPr>
                <w:rFonts w:ascii="Times New Roman" w:hAnsi="Times New Roman" w:cs="Times New Roman"/>
              </w:rPr>
              <w:t>1.1.2020</w:t>
            </w:r>
            <w:proofErr w:type="gramEnd"/>
            <w:r w:rsidR="00A77616" w:rsidRPr="0091450F">
              <w:rPr>
                <w:rFonts w:ascii="Times New Roman" w:hAnsi="Times New Roman" w:cs="Times New Roman"/>
              </w:rPr>
              <w:t xml:space="preserve"> </w:t>
            </w:r>
            <w:r w:rsidR="00766879" w:rsidRPr="0091450F">
              <w:rPr>
                <w:rFonts w:ascii="Times New Roman" w:hAnsi="Times New Roman" w:cs="Times New Roman"/>
              </w:rPr>
              <w:t>do:</w:t>
            </w:r>
            <w:r w:rsidR="00A77616" w:rsidRPr="009145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C29F7" w:rsidRPr="0091450F">
              <w:rPr>
                <w:rFonts w:ascii="Times New Roman" w:hAnsi="Times New Roman" w:cs="Times New Roman"/>
              </w:rPr>
              <w:t>31.12.20</w:t>
            </w:r>
            <w:r w:rsidR="00FE17B9">
              <w:rPr>
                <w:rFonts w:ascii="Times New Roman" w:hAnsi="Times New Roman" w:cs="Times New Roman"/>
              </w:rPr>
              <w:t>20</w:t>
            </w:r>
            <w:proofErr w:type="gramEnd"/>
            <w:r w:rsidR="00A77616" w:rsidRPr="0091450F">
              <w:rPr>
                <w:rFonts w:ascii="Times New Roman" w:hAnsi="Times New Roman" w:cs="Times New Roman"/>
              </w:rPr>
              <w:t xml:space="preserve"> a je platn</w:t>
            </w:r>
            <w:r w:rsidR="0091450F" w:rsidRPr="0091450F">
              <w:rPr>
                <w:rFonts w:ascii="Times New Roman" w:hAnsi="Times New Roman" w:cs="Times New Roman"/>
              </w:rPr>
              <w:t>á</w:t>
            </w:r>
            <w:r w:rsidR="005D112F">
              <w:rPr>
                <w:rFonts w:ascii="Times New Roman" w:hAnsi="Times New Roman" w:cs="Times New Roman"/>
              </w:rPr>
              <w:t xml:space="preserve"> dnem</w:t>
            </w:r>
            <w:r w:rsidR="00A77616" w:rsidRPr="0091450F">
              <w:rPr>
                <w:rFonts w:ascii="Times New Roman" w:hAnsi="Times New Roman" w:cs="Times New Roman"/>
              </w:rPr>
              <w:t xml:space="preserve"> podpisu poslední ze Smluvních stran</w:t>
            </w:r>
            <w:r w:rsidR="00066AD2" w:rsidRPr="0091450F">
              <w:rPr>
                <w:rFonts w:ascii="Times New Roman" w:hAnsi="Times New Roman" w:cs="Times New Roman"/>
              </w:rPr>
              <w:t>.</w:t>
            </w:r>
            <w:r w:rsidR="00A2548C">
              <w:rPr>
                <w:rFonts w:ascii="Times New Roman" w:hAnsi="Times New Roman" w:cs="Times New Roman"/>
              </w:rPr>
              <w:t xml:space="preserve"> Smlouva však nenabude účinnosti přede dnem uveřejnění v registru smluv dle ZRS.</w:t>
            </w:r>
          </w:p>
          <w:p w:rsidR="00A77616" w:rsidRDefault="00A77616" w:rsidP="00A77616">
            <w:pPr>
              <w:tabs>
                <w:tab w:val="left" w:pos="2835"/>
                <w:tab w:val="left" w:pos="4253"/>
                <w:tab w:val="left" w:pos="6804"/>
                <w:tab w:val="left" w:pos="7200"/>
              </w:tabs>
            </w:pPr>
          </w:p>
        </w:tc>
      </w:tr>
    </w:tbl>
    <w:p w:rsidR="00307321" w:rsidRDefault="00307321">
      <w:pPr>
        <w:pStyle w:val="Zkladntext"/>
        <w:jc w:val="left"/>
        <w:rPr>
          <w:rFonts w:ascii="Times New Roman" w:hAnsi="Times New Roman" w:cs="Times New Roman"/>
        </w:rPr>
      </w:pPr>
    </w:p>
    <w:p w:rsidR="00FE17B9" w:rsidRDefault="00FE17B9">
      <w:pPr>
        <w:pStyle w:val="Zkladntext"/>
        <w:jc w:val="left"/>
        <w:rPr>
          <w:rFonts w:ascii="Times New Roman" w:hAnsi="Times New Roman" w:cs="Times New Roman"/>
        </w:rPr>
      </w:pPr>
    </w:p>
    <w:p w:rsidR="00FE17B9" w:rsidRDefault="00FE17B9">
      <w:pPr>
        <w:pStyle w:val="Zkladntext"/>
        <w:jc w:val="left"/>
        <w:rPr>
          <w:rFonts w:ascii="Times New Roman" w:hAnsi="Times New Roman" w:cs="Times New Roman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9"/>
        <w:gridCol w:w="924"/>
        <w:gridCol w:w="4426"/>
      </w:tblGrid>
      <w:tr w:rsidR="00307321" w:rsidTr="00F24384">
        <w:trPr>
          <w:trHeight w:val="3537"/>
        </w:trPr>
        <w:tc>
          <w:tcPr>
            <w:tcW w:w="44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07321" w:rsidRDefault="00307321">
            <w:pPr>
              <w:pStyle w:val="Zkladntex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 </w:t>
            </w:r>
            <w:r w:rsidR="001A75A9">
              <w:rPr>
                <w:rFonts w:ascii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odavatele:</w:t>
            </w:r>
          </w:p>
          <w:p w:rsidR="00307321" w:rsidRDefault="00307321">
            <w:pPr>
              <w:pStyle w:val="Zkladntext"/>
              <w:jc w:val="left"/>
              <w:rPr>
                <w:rFonts w:ascii="Times New Roman" w:hAnsi="Times New Roman" w:cs="Times New Roman"/>
              </w:rPr>
            </w:pPr>
          </w:p>
          <w:p w:rsidR="00B14857" w:rsidRDefault="00B14857">
            <w:pPr>
              <w:pStyle w:val="Zkladntext"/>
              <w:tabs>
                <w:tab w:val="left" w:pos="709"/>
              </w:tabs>
              <w:jc w:val="left"/>
              <w:rPr>
                <w:rFonts w:ascii="Times New Roman" w:hAnsi="Times New Roman" w:cs="Times New Roman"/>
              </w:rPr>
            </w:pPr>
          </w:p>
          <w:p w:rsidR="00B14857" w:rsidRDefault="00B14857">
            <w:pPr>
              <w:pStyle w:val="Zkladntext"/>
              <w:tabs>
                <w:tab w:val="left" w:pos="709"/>
              </w:tabs>
              <w:jc w:val="left"/>
              <w:rPr>
                <w:rFonts w:ascii="Times New Roman" w:hAnsi="Times New Roman" w:cs="Times New Roman"/>
              </w:rPr>
            </w:pPr>
          </w:p>
          <w:p w:rsidR="00C14569" w:rsidRDefault="00C14569">
            <w:pPr>
              <w:pStyle w:val="Zkladntext"/>
              <w:tabs>
                <w:tab w:val="left" w:pos="709"/>
              </w:tabs>
              <w:jc w:val="left"/>
              <w:rPr>
                <w:rFonts w:ascii="Times New Roman" w:hAnsi="Times New Roman" w:cs="Times New Roman"/>
              </w:rPr>
            </w:pPr>
          </w:p>
          <w:p w:rsidR="00C14569" w:rsidRDefault="00C14569">
            <w:pPr>
              <w:pStyle w:val="Zkladntext"/>
              <w:tabs>
                <w:tab w:val="left" w:pos="709"/>
              </w:tabs>
              <w:jc w:val="left"/>
              <w:rPr>
                <w:rFonts w:ascii="Times New Roman" w:hAnsi="Times New Roman" w:cs="Times New Roman"/>
              </w:rPr>
            </w:pPr>
          </w:p>
          <w:p w:rsidR="00C14569" w:rsidRDefault="00C14569">
            <w:pPr>
              <w:pStyle w:val="Zkladntext"/>
              <w:tabs>
                <w:tab w:val="left" w:pos="709"/>
              </w:tabs>
              <w:jc w:val="left"/>
              <w:rPr>
                <w:rFonts w:ascii="Times New Roman" w:hAnsi="Times New Roman" w:cs="Times New Roman"/>
              </w:rPr>
            </w:pPr>
          </w:p>
          <w:p w:rsidR="00C14569" w:rsidRDefault="00C14569">
            <w:pPr>
              <w:pStyle w:val="Zkladntext"/>
              <w:tabs>
                <w:tab w:val="left" w:pos="709"/>
              </w:tabs>
              <w:jc w:val="left"/>
              <w:rPr>
                <w:rFonts w:ascii="Times New Roman" w:hAnsi="Times New Roman" w:cs="Times New Roman"/>
              </w:rPr>
            </w:pPr>
          </w:p>
          <w:p w:rsidR="00C14569" w:rsidRDefault="00C14569">
            <w:pPr>
              <w:pStyle w:val="Zkladntext"/>
              <w:tabs>
                <w:tab w:val="left" w:pos="709"/>
              </w:tabs>
              <w:jc w:val="left"/>
              <w:rPr>
                <w:rFonts w:ascii="Times New Roman" w:hAnsi="Times New Roman" w:cs="Times New Roman"/>
              </w:rPr>
            </w:pPr>
          </w:p>
          <w:p w:rsidR="00C14569" w:rsidRDefault="00C14569">
            <w:pPr>
              <w:pStyle w:val="Zkladntext"/>
              <w:tabs>
                <w:tab w:val="left" w:pos="709"/>
              </w:tabs>
              <w:jc w:val="left"/>
              <w:rPr>
                <w:rFonts w:ascii="Times New Roman" w:hAnsi="Times New Roman" w:cs="Times New Roman"/>
              </w:rPr>
            </w:pPr>
          </w:p>
          <w:p w:rsidR="00C14569" w:rsidRDefault="00C14569">
            <w:pPr>
              <w:pStyle w:val="Zkladntext"/>
              <w:tabs>
                <w:tab w:val="left" w:pos="709"/>
              </w:tabs>
              <w:jc w:val="left"/>
              <w:rPr>
                <w:rFonts w:ascii="Times New Roman" w:hAnsi="Times New Roman" w:cs="Times New Roman"/>
              </w:rPr>
            </w:pPr>
          </w:p>
          <w:p w:rsidR="00307321" w:rsidRDefault="00307321">
            <w:pPr>
              <w:pStyle w:val="Zkladntext"/>
              <w:tabs>
                <w:tab w:val="left" w:pos="709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Jméno:</w:t>
            </w:r>
            <w:r>
              <w:rPr>
                <w:rFonts w:ascii="Times New Roman" w:hAnsi="Times New Roman" w:cs="Times New Roman"/>
              </w:rPr>
              <w:tab/>
            </w:r>
            <w:r w:rsidR="00066232">
              <w:rPr>
                <w:rFonts w:ascii="Times New Roman" w:hAnsi="Times New Roman" w:cs="Times New Roman"/>
              </w:rPr>
              <w:t>Ing. Petr Vodička</w:t>
            </w:r>
          </w:p>
          <w:p w:rsidR="00307321" w:rsidRDefault="00307321">
            <w:pPr>
              <w:pStyle w:val="Zkladntext"/>
              <w:tabs>
                <w:tab w:val="left" w:pos="709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Funkce:</w:t>
            </w:r>
            <w:r>
              <w:rPr>
                <w:rFonts w:ascii="Times New Roman" w:hAnsi="Times New Roman" w:cs="Times New Roman"/>
              </w:rPr>
              <w:tab/>
            </w:r>
            <w:r w:rsidR="00066232">
              <w:rPr>
                <w:rFonts w:ascii="Times New Roman" w:hAnsi="Times New Roman" w:cs="Times New Roman"/>
              </w:rPr>
              <w:t>ředitel Správy železniční energetiky</w:t>
            </w:r>
          </w:p>
          <w:p w:rsidR="00307321" w:rsidRDefault="00307321" w:rsidP="00AC6906">
            <w:pPr>
              <w:pStyle w:val="Zkladntext"/>
              <w:tabs>
                <w:tab w:val="left" w:pos="285"/>
                <w:tab w:val="left" w:pos="2268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07321" w:rsidRDefault="00307321">
            <w:pPr>
              <w:pStyle w:val="Zkladntext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07321" w:rsidRDefault="00AE66FF">
            <w:pPr>
              <w:pStyle w:val="Zkladntext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 </w:t>
            </w:r>
            <w:r w:rsidR="001A75A9">
              <w:rPr>
                <w:rFonts w:ascii="Times New Roman" w:hAnsi="Times New Roman" w:cs="Times New Roman"/>
                <w:b/>
                <w:bCs/>
              </w:rPr>
              <w:t>Z</w:t>
            </w:r>
            <w:r w:rsidR="00307321">
              <w:rPr>
                <w:rFonts w:ascii="Times New Roman" w:hAnsi="Times New Roman" w:cs="Times New Roman"/>
                <w:b/>
                <w:bCs/>
              </w:rPr>
              <w:t>ákazníka:</w:t>
            </w:r>
          </w:p>
          <w:p w:rsidR="00307321" w:rsidRDefault="00307321">
            <w:pPr>
              <w:pStyle w:val="Zkladntext"/>
              <w:jc w:val="left"/>
              <w:rPr>
                <w:rFonts w:ascii="Times New Roman" w:hAnsi="Times New Roman" w:cs="Times New Roman"/>
              </w:rPr>
            </w:pPr>
          </w:p>
          <w:p w:rsidR="002A6487" w:rsidRDefault="002A6487">
            <w:pPr>
              <w:pStyle w:val="Zkladntext"/>
              <w:tabs>
                <w:tab w:val="left" w:pos="781"/>
              </w:tabs>
              <w:jc w:val="left"/>
              <w:rPr>
                <w:rFonts w:ascii="Times New Roman" w:hAnsi="Times New Roman" w:cs="Times New Roman"/>
              </w:rPr>
            </w:pPr>
          </w:p>
          <w:p w:rsidR="002A6487" w:rsidRDefault="002A6487">
            <w:pPr>
              <w:pStyle w:val="Zkladntext"/>
              <w:tabs>
                <w:tab w:val="left" w:pos="781"/>
              </w:tabs>
              <w:jc w:val="left"/>
              <w:rPr>
                <w:rFonts w:ascii="Times New Roman" w:hAnsi="Times New Roman" w:cs="Times New Roman"/>
              </w:rPr>
            </w:pPr>
          </w:p>
          <w:p w:rsidR="00307321" w:rsidRDefault="00307321">
            <w:pPr>
              <w:pStyle w:val="Zkladntext"/>
              <w:tabs>
                <w:tab w:val="left" w:pos="781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Jméno:</w:t>
            </w:r>
            <w:r>
              <w:rPr>
                <w:rFonts w:ascii="Times New Roman" w:hAnsi="Times New Roman" w:cs="Times New Roman"/>
              </w:rPr>
              <w:tab/>
            </w:r>
            <w:r w:rsidR="00BB16CB">
              <w:rPr>
                <w:rFonts w:ascii="Times New Roman" w:hAnsi="Times New Roman" w:cs="Times New Roman"/>
              </w:rPr>
              <w:t xml:space="preserve">Ing. </w:t>
            </w:r>
            <w:r w:rsidR="00F61AB3">
              <w:rPr>
                <w:rFonts w:ascii="Times New Roman" w:hAnsi="Times New Roman" w:cs="Times New Roman"/>
              </w:rPr>
              <w:t>David Wolski</w:t>
            </w:r>
            <w:r w:rsidR="00BB16CB">
              <w:rPr>
                <w:rFonts w:ascii="Times New Roman" w:hAnsi="Times New Roman" w:cs="Times New Roman"/>
              </w:rPr>
              <w:t xml:space="preserve"> </w:t>
            </w:r>
          </w:p>
          <w:p w:rsidR="00307321" w:rsidRDefault="00307321">
            <w:pPr>
              <w:pStyle w:val="Zkladntext"/>
              <w:tabs>
                <w:tab w:val="left" w:pos="781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Funkce:</w:t>
            </w:r>
            <w:r>
              <w:rPr>
                <w:rFonts w:ascii="Times New Roman" w:hAnsi="Times New Roman" w:cs="Times New Roman"/>
              </w:rPr>
              <w:tab/>
            </w:r>
            <w:r w:rsidR="00BB16CB">
              <w:rPr>
                <w:rFonts w:ascii="Times New Roman" w:hAnsi="Times New Roman" w:cs="Times New Roman"/>
              </w:rPr>
              <w:t>předseda představenstva</w:t>
            </w:r>
          </w:p>
          <w:p w:rsidR="00BB16CB" w:rsidRDefault="00BB16CB">
            <w:pPr>
              <w:pStyle w:val="Zkladntext"/>
              <w:tabs>
                <w:tab w:val="left" w:pos="781"/>
              </w:tabs>
              <w:jc w:val="left"/>
              <w:rPr>
                <w:rFonts w:ascii="Times New Roman" w:hAnsi="Times New Roman" w:cs="Times New Roman"/>
              </w:rPr>
            </w:pPr>
          </w:p>
          <w:p w:rsidR="00F24384" w:rsidRDefault="00F24384">
            <w:pPr>
              <w:pStyle w:val="Zkladntext"/>
              <w:tabs>
                <w:tab w:val="left" w:pos="781"/>
              </w:tabs>
              <w:jc w:val="left"/>
              <w:rPr>
                <w:rFonts w:ascii="Times New Roman" w:hAnsi="Times New Roman" w:cs="Times New Roman"/>
              </w:rPr>
            </w:pPr>
          </w:p>
          <w:p w:rsidR="00F24384" w:rsidRDefault="00F24384">
            <w:pPr>
              <w:pStyle w:val="Zkladntext"/>
              <w:tabs>
                <w:tab w:val="left" w:pos="781"/>
              </w:tabs>
              <w:jc w:val="left"/>
              <w:rPr>
                <w:rFonts w:ascii="Times New Roman" w:hAnsi="Times New Roman" w:cs="Times New Roman"/>
              </w:rPr>
            </w:pPr>
          </w:p>
          <w:p w:rsidR="00F24384" w:rsidRDefault="00F24384">
            <w:pPr>
              <w:pStyle w:val="Zkladntext"/>
              <w:tabs>
                <w:tab w:val="left" w:pos="781"/>
              </w:tabs>
              <w:jc w:val="left"/>
              <w:rPr>
                <w:rFonts w:ascii="Times New Roman" w:hAnsi="Times New Roman" w:cs="Times New Roman"/>
              </w:rPr>
            </w:pPr>
          </w:p>
          <w:p w:rsidR="007E0EE3" w:rsidRDefault="007E0EE3" w:rsidP="007E68CC">
            <w:pPr>
              <w:pStyle w:val="Zkladntext"/>
              <w:tabs>
                <w:tab w:val="left" w:pos="214"/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  <w:p w:rsidR="00307321" w:rsidRDefault="002A6487" w:rsidP="00745AA4">
            <w:pPr>
              <w:pStyle w:val="Zkladntex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Jméno:   </w:t>
            </w:r>
            <w:r w:rsidR="00B14857" w:rsidRPr="00B14857">
              <w:rPr>
                <w:rFonts w:ascii="Times New Roman" w:hAnsi="Times New Roman" w:cs="Times New Roman"/>
              </w:rPr>
              <w:t>Ing. Bruno Wertlen, Ph.D., MSc</w:t>
            </w:r>
            <w:r w:rsidR="00B14857">
              <w:rPr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</w:rPr>
              <w:br/>
              <w:t xml:space="preserve">Funkce:  </w:t>
            </w:r>
            <w:r w:rsidR="00CF0BA3" w:rsidRPr="00626ECA">
              <w:rPr>
                <w:rFonts w:ascii="Times New Roman" w:hAnsi="Times New Roman" w:cs="Times New Roman"/>
              </w:rPr>
              <w:t>člen představenstva</w:t>
            </w:r>
          </w:p>
        </w:tc>
      </w:tr>
    </w:tbl>
    <w:p w:rsidR="00307321" w:rsidRDefault="00307321"/>
    <w:p w:rsidR="00FE17B9" w:rsidRDefault="00FE17B9" w:rsidP="00FE17B9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……………………….</w:t>
      </w:r>
      <w:r>
        <w:rPr>
          <w:rFonts w:ascii="Times New Roman" w:hAnsi="Times New Roman" w:cs="Times New Roman"/>
        </w:rPr>
        <w:tab/>
        <w:t xml:space="preserve">      dne:</w:t>
      </w:r>
    </w:p>
    <w:p w:rsidR="00FE17B9" w:rsidRDefault="00FE17B9" w:rsidP="00FE17B9">
      <w:pPr>
        <w:pStyle w:val="Zkladntext"/>
        <w:jc w:val="left"/>
        <w:rPr>
          <w:rFonts w:ascii="Times New Roman" w:hAnsi="Times New Roman" w:cs="Times New Roman"/>
        </w:rPr>
      </w:pPr>
    </w:p>
    <w:p w:rsidR="00FE17B9" w:rsidRDefault="00FE17B9"/>
    <w:sectPr w:rsidR="00FE17B9">
      <w:footerReference w:type="even" r:id="rId10"/>
      <w:footerReference w:type="default" r:id="rId11"/>
      <w:pgSz w:w="11906" w:h="16838"/>
      <w:pgMar w:top="624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F2" w:rsidRDefault="002B6BF2">
      <w:r>
        <w:separator/>
      </w:r>
    </w:p>
  </w:endnote>
  <w:endnote w:type="continuationSeparator" w:id="0">
    <w:p w:rsidR="002B6BF2" w:rsidRDefault="002B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EC6" w:rsidRDefault="00317EC6">
    <w:pPr>
      <w:pStyle w:val="Zpat"/>
      <w:jc w:val="right"/>
    </w:pPr>
    <w:r>
      <w:t xml:space="preserve"> SŽE_1.1.2008</w:t>
    </w:r>
  </w:p>
  <w:p w:rsidR="00317EC6" w:rsidRDefault="00317E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EC6" w:rsidRDefault="00317EC6">
    <w:pPr>
      <w:pStyle w:val="Zpa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D01C00">
      <w:rPr>
        <w:noProof/>
      </w:rPr>
      <w:t>1</w:t>
    </w:r>
    <w:r>
      <w:fldChar w:fldCharType="end"/>
    </w:r>
    <w:r>
      <w:t xml:space="preserve"> (celkem </w:t>
    </w:r>
    <w:r w:rsidR="00D01C00">
      <w:fldChar w:fldCharType="begin"/>
    </w:r>
    <w:r w:rsidR="00D01C00">
      <w:instrText xml:space="preserve"> NUMPAGES </w:instrText>
    </w:r>
    <w:r w:rsidR="00D01C00">
      <w:fldChar w:fldCharType="separate"/>
    </w:r>
    <w:r w:rsidR="00D01C00">
      <w:rPr>
        <w:noProof/>
      </w:rPr>
      <w:t>3</w:t>
    </w:r>
    <w:r w:rsidR="00D01C00">
      <w:rPr>
        <w:noProof/>
      </w:rPr>
      <w:fldChar w:fldCharType="end"/>
    </w:r>
    <w:r>
      <w:t xml:space="preserve">)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F2" w:rsidRDefault="002B6BF2">
      <w:r>
        <w:separator/>
      </w:r>
    </w:p>
  </w:footnote>
  <w:footnote w:type="continuationSeparator" w:id="0">
    <w:p w:rsidR="002B6BF2" w:rsidRDefault="002B6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DEC"/>
    <w:multiLevelType w:val="hybridMultilevel"/>
    <w:tmpl w:val="FEB652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1443F2"/>
    <w:multiLevelType w:val="multilevel"/>
    <w:tmpl w:val="EF44B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174F775E"/>
    <w:multiLevelType w:val="hybridMultilevel"/>
    <w:tmpl w:val="24CE3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752A6"/>
    <w:multiLevelType w:val="hybridMultilevel"/>
    <w:tmpl w:val="69DA41AC"/>
    <w:lvl w:ilvl="0" w:tplc="B05402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E42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0D31B9"/>
    <w:multiLevelType w:val="hybridMultilevel"/>
    <w:tmpl w:val="A7D407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4E4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7C90D2E"/>
    <w:multiLevelType w:val="hybridMultilevel"/>
    <w:tmpl w:val="38F6B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C5"/>
    <w:rsid w:val="000003FD"/>
    <w:rsid w:val="00014157"/>
    <w:rsid w:val="00066232"/>
    <w:rsid w:val="00066AD2"/>
    <w:rsid w:val="00067259"/>
    <w:rsid w:val="000B48C5"/>
    <w:rsid w:val="000C5773"/>
    <w:rsid w:val="000D35CB"/>
    <w:rsid w:val="00100C2B"/>
    <w:rsid w:val="001313F7"/>
    <w:rsid w:val="00133011"/>
    <w:rsid w:val="0013395E"/>
    <w:rsid w:val="00134491"/>
    <w:rsid w:val="00137108"/>
    <w:rsid w:val="00172147"/>
    <w:rsid w:val="00183FE8"/>
    <w:rsid w:val="001A1B2E"/>
    <w:rsid w:val="001A75A9"/>
    <w:rsid w:val="001E5002"/>
    <w:rsid w:val="0021777C"/>
    <w:rsid w:val="00226A31"/>
    <w:rsid w:val="0024108E"/>
    <w:rsid w:val="00243DB9"/>
    <w:rsid w:val="0027041B"/>
    <w:rsid w:val="0027492A"/>
    <w:rsid w:val="00280C24"/>
    <w:rsid w:val="002A6487"/>
    <w:rsid w:val="002B6BF2"/>
    <w:rsid w:val="002D0705"/>
    <w:rsid w:val="002D3B6B"/>
    <w:rsid w:val="00307321"/>
    <w:rsid w:val="00312282"/>
    <w:rsid w:val="00317EC6"/>
    <w:rsid w:val="00326342"/>
    <w:rsid w:val="003363C4"/>
    <w:rsid w:val="00357015"/>
    <w:rsid w:val="00362EC5"/>
    <w:rsid w:val="00377F7C"/>
    <w:rsid w:val="003A4D28"/>
    <w:rsid w:val="003A51D6"/>
    <w:rsid w:val="003B42D6"/>
    <w:rsid w:val="003B66B5"/>
    <w:rsid w:val="003D7618"/>
    <w:rsid w:val="003F3FE2"/>
    <w:rsid w:val="003F4779"/>
    <w:rsid w:val="003F64F5"/>
    <w:rsid w:val="004152C6"/>
    <w:rsid w:val="00422946"/>
    <w:rsid w:val="00427909"/>
    <w:rsid w:val="00443F7D"/>
    <w:rsid w:val="00446CE0"/>
    <w:rsid w:val="004528C6"/>
    <w:rsid w:val="00461492"/>
    <w:rsid w:val="00462176"/>
    <w:rsid w:val="00496B0F"/>
    <w:rsid w:val="004A3B57"/>
    <w:rsid w:val="004A5FA7"/>
    <w:rsid w:val="004C77C7"/>
    <w:rsid w:val="004E44C6"/>
    <w:rsid w:val="00504A53"/>
    <w:rsid w:val="005134FB"/>
    <w:rsid w:val="00520F1C"/>
    <w:rsid w:val="00521C5B"/>
    <w:rsid w:val="00533EF8"/>
    <w:rsid w:val="005535E1"/>
    <w:rsid w:val="00553CEA"/>
    <w:rsid w:val="00573DD1"/>
    <w:rsid w:val="00575FCB"/>
    <w:rsid w:val="005B6C4E"/>
    <w:rsid w:val="005C49F7"/>
    <w:rsid w:val="005D112F"/>
    <w:rsid w:val="005D768F"/>
    <w:rsid w:val="005E3B93"/>
    <w:rsid w:val="00615D2D"/>
    <w:rsid w:val="00622643"/>
    <w:rsid w:val="00626ECA"/>
    <w:rsid w:val="00646D01"/>
    <w:rsid w:val="0066666C"/>
    <w:rsid w:val="00670224"/>
    <w:rsid w:val="006903EC"/>
    <w:rsid w:val="006A205A"/>
    <w:rsid w:val="006B26D2"/>
    <w:rsid w:val="006B5C6D"/>
    <w:rsid w:val="006C3253"/>
    <w:rsid w:val="006E44F4"/>
    <w:rsid w:val="006F12C2"/>
    <w:rsid w:val="006F7105"/>
    <w:rsid w:val="007063B3"/>
    <w:rsid w:val="00712641"/>
    <w:rsid w:val="0071401B"/>
    <w:rsid w:val="007335BA"/>
    <w:rsid w:val="00736A50"/>
    <w:rsid w:val="007444C0"/>
    <w:rsid w:val="00745AA4"/>
    <w:rsid w:val="00746B4C"/>
    <w:rsid w:val="007662C9"/>
    <w:rsid w:val="00766879"/>
    <w:rsid w:val="00772C89"/>
    <w:rsid w:val="00775D14"/>
    <w:rsid w:val="0078775D"/>
    <w:rsid w:val="00790D86"/>
    <w:rsid w:val="007B46BD"/>
    <w:rsid w:val="007E0ECE"/>
    <w:rsid w:val="007E0EE3"/>
    <w:rsid w:val="007E3F3A"/>
    <w:rsid w:val="007E68CC"/>
    <w:rsid w:val="00801E0A"/>
    <w:rsid w:val="008065A3"/>
    <w:rsid w:val="0081446C"/>
    <w:rsid w:val="00814F5A"/>
    <w:rsid w:val="00831854"/>
    <w:rsid w:val="00840CB5"/>
    <w:rsid w:val="00863687"/>
    <w:rsid w:val="008859FF"/>
    <w:rsid w:val="00887442"/>
    <w:rsid w:val="008C172E"/>
    <w:rsid w:val="008F48B7"/>
    <w:rsid w:val="0091450F"/>
    <w:rsid w:val="00931E0A"/>
    <w:rsid w:val="009416DA"/>
    <w:rsid w:val="00950E7F"/>
    <w:rsid w:val="00972334"/>
    <w:rsid w:val="00990BDF"/>
    <w:rsid w:val="009962F6"/>
    <w:rsid w:val="009A1D7B"/>
    <w:rsid w:val="009A2008"/>
    <w:rsid w:val="009A6CED"/>
    <w:rsid w:val="009B1221"/>
    <w:rsid w:val="009B3D6E"/>
    <w:rsid w:val="009B5C97"/>
    <w:rsid w:val="009B7A8A"/>
    <w:rsid w:val="009D0930"/>
    <w:rsid w:val="009D68EF"/>
    <w:rsid w:val="009E3577"/>
    <w:rsid w:val="009E6573"/>
    <w:rsid w:val="009F2013"/>
    <w:rsid w:val="009F5FB6"/>
    <w:rsid w:val="00A2548C"/>
    <w:rsid w:val="00A462EC"/>
    <w:rsid w:val="00A62D5B"/>
    <w:rsid w:val="00A77616"/>
    <w:rsid w:val="00AB1B64"/>
    <w:rsid w:val="00AC6906"/>
    <w:rsid w:val="00AD337D"/>
    <w:rsid w:val="00AD577D"/>
    <w:rsid w:val="00AE66FF"/>
    <w:rsid w:val="00B1224C"/>
    <w:rsid w:val="00B14857"/>
    <w:rsid w:val="00B26BB7"/>
    <w:rsid w:val="00B312B3"/>
    <w:rsid w:val="00B420EC"/>
    <w:rsid w:val="00B44857"/>
    <w:rsid w:val="00B466AE"/>
    <w:rsid w:val="00B5601C"/>
    <w:rsid w:val="00B62464"/>
    <w:rsid w:val="00B65D9C"/>
    <w:rsid w:val="00B7245E"/>
    <w:rsid w:val="00B73A4F"/>
    <w:rsid w:val="00B90B0D"/>
    <w:rsid w:val="00B90F55"/>
    <w:rsid w:val="00B953AD"/>
    <w:rsid w:val="00BA672A"/>
    <w:rsid w:val="00BB16CB"/>
    <w:rsid w:val="00BB2395"/>
    <w:rsid w:val="00BC7E6B"/>
    <w:rsid w:val="00BE1FAE"/>
    <w:rsid w:val="00C02885"/>
    <w:rsid w:val="00C03B3B"/>
    <w:rsid w:val="00C137CA"/>
    <w:rsid w:val="00C14569"/>
    <w:rsid w:val="00C1597B"/>
    <w:rsid w:val="00C179D1"/>
    <w:rsid w:val="00C215EE"/>
    <w:rsid w:val="00C24492"/>
    <w:rsid w:val="00C25A8A"/>
    <w:rsid w:val="00C36755"/>
    <w:rsid w:val="00C456B4"/>
    <w:rsid w:val="00C50A5E"/>
    <w:rsid w:val="00C752A6"/>
    <w:rsid w:val="00C82EE5"/>
    <w:rsid w:val="00C83652"/>
    <w:rsid w:val="00C900B5"/>
    <w:rsid w:val="00C9217C"/>
    <w:rsid w:val="00CB79E3"/>
    <w:rsid w:val="00CB7E12"/>
    <w:rsid w:val="00CC374D"/>
    <w:rsid w:val="00CE0090"/>
    <w:rsid w:val="00CF0BA3"/>
    <w:rsid w:val="00CF339B"/>
    <w:rsid w:val="00CF48E1"/>
    <w:rsid w:val="00CF763E"/>
    <w:rsid w:val="00D01C00"/>
    <w:rsid w:val="00D131C0"/>
    <w:rsid w:val="00D3608F"/>
    <w:rsid w:val="00D37902"/>
    <w:rsid w:val="00D44D1C"/>
    <w:rsid w:val="00D63F60"/>
    <w:rsid w:val="00D658D5"/>
    <w:rsid w:val="00D77B81"/>
    <w:rsid w:val="00D82EB9"/>
    <w:rsid w:val="00D92E59"/>
    <w:rsid w:val="00DA3A23"/>
    <w:rsid w:val="00DC0A38"/>
    <w:rsid w:val="00DC268D"/>
    <w:rsid w:val="00DC29F7"/>
    <w:rsid w:val="00DD22D0"/>
    <w:rsid w:val="00DE3A5A"/>
    <w:rsid w:val="00DE4681"/>
    <w:rsid w:val="00E14306"/>
    <w:rsid w:val="00E15626"/>
    <w:rsid w:val="00E21502"/>
    <w:rsid w:val="00E24164"/>
    <w:rsid w:val="00E42B08"/>
    <w:rsid w:val="00E540AB"/>
    <w:rsid w:val="00E62C9B"/>
    <w:rsid w:val="00EB2AB1"/>
    <w:rsid w:val="00EB55FD"/>
    <w:rsid w:val="00EB5F3A"/>
    <w:rsid w:val="00EB6D6B"/>
    <w:rsid w:val="00ED588C"/>
    <w:rsid w:val="00ED6F2B"/>
    <w:rsid w:val="00F00D49"/>
    <w:rsid w:val="00F01D97"/>
    <w:rsid w:val="00F0600D"/>
    <w:rsid w:val="00F24384"/>
    <w:rsid w:val="00F244BC"/>
    <w:rsid w:val="00F2638D"/>
    <w:rsid w:val="00F329AE"/>
    <w:rsid w:val="00F374F0"/>
    <w:rsid w:val="00F40C5F"/>
    <w:rsid w:val="00F61AB3"/>
    <w:rsid w:val="00F64DD2"/>
    <w:rsid w:val="00F71456"/>
    <w:rsid w:val="00F9032F"/>
    <w:rsid w:val="00F93291"/>
    <w:rsid w:val="00FC4513"/>
    <w:rsid w:val="00FC6FF0"/>
    <w:rsid w:val="00FD6397"/>
    <w:rsid w:val="00FE17B9"/>
    <w:rsid w:val="00FE322D"/>
    <w:rsid w:val="00FF230F"/>
    <w:rsid w:val="00FF35FB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rFonts w:ascii="Arial" w:hAnsi="Arial"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ind w:left="426"/>
      <w:textAlignment w:val="baseline"/>
    </w:pPr>
    <w:rPr>
      <w:rFonts w:ascii="Arial" w:hAnsi="Arial" w:cs="Arial"/>
      <w:sz w:val="24"/>
      <w:szCs w:val="24"/>
    </w:rPr>
  </w:style>
  <w:style w:type="character" w:styleId="Siln">
    <w:name w:val="Strong"/>
    <w:qFormat/>
    <w:rsid w:val="007E3F3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85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448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26B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6BB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6BB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B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6BB7"/>
    <w:rPr>
      <w:b/>
      <w:bCs/>
    </w:rPr>
  </w:style>
  <w:style w:type="paragraph" w:styleId="Odstavecseseznamem">
    <w:name w:val="List Paragraph"/>
    <w:basedOn w:val="Normln"/>
    <w:uiPriority w:val="34"/>
    <w:qFormat/>
    <w:rsid w:val="0091450F"/>
    <w:pPr>
      <w:ind w:left="720"/>
      <w:contextualSpacing/>
    </w:pPr>
  </w:style>
  <w:style w:type="character" w:styleId="Hypertextovodkaz">
    <w:name w:val="Hyperlink"/>
    <w:uiPriority w:val="99"/>
    <w:unhideWhenUsed/>
    <w:rsid w:val="00F932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rFonts w:ascii="Arial" w:hAnsi="Arial"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ind w:left="426"/>
      <w:textAlignment w:val="baseline"/>
    </w:pPr>
    <w:rPr>
      <w:rFonts w:ascii="Arial" w:hAnsi="Arial" w:cs="Arial"/>
      <w:sz w:val="24"/>
      <w:szCs w:val="24"/>
    </w:rPr>
  </w:style>
  <w:style w:type="character" w:styleId="Siln">
    <w:name w:val="Strong"/>
    <w:qFormat/>
    <w:rsid w:val="007E3F3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85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448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26B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6BB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6BB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B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6BB7"/>
    <w:rPr>
      <w:b/>
      <w:bCs/>
    </w:rPr>
  </w:style>
  <w:style w:type="paragraph" w:styleId="Odstavecseseznamem">
    <w:name w:val="List Paragraph"/>
    <w:basedOn w:val="Normln"/>
    <w:uiPriority w:val="34"/>
    <w:qFormat/>
    <w:rsid w:val="0091450F"/>
    <w:pPr>
      <w:ind w:left="720"/>
      <w:contextualSpacing/>
    </w:pPr>
  </w:style>
  <w:style w:type="character" w:styleId="Hypertextovodkaz">
    <w:name w:val="Hyperlink"/>
    <w:uiPriority w:val="99"/>
    <w:unhideWhenUsed/>
    <w:rsid w:val="00F932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zdc.cz/o-nas/zpracovani-osobnich-udaju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1326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SDRUŽENÝCH SLUŽBÁCH DODÁVKY ELEKTŘINY</vt:lpstr>
    </vt:vector>
  </TitlesOfParts>
  <Company>AutoCont CZ a.s.</Company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SDRUŽENÝCH SLUŽBÁCH DODÁVKY ELEKTŘINY</dc:title>
  <dc:creator>safranek</dc:creator>
  <cp:lastModifiedBy>Šimková Michaela</cp:lastModifiedBy>
  <cp:revision>2</cp:revision>
  <cp:lastPrinted>2018-12-06T06:24:00Z</cp:lastPrinted>
  <dcterms:created xsi:type="dcterms:W3CDTF">2020-01-13T14:57:00Z</dcterms:created>
  <dcterms:modified xsi:type="dcterms:W3CDTF">2020-01-13T14:57:00Z</dcterms:modified>
</cp:coreProperties>
</file>