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bookmarkStart w:id="0" w:name="_GoBack"/>
      <w:bookmarkEnd w:id="0"/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</w:r>
      <w:r w:rsidR="00F62F4E">
        <w:t>Jugoslávských partyzánů 1580/3, 160 00 Praha 6 - Dejvice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B66EEF">
        <w:rPr>
          <w:rFonts w:cs="Arial"/>
        </w:rPr>
        <w:t>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B66EEF">
        <w:rPr>
          <w:rFonts w:cs="Arial"/>
        </w:rPr>
        <w:t>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r w:rsidR="00B66EEF">
        <w:rPr>
          <w:rFonts w:cs="Arial"/>
        </w:rPr>
        <w:t>xxxxxxx</w:t>
      </w:r>
      <w:r w:rsidRPr="00217236">
        <w:rPr>
          <w:rFonts w:cs="Arial"/>
        </w:rPr>
        <w:t xml:space="preserve">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AC6BD4" w:rsidRPr="00217236" w:rsidRDefault="00524BCB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524BCB">
        <w:rPr>
          <w:rFonts w:cs="Arial"/>
          <w:b/>
        </w:rPr>
        <w:t>ANAMET s.r.o.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C15F98" w:rsidRPr="00C15F98">
        <w:rPr>
          <w:rFonts w:cs="Arial"/>
        </w:rPr>
        <w:t xml:space="preserve">Kováků 26, 150 </w:t>
      </w:r>
      <w:r w:rsidR="00C15F98">
        <w:rPr>
          <w:rFonts w:cs="Arial"/>
        </w:rPr>
        <w:t>00</w:t>
      </w:r>
      <w:r w:rsidR="00C15F98" w:rsidRPr="00C15F98">
        <w:rPr>
          <w:rFonts w:cs="Arial"/>
        </w:rPr>
        <w:t xml:space="preserve"> Praha 5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r w:rsidR="00C15F98" w:rsidRPr="00C15F98">
        <w:rPr>
          <w:rFonts w:cs="Arial"/>
        </w:rPr>
        <w:t>256 52 150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C15F98" w:rsidRPr="00C15F98">
        <w:rPr>
          <w:rFonts w:cs="Arial"/>
        </w:rPr>
        <w:t>CZ256 52 150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9E4409">
        <w:rPr>
          <w:rFonts w:cs="Arial"/>
        </w:rPr>
        <w:t>xxxxxxxxxxxxxxxxxxxxxxxxxxxxxxx</w:t>
      </w:r>
    </w:p>
    <w:p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C15F98" w:rsidRPr="00C15F98">
        <w:rPr>
          <w:rFonts w:cs="Arial"/>
        </w:rPr>
        <w:t>OR Městského soudu v Praze oddíl C, vložka 58244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9E4409">
        <w:rPr>
          <w:rFonts w:cs="Arial"/>
        </w:rPr>
        <w:t>xxxxxxxxxxxxxxxxxxxxxxxxxxxxxxx</w:t>
      </w:r>
    </w:p>
    <w:p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9E4409">
        <w:rPr>
          <w:rFonts w:cs="Arial"/>
        </w:rPr>
        <w:t>xxxxxxxxxxxxxxxxxxxxxxxxxxxxxxx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>ání veřejných zakázek</w:t>
      </w:r>
      <w:r w:rsidR="00161E46">
        <w:rPr>
          <w:rFonts w:ascii="Arial" w:hAnsi="Arial" w:cs="Arial"/>
          <w:lang w:val="cs-CZ"/>
        </w:rPr>
        <w:t>, ve znění pozdějších předpisů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Pr="00681D6F" w:rsidRDefault="00E452BC" w:rsidP="00C15F98">
      <w:pPr>
        <w:pStyle w:val="Normln-sted"/>
        <w:numPr>
          <w:ilvl w:val="0"/>
          <w:numId w:val="6"/>
        </w:numPr>
        <w:spacing w:after="110" w:line="240" w:lineRule="auto"/>
        <w:ind w:left="426"/>
        <w:rPr>
          <w:rFonts w:ascii="Arial" w:hAnsi="Arial" w:cs="Arial"/>
          <w:lang w:val="cs-CZ"/>
        </w:rPr>
      </w:pPr>
      <w:r w:rsidRPr="00681D6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Pr="00681D6F">
        <w:rPr>
          <w:rFonts w:ascii="Arial" w:hAnsi="Arial" w:cs="Arial"/>
          <w:b/>
          <w:lang w:val="cs-CZ"/>
        </w:rPr>
        <w:t>„</w:t>
      </w:r>
      <w:r w:rsidR="005408D7" w:rsidRPr="00681D6F">
        <w:rPr>
          <w:rFonts w:ascii="Arial" w:hAnsi="Arial" w:cs="Arial"/>
          <w:b/>
          <w:lang w:val="cs-CZ"/>
        </w:rPr>
        <w:t>SPEKTROMETRY</w:t>
      </w:r>
      <w:r w:rsidRPr="00681D6F">
        <w:rPr>
          <w:rFonts w:ascii="Arial" w:hAnsi="Arial" w:cs="Arial"/>
          <w:b/>
          <w:lang w:val="cs-CZ"/>
        </w:rPr>
        <w:t>“</w:t>
      </w:r>
      <w:r w:rsidRPr="00681D6F">
        <w:rPr>
          <w:rFonts w:ascii="Arial" w:hAnsi="Arial" w:cs="Arial"/>
          <w:lang w:val="cs-CZ"/>
        </w:rPr>
        <w:t xml:space="preserve">, </w:t>
      </w:r>
      <w:r w:rsidR="00681D6F" w:rsidRPr="00681D6F">
        <w:rPr>
          <w:rFonts w:ascii="Arial" w:hAnsi="Arial" w:cs="Arial"/>
          <w:lang w:val="cs-CZ"/>
        </w:rPr>
        <w:t xml:space="preserve">části 2 </w:t>
      </w:r>
      <w:r w:rsidR="00681D6F">
        <w:rPr>
          <w:rFonts w:ascii="Arial" w:hAnsi="Arial" w:cs="Arial"/>
          <w:lang w:val="cs-CZ"/>
        </w:rPr>
        <w:t>–</w:t>
      </w:r>
      <w:r w:rsidR="00681D6F" w:rsidRPr="00681D6F">
        <w:rPr>
          <w:rFonts w:ascii="Arial" w:hAnsi="Arial" w:cs="Arial"/>
          <w:lang w:val="cs-CZ"/>
        </w:rPr>
        <w:t xml:space="preserve"> </w:t>
      </w:r>
      <w:r w:rsidR="00681D6F" w:rsidRPr="00681D6F">
        <w:rPr>
          <w:rFonts w:ascii="Arial" w:hAnsi="Arial" w:cs="Arial"/>
          <w:b/>
          <w:lang w:val="cs-CZ"/>
        </w:rPr>
        <w:t>„Spektroradiometr“</w:t>
      </w:r>
      <w:r w:rsidR="00681D6F">
        <w:rPr>
          <w:rFonts w:ascii="Arial" w:hAnsi="Arial" w:cs="Arial"/>
          <w:lang w:val="cs-CZ"/>
        </w:rPr>
        <w:t>,</w:t>
      </w:r>
      <w:r w:rsidR="00681D6F" w:rsidRPr="00681D6F">
        <w:rPr>
          <w:rFonts w:ascii="Arial" w:hAnsi="Arial" w:cs="Arial"/>
          <w:lang w:val="cs-CZ"/>
        </w:rPr>
        <w:t xml:space="preserve"> </w:t>
      </w:r>
      <w:r w:rsidRPr="00681D6F">
        <w:rPr>
          <w:rFonts w:ascii="Arial" w:hAnsi="Arial" w:cs="Arial"/>
          <w:lang w:val="cs-CZ"/>
        </w:rPr>
        <w:t>jejímž cílem bylo vybrat</w:t>
      </w:r>
      <w:r w:rsidR="00B80591" w:rsidRPr="00681D6F">
        <w:rPr>
          <w:rFonts w:ascii="Arial" w:hAnsi="Arial" w:cs="Arial"/>
          <w:lang w:val="cs-CZ"/>
        </w:rPr>
        <w:t xml:space="preserve"> dodavatele</w:t>
      </w:r>
      <w:r w:rsidRPr="00681D6F">
        <w:rPr>
          <w:rFonts w:ascii="Arial" w:hAnsi="Arial" w:cs="Arial"/>
          <w:lang w:val="cs-CZ"/>
        </w:rPr>
        <w:t xml:space="preserve"> předmět</w:t>
      </w:r>
      <w:r w:rsidR="00B80591" w:rsidRPr="00681D6F">
        <w:rPr>
          <w:rFonts w:ascii="Arial" w:hAnsi="Arial" w:cs="Arial"/>
          <w:lang w:val="cs-CZ"/>
        </w:rPr>
        <w:t>u</w:t>
      </w:r>
      <w:r w:rsidRPr="00681D6F">
        <w:rPr>
          <w:rFonts w:ascii="Arial" w:hAnsi="Arial" w:cs="Arial"/>
          <w:lang w:val="cs-CZ"/>
        </w:rPr>
        <w:t xml:space="preserve"> smlouvy (</w:t>
      </w:r>
      <w:r w:rsidRPr="00681D6F">
        <w:rPr>
          <w:rFonts w:ascii="Arial" w:hAnsi="Arial" w:cs="Arial"/>
          <w:b/>
          <w:lang w:val="cs-CZ"/>
        </w:rPr>
        <w:t>„Veřejná zakázka“</w:t>
      </w:r>
      <w:r w:rsidRPr="00681D6F">
        <w:rPr>
          <w:rFonts w:ascii="Arial" w:hAnsi="Arial" w:cs="Arial"/>
          <w:lang w:val="cs-CZ"/>
        </w:rPr>
        <w:t xml:space="preserve">), byla Kupujícím vyhodnocena jako </w:t>
      </w:r>
      <w:r w:rsidR="00161E46" w:rsidRPr="00681D6F">
        <w:rPr>
          <w:rFonts w:ascii="Arial" w:hAnsi="Arial" w:cs="Arial"/>
          <w:lang w:val="cs-CZ"/>
        </w:rPr>
        <w:t xml:space="preserve">ekonomicky </w:t>
      </w:r>
      <w:r w:rsidRPr="00681D6F">
        <w:rPr>
          <w:rFonts w:ascii="Arial" w:hAnsi="Arial" w:cs="Arial"/>
          <w:lang w:val="cs-CZ"/>
        </w:rPr>
        <w:t>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BD4E13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BD4E13"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:rsidR="00BD4E13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vypracovat a předat Kupujícímu provozní, instalační a servisní manuál ke Zboží a další dokumenty, které jsou nezbytné pro správné převzetí a užití Zboží v anglickém jazyce, a to v rozsahu Zboží specifikovaného v </w:t>
      </w:r>
      <w:r w:rsidRPr="005408D7">
        <w:rPr>
          <w:rFonts w:ascii="Arial" w:hAnsi="Arial" w:cs="Arial"/>
          <w:i w:val="0"/>
          <w:color w:val="auto"/>
          <w:u w:val="single"/>
        </w:rPr>
        <w:t>Příloze č. 2</w:t>
      </w:r>
      <w:r w:rsidRPr="005408D7">
        <w:rPr>
          <w:rFonts w:ascii="Arial" w:hAnsi="Arial" w:cs="Arial"/>
          <w:i w:val="0"/>
          <w:color w:val="auto"/>
        </w:rPr>
        <w:t xml:space="preserve"> (</w:t>
      </w:r>
      <w:r w:rsidRPr="005408D7">
        <w:rPr>
          <w:rFonts w:ascii="Arial" w:hAnsi="Arial" w:cs="Arial"/>
          <w:color w:val="auto"/>
        </w:rPr>
        <w:t>Technická specifikace</w:t>
      </w:r>
      <w:r w:rsidRPr="005408D7">
        <w:rPr>
          <w:rFonts w:ascii="Arial" w:hAnsi="Arial" w:cs="Arial"/>
          <w:i w:val="0"/>
          <w:color w:val="auto"/>
        </w:rPr>
        <w:t>);</w:t>
      </w:r>
    </w:p>
    <w:p w:rsidR="00F979AA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F979AA" w:rsidRPr="005408D7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>vypracovat seznam konkrétních položek Zboží pro účely kontroly</w:t>
      </w:r>
      <w:r w:rsidR="0033126A" w:rsidRPr="005408D7">
        <w:rPr>
          <w:rFonts w:ascii="Arial" w:hAnsi="Arial" w:cs="Arial"/>
          <w:i w:val="0"/>
          <w:color w:val="auto"/>
        </w:rPr>
        <w:t>;</w:t>
      </w:r>
    </w:p>
    <w:p w:rsidR="005A7B30" w:rsidRPr="005408D7" w:rsidRDefault="00BD4E13" w:rsidP="005408D7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line="276" w:lineRule="auto"/>
        <w:jc w:val="both"/>
        <w:rPr>
          <w:rFonts w:ascii="Arial" w:hAnsi="Arial" w:cs="Arial"/>
          <w:i w:val="0"/>
          <w:color w:val="auto"/>
        </w:rPr>
      </w:pPr>
      <w:r w:rsidRPr="005408D7">
        <w:rPr>
          <w:rFonts w:ascii="Arial" w:hAnsi="Arial" w:cs="Arial"/>
          <w:i w:val="0"/>
          <w:color w:val="auto"/>
        </w:rPr>
        <w:t xml:space="preserve">poskytnout </w:t>
      </w:r>
      <w:r w:rsidR="005408D7" w:rsidRPr="005408D7">
        <w:rPr>
          <w:rFonts w:ascii="Arial" w:hAnsi="Arial" w:cs="Arial"/>
          <w:i w:val="0"/>
          <w:color w:val="auto"/>
        </w:rPr>
        <w:t>min. jedno</w:t>
      </w:r>
      <w:r w:rsidRPr="005408D7">
        <w:rPr>
          <w:rFonts w:ascii="Arial" w:hAnsi="Arial" w:cs="Arial"/>
          <w:i w:val="0"/>
          <w:color w:val="auto"/>
        </w:rPr>
        <w:t xml:space="preserve">denní školení </w:t>
      </w:r>
      <w:r w:rsidR="003B7F61" w:rsidRPr="005408D7">
        <w:rPr>
          <w:rFonts w:ascii="Arial" w:hAnsi="Arial" w:cs="Arial"/>
          <w:i w:val="0"/>
          <w:color w:val="auto"/>
        </w:rPr>
        <w:t xml:space="preserve">v místě instalace pro </w:t>
      </w:r>
      <w:r w:rsidR="005408D7" w:rsidRPr="005408D7">
        <w:rPr>
          <w:rFonts w:ascii="Arial" w:hAnsi="Arial" w:cs="Arial"/>
          <w:i w:val="0"/>
          <w:color w:val="auto"/>
        </w:rPr>
        <w:t xml:space="preserve">min. </w:t>
      </w:r>
      <w:r w:rsidR="003B7F61" w:rsidRPr="005408D7">
        <w:rPr>
          <w:rFonts w:ascii="Arial" w:hAnsi="Arial" w:cs="Arial"/>
          <w:i w:val="0"/>
          <w:color w:val="auto"/>
        </w:rPr>
        <w:t>3 osoby</w:t>
      </w:r>
      <w:r w:rsidR="0033126A" w:rsidRPr="005408D7">
        <w:rPr>
          <w:rFonts w:ascii="Arial" w:hAnsi="Arial" w:cs="Arial"/>
          <w:i w:val="0"/>
          <w:color w:val="auto"/>
        </w:rPr>
        <w:t>;</w:t>
      </w:r>
    </w:p>
    <w:p w:rsidR="005408D7" w:rsidRPr="005408D7" w:rsidRDefault="005408D7" w:rsidP="005408D7">
      <w:pPr>
        <w:rPr>
          <w:highlight w:val="green"/>
        </w:rPr>
      </w:pPr>
    </w:p>
    <w:p w:rsidR="00F979AA" w:rsidRPr="00F02E8B" w:rsidRDefault="00F02E8B" w:rsidP="00F02E8B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 xml:space="preserve">Prodávající se zavazuje, že dodá Kupujícímu Zboží a splní veškeré povinnosti dle čl. I. této smlouvy </w:t>
      </w:r>
      <w:r w:rsidRPr="005408D7">
        <w:rPr>
          <w:rFonts w:cs="Arial"/>
        </w:rPr>
        <w:t xml:space="preserve">nejpozději do </w:t>
      </w:r>
      <w:r w:rsidR="005408D7" w:rsidRPr="005408D7">
        <w:rPr>
          <w:rFonts w:cs="Arial"/>
          <w:b/>
        </w:rPr>
        <w:t>6</w:t>
      </w:r>
      <w:r w:rsidR="003D0B6B" w:rsidRPr="005408D7">
        <w:rPr>
          <w:rFonts w:cs="Arial"/>
          <w:b/>
        </w:rPr>
        <w:t xml:space="preserve"> týdnů</w:t>
      </w:r>
      <w:r w:rsidRPr="005408D7">
        <w:rPr>
          <w:rFonts w:cs="Arial"/>
          <w:b/>
        </w:rPr>
        <w:t xml:space="preserve"> </w:t>
      </w:r>
      <w:r w:rsidR="001762A9" w:rsidRPr="005408D7">
        <w:rPr>
          <w:rFonts w:cs="Arial"/>
        </w:rPr>
        <w:t xml:space="preserve">od </w:t>
      </w:r>
      <w:r w:rsidR="00161E46" w:rsidRPr="005408D7">
        <w:rPr>
          <w:rFonts w:cs="Arial"/>
        </w:rPr>
        <w:t xml:space="preserve">nabytí </w:t>
      </w:r>
      <w:r w:rsidR="001762A9" w:rsidRPr="005408D7">
        <w:rPr>
          <w:rFonts w:cs="Arial"/>
        </w:rPr>
        <w:t>účinnosti smlouvy</w:t>
      </w:r>
      <w:r w:rsidRPr="005408D7">
        <w:rPr>
          <w:rFonts w:cs="Arial"/>
        </w:rPr>
        <w:t>.</w:t>
      </w:r>
    </w:p>
    <w:p w:rsidR="00F979AA" w:rsidRPr="005408D7" w:rsidRDefault="00F02E8B" w:rsidP="000B115D">
      <w:pPr>
        <w:pStyle w:val="Odstavecseseznamem"/>
        <w:numPr>
          <w:ilvl w:val="0"/>
          <w:numId w:val="4"/>
        </w:numPr>
        <w:spacing w:before="0" w:after="220"/>
        <w:rPr>
          <w:rFonts w:cs="Arial"/>
        </w:rPr>
      </w:pPr>
      <w:r>
        <w:rPr>
          <w:rFonts w:cs="Arial"/>
        </w:rPr>
        <w:t>Prodávající je odpovědný za dodání Zboží do místa plnění. Místem plnění je následující adresa</w:t>
      </w:r>
      <w:r w:rsidRPr="005408D7">
        <w:rPr>
          <w:rFonts w:cs="Arial"/>
        </w:rPr>
        <w:t xml:space="preserve">: </w:t>
      </w:r>
      <w:r w:rsidR="000B115D" w:rsidRPr="000B115D">
        <w:rPr>
          <w:rFonts w:cs="Arial"/>
        </w:rPr>
        <w:t xml:space="preserve">ČVUT v Praze, Fakulta elektrotechnická, </w:t>
      </w:r>
      <w:r w:rsidR="00B66EEF">
        <w:rPr>
          <w:rFonts w:cs="Arial"/>
        </w:rPr>
        <w:t>xxxxxxx</w:t>
      </w:r>
      <w:r w:rsidR="000B115D" w:rsidRPr="000B115D">
        <w:rPr>
          <w:rFonts w:cs="Arial"/>
        </w:rPr>
        <w:t xml:space="preserve"> radioelektroniky, </w:t>
      </w:r>
      <w:r w:rsidR="005F0042">
        <w:rPr>
          <w:rFonts w:cs="Arial"/>
        </w:rPr>
        <w:t>xxxxxxxxxxx</w:t>
      </w:r>
      <w:r w:rsidR="005F0042">
        <w:rPr>
          <w:rFonts w:cs="Arial"/>
        </w:rPr>
        <w:br/>
        <w:t>xxxxxxxxxxxxxxxxxxxx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4966CC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</w:t>
      </w:r>
      <w:r w:rsidR="004966CC">
        <w:rPr>
          <w:rFonts w:cs="Arial"/>
        </w:rPr>
        <w:t xml:space="preserve"> (dodacího listu)</w:t>
      </w:r>
      <w:r w:rsidRPr="00F02E8B">
        <w:rPr>
          <w:rFonts w:cs="Arial"/>
        </w:rPr>
        <w:t xml:space="preserve"> oběma stranami.</w:t>
      </w:r>
    </w:p>
    <w:p w:rsidR="00F62F4E" w:rsidRDefault="00F62F4E">
      <w:pPr>
        <w:suppressAutoHyphens w:val="0"/>
        <w:rPr>
          <w:rFonts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822499">
        <w:rPr>
          <w:rFonts w:ascii="Arial" w:hAnsi="Arial" w:cs="Arial"/>
          <w:b w:val="0"/>
          <w:color w:val="auto"/>
          <w:sz w:val="22"/>
          <w:szCs w:val="22"/>
        </w:rPr>
        <w:t>884 701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822499">
        <w:rPr>
          <w:rFonts w:ascii="Arial" w:hAnsi="Arial" w:cs="Arial"/>
          <w:b w:val="0"/>
          <w:color w:val="auto"/>
          <w:sz w:val="22"/>
          <w:szCs w:val="22"/>
        </w:rPr>
        <w:t>1 070 488,21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mimojiné, všechny náklady spojené s převzetím Zboží a provedením Souvisejících činností, </w:t>
      </w:r>
      <w:r w:rsidR="00C379C8">
        <w:rPr>
          <w:rFonts w:ascii="Arial" w:hAnsi="Arial" w:cs="Arial"/>
          <w:b w:val="0"/>
          <w:color w:val="auto"/>
          <w:sz w:val="22"/>
        </w:rPr>
        <w:t xml:space="preserve">přepravou zboží do místa plnění,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:rsidR="007A2D2F" w:rsidRPr="005408D7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Kupní cena </w:t>
      </w:r>
      <w:r>
        <w:rPr>
          <w:rFonts w:ascii="Arial" w:hAnsi="Arial" w:cs="Arial"/>
          <w:b w:val="0"/>
          <w:color w:val="auto"/>
          <w:sz w:val="22"/>
        </w:rPr>
        <w:t>za Zboží</w:t>
      </w:r>
      <w:r w:rsidRPr="007A2D2F">
        <w:rPr>
          <w:rFonts w:ascii="Arial" w:hAnsi="Arial" w:cs="Arial"/>
          <w:b w:val="0"/>
          <w:color w:val="auto"/>
          <w:sz w:val="22"/>
        </w:rPr>
        <w:t xml:space="preserve"> bude </w:t>
      </w:r>
      <w:r w:rsidRPr="005408D7">
        <w:rPr>
          <w:rFonts w:ascii="Arial" w:hAnsi="Arial" w:cs="Arial"/>
          <w:b w:val="0"/>
          <w:color w:val="auto"/>
          <w:sz w:val="22"/>
        </w:rPr>
        <w:t xml:space="preserve">uhrazena v </w:t>
      </w:r>
      <w:r w:rsidR="0096550C" w:rsidRPr="005408D7">
        <w:rPr>
          <w:rFonts w:ascii="Arial" w:hAnsi="Arial" w:cs="Arial"/>
          <w:b w:val="0"/>
          <w:color w:val="auto"/>
          <w:sz w:val="22"/>
        </w:rPr>
        <w:t>Kč</w:t>
      </w:r>
      <w:r w:rsidRPr="005408D7">
        <w:rPr>
          <w:rFonts w:ascii="Arial" w:hAnsi="Arial" w:cs="Arial"/>
          <w:b w:val="0"/>
          <w:color w:val="auto"/>
          <w:sz w:val="22"/>
        </w:rPr>
        <w:t xml:space="preserve"> na základě daňových dokladů - faktur, na účet Prodávajícího určeného na faktuře.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Pr="0096550C">
        <w:rPr>
          <w:rFonts w:ascii="Arial" w:hAnsi="Arial" w:cs="Arial"/>
          <w:b w:val="0"/>
          <w:color w:val="auto"/>
          <w:sz w:val="22"/>
        </w:rPr>
        <w:t>15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161E46" w:rsidRPr="005408D7" w:rsidRDefault="00161E46" w:rsidP="00161E46">
      <w:pPr>
        <w:pStyle w:val="Odstavecseseznamem"/>
        <w:numPr>
          <w:ilvl w:val="0"/>
          <w:numId w:val="29"/>
        </w:numPr>
        <w:spacing w:before="0" w:after="0"/>
      </w:pPr>
      <w:r w:rsidRPr="005408D7">
        <w:t>identifikaci projektu, na jehož základě je tato smlouva realizována, tj. projekt č.:</w:t>
      </w:r>
    </w:p>
    <w:p w:rsidR="00161E46" w:rsidRPr="005408D7" w:rsidRDefault="005408D7" w:rsidP="005408D7">
      <w:pPr>
        <w:ind w:left="1287"/>
      </w:pPr>
      <w:r w:rsidRPr="005408D7">
        <w:t>CZ.02.1.01/0.0/0.0/16_017/0002280</w:t>
      </w:r>
    </w:p>
    <w:p w:rsidR="002370E0" w:rsidRDefault="002370E0" w:rsidP="002370E0">
      <w:pPr>
        <w:spacing w:before="240"/>
        <w:rPr>
          <w:b/>
        </w:rPr>
      </w:pPr>
      <w:r w:rsidRPr="002370E0">
        <w:t>a musí splňovat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lastRenderedPageBreak/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Pr="00C13E2C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3B7F61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B7F61">
        <w:rPr>
          <w:rFonts w:ascii="Arial" w:hAnsi="Arial" w:cs="Arial"/>
          <w:b w:val="0"/>
          <w:color w:val="auto"/>
          <w:sz w:val="22"/>
        </w:rPr>
        <w:t>Prodávající poskytuje na Zboží</w:t>
      </w:r>
      <w:r w:rsidR="00FE146C">
        <w:rPr>
          <w:rFonts w:ascii="Arial" w:hAnsi="Arial" w:cs="Arial"/>
          <w:b w:val="0"/>
          <w:color w:val="auto"/>
          <w:sz w:val="22"/>
        </w:rPr>
        <w:t xml:space="preserve"> </w:t>
      </w:r>
      <w:r w:rsidRPr="00822499">
        <w:rPr>
          <w:rFonts w:ascii="Arial" w:hAnsi="Arial" w:cs="Arial"/>
          <w:b w:val="0"/>
          <w:color w:val="auto"/>
          <w:sz w:val="22"/>
        </w:rPr>
        <w:t xml:space="preserve">záruku za jakost v délce </w:t>
      </w:r>
      <w:r w:rsidR="00CB2B0C" w:rsidRPr="00822499">
        <w:rPr>
          <w:rFonts w:ascii="Arial" w:hAnsi="Arial" w:cs="Arial"/>
          <w:b w:val="0"/>
          <w:color w:val="auto"/>
          <w:sz w:val="22"/>
          <w:szCs w:val="22"/>
        </w:rPr>
        <w:t>24</w:t>
      </w:r>
      <w:r w:rsidR="005408D7" w:rsidRPr="00822499">
        <w:rPr>
          <w:rFonts w:ascii="Arial" w:hAnsi="Arial" w:cs="Arial"/>
          <w:b w:val="0"/>
          <w:color w:val="auto"/>
          <w:sz w:val="22"/>
          <w:szCs w:val="22"/>
        </w:rPr>
        <w:t xml:space="preserve"> měsíců</w:t>
      </w:r>
      <w:r w:rsidRPr="00822499">
        <w:rPr>
          <w:rFonts w:ascii="Arial" w:hAnsi="Arial" w:cs="Arial"/>
          <w:b w:val="0"/>
          <w:color w:val="auto"/>
          <w:sz w:val="22"/>
        </w:rPr>
        <w:t xml:space="preserve">. </w:t>
      </w:r>
      <w:r w:rsidR="000B79E2" w:rsidRPr="00822499">
        <w:rPr>
          <w:rFonts w:ascii="Arial" w:hAnsi="Arial" w:cs="Arial"/>
          <w:b w:val="0"/>
          <w:color w:val="auto"/>
          <w:sz w:val="22"/>
        </w:rPr>
        <w:t xml:space="preserve">Pokud je na záručním listu nebo jiném dokumentu uvedena delší záruční lhůta, má tato delší záruční lhůta přednost před </w:t>
      </w:r>
      <w:r w:rsidR="0021517A" w:rsidRPr="00822499">
        <w:rPr>
          <w:rFonts w:ascii="Arial" w:hAnsi="Arial" w:cs="Arial"/>
          <w:b w:val="0"/>
          <w:color w:val="auto"/>
          <w:sz w:val="22"/>
        </w:rPr>
        <w:t>d</w:t>
      </w:r>
      <w:r w:rsidR="00807F4D" w:rsidRPr="00822499">
        <w:rPr>
          <w:rFonts w:ascii="Arial" w:hAnsi="Arial" w:cs="Arial"/>
          <w:b w:val="0"/>
          <w:color w:val="auto"/>
          <w:sz w:val="22"/>
        </w:rPr>
        <w:t>é</w:t>
      </w:r>
      <w:r w:rsidR="0021517A" w:rsidRPr="00822499">
        <w:rPr>
          <w:rFonts w:ascii="Arial" w:hAnsi="Arial" w:cs="Arial"/>
          <w:b w:val="0"/>
          <w:color w:val="auto"/>
          <w:sz w:val="22"/>
        </w:rPr>
        <w:t xml:space="preserve">lkou záruční lhůty </w:t>
      </w:r>
      <w:r w:rsidR="00A66CA2" w:rsidRPr="00822499">
        <w:rPr>
          <w:rFonts w:ascii="Arial" w:hAnsi="Arial" w:cs="Arial"/>
          <w:b w:val="0"/>
          <w:color w:val="auto"/>
          <w:sz w:val="22"/>
        </w:rPr>
        <w:t>uvedené</w:t>
      </w:r>
      <w:r w:rsidR="00A66CA2">
        <w:rPr>
          <w:rFonts w:ascii="Arial" w:hAnsi="Arial" w:cs="Arial"/>
          <w:b w:val="0"/>
          <w:color w:val="auto"/>
          <w:sz w:val="22"/>
        </w:rPr>
        <w:t xml:space="preserve"> </w:t>
      </w:r>
      <w:r w:rsidR="000B79E2">
        <w:rPr>
          <w:rFonts w:ascii="Arial" w:hAnsi="Arial" w:cs="Arial"/>
          <w:b w:val="0"/>
          <w:color w:val="auto"/>
          <w:sz w:val="22"/>
        </w:rPr>
        <w:t>v této S</w:t>
      </w:r>
      <w:r w:rsidR="000B79E2" w:rsidRPr="000B79E2">
        <w:rPr>
          <w:rFonts w:ascii="Arial" w:hAnsi="Arial" w:cs="Arial"/>
          <w:b w:val="0"/>
          <w:color w:val="auto"/>
          <w:sz w:val="22"/>
        </w:rPr>
        <w:t>mlouvě.</w:t>
      </w:r>
    </w:p>
    <w:p w:rsidR="000B79E2" w:rsidRDefault="00C13E2C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</w:t>
      </w:r>
      <w:r w:rsidR="0017255F">
        <w:rPr>
          <w:rFonts w:ascii="Arial" w:hAnsi="Arial" w:cs="Arial"/>
          <w:b w:val="0"/>
          <w:color w:val="auto"/>
          <w:sz w:val="22"/>
        </w:rPr>
        <w:t>uvedení Zboží do provozu</w:t>
      </w:r>
      <w:r w:rsidR="00C379C8">
        <w:rPr>
          <w:rFonts w:ascii="Arial" w:hAnsi="Arial" w:cs="Arial"/>
          <w:b w:val="0"/>
          <w:color w:val="auto"/>
          <w:sz w:val="22"/>
        </w:rPr>
        <w:t xml:space="preserve"> v místě plnění</w:t>
      </w:r>
      <w:r w:rsidR="0017255F">
        <w:rPr>
          <w:rFonts w:ascii="Arial" w:hAnsi="Arial" w:cs="Arial"/>
          <w:b w:val="0"/>
          <w:color w:val="auto"/>
          <w:sz w:val="22"/>
        </w:rPr>
        <w:t>.</w:t>
      </w:r>
    </w:p>
    <w:p w:rsidR="000B79E2" w:rsidRP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5F0042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</w:t>
      </w:r>
      <w:r w:rsidR="0017255F">
        <w:rPr>
          <w:rFonts w:ascii="Arial" w:hAnsi="Arial" w:cs="Arial"/>
          <w:b w:val="0"/>
          <w:color w:val="auto"/>
          <w:sz w:val="22"/>
        </w:rPr>
        <w:t xml:space="preserve">telefonicky, </w:t>
      </w:r>
      <w:r>
        <w:rPr>
          <w:rFonts w:ascii="Arial" w:hAnsi="Arial" w:cs="Arial"/>
          <w:b w:val="0"/>
          <w:color w:val="auto"/>
          <w:sz w:val="22"/>
        </w:rPr>
        <w:t>písemně</w:t>
      </w:r>
      <w:r w:rsidR="0017255F">
        <w:rPr>
          <w:rFonts w:ascii="Arial" w:hAnsi="Arial" w:cs="Arial"/>
          <w:b w:val="0"/>
          <w:color w:val="auto"/>
          <w:sz w:val="22"/>
        </w:rPr>
        <w:t xml:space="preserve"> nebo</w:t>
      </w:r>
      <w:r>
        <w:rPr>
          <w:rFonts w:ascii="Arial" w:hAnsi="Arial" w:cs="Arial"/>
          <w:b w:val="0"/>
          <w:color w:val="auto"/>
          <w:sz w:val="22"/>
        </w:rPr>
        <w:t xml:space="preserve"> prostřednictvím e-mailu</w:t>
      </w:r>
      <w:r w:rsidRPr="005F0042">
        <w:rPr>
          <w:rFonts w:ascii="Arial" w:hAnsi="Arial" w:cs="Arial"/>
          <w:b w:val="0"/>
          <w:color w:val="auto"/>
          <w:sz w:val="22"/>
          <w:szCs w:val="22"/>
        </w:rPr>
        <w:t xml:space="preserve">. Prodávající akceptuje upozornění na záruční vady prostřednictvím e-mailové adresy: </w:t>
      </w:r>
      <w:r w:rsidR="005F0042" w:rsidRPr="005F0042">
        <w:rPr>
          <w:rFonts w:ascii="Arial" w:hAnsi="Arial" w:cs="Arial"/>
          <w:b w:val="0"/>
          <w:color w:val="auto"/>
          <w:sz w:val="22"/>
          <w:szCs w:val="22"/>
        </w:rPr>
        <w:t>xxxxxxxxxxxxxxxxxxxxxxxxxxxxxxx</w:t>
      </w:r>
      <w:r w:rsidRPr="005F0042">
        <w:rPr>
          <w:rFonts w:ascii="Arial" w:hAnsi="Arial" w:cs="Arial"/>
          <w:b w:val="0"/>
          <w:color w:val="auto"/>
          <w:sz w:val="22"/>
          <w:szCs w:val="22"/>
        </w:rPr>
        <w:t>. Prodávající zahájí reklamační řízení nejpozději 3 dny</w:t>
      </w:r>
      <w:r w:rsidRPr="000B79E2">
        <w:rPr>
          <w:rFonts w:ascii="Arial" w:hAnsi="Arial" w:cs="Arial"/>
          <w:b w:val="0"/>
          <w:color w:val="auto"/>
          <w:sz w:val="22"/>
        </w:rPr>
        <w:t xml:space="preserve"> po nahlášení závady Kupujícím</w:t>
      </w:r>
      <w:r w:rsidR="00DD3A7E">
        <w:rPr>
          <w:rFonts w:ascii="Arial" w:hAnsi="Arial" w:cs="Arial"/>
          <w:b w:val="0"/>
          <w:color w:val="auto"/>
          <w:sz w:val="22"/>
        </w:rPr>
        <w:t xml:space="preserve"> tak, že informomuje kupujícího o převzetí požadavku a návrhu jeho řešení včetně termínu odstranění vady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 nebo</w:t>
      </w:r>
    </w:p>
    <w:p w:rsidR="000B79E2" w:rsidRDefault="00A00819" w:rsidP="00693E16">
      <w:pPr>
        <w:pStyle w:val="Nadpis2"/>
        <w:keepNext w:val="0"/>
        <w:keepLines w:val="0"/>
        <w:numPr>
          <w:ilvl w:val="0"/>
          <w:numId w:val="43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693E16" w:rsidRDefault="00693E16" w:rsidP="00693E16">
      <w:pPr>
        <w:ind w:left="567"/>
      </w:pPr>
    </w:p>
    <w:p w:rsidR="00A00819" w:rsidRPr="000B79E2" w:rsidRDefault="00A00819" w:rsidP="00693E16">
      <w:pPr>
        <w:spacing w:after="240"/>
        <w:ind w:left="567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14 dnů od jejího oznámení.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</w:t>
      </w:r>
      <w:r w:rsidR="0017255F" w:rsidRPr="0017255F">
        <w:rPr>
          <w:rFonts w:ascii="Arial" w:hAnsi="Arial" w:cs="Arial"/>
          <w:b w:val="0"/>
          <w:iCs/>
          <w:color w:val="auto"/>
          <w:sz w:val="22"/>
        </w:rPr>
        <w:t>V případě opravy v záruční době se tato prodlužuje o dobu od oznámení závady Kupujícím po její odstranění Prodávajícím.</w:t>
      </w:r>
    </w:p>
    <w:p w:rsidR="00A00819" w:rsidRDefault="00A00819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</w:t>
      </w:r>
      <w:r w:rsidR="004E7841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41B5F" w:rsidRDefault="00741B5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54516F" w:rsidP="00693E16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 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:rsidR="005F0042" w:rsidRDefault="005F0042">
      <w:pPr>
        <w:suppressAutoHyphens w:val="0"/>
        <w:rPr>
          <w:rFonts w:eastAsia="Batang" w:cs="Arial"/>
          <w:b/>
          <w:caps/>
          <w:szCs w:val="22"/>
          <w:lang w:eastAsia="en-GB"/>
        </w:rPr>
      </w:pPr>
      <w:r>
        <w:rPr>
          <w:rFonts w:cs="Arial"/>
          <w:b/>
          <w:caps/>
        </w:rPr>
        <w:br w:type="page"/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r w:rsidR="005F0042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5F0042">
        <w:rPr>
          <w:rFonts w:cs="Arial"/>
        </w:rPr>
        <w:t>xxxxxxxxxxxxxxxxxxxxxxxxxxxxxxx</w:t>
      </w:r>
    </w:p>
    <w:p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5F0042">
        <w:rPr>
          <w:rFonts w:cs="Arial"/>
        </w:rPr>
        <w:t>xxxxxxxxxxxxxxxxxxxxxxxxxxxxxxx</w:t>
      </w:r>
    </w:p>
    <w:p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r w:rsidR="005F0042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r w:rsidR="005F0042">
        <w:rPr>
          <w:rFonts w:cs="Arial"/>
        </w:rPr>
        <w:t>xxxxxxxxxxxxxxxxxxxxxxxxxxxxxxx</w:t>
      </w:r>
    </w:p>
    <w:p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r w:rsidR="005F0042">
        <w:rPr>
          <w:rFonts w:cs="Arial"/>
        </w:rPr>
        <w:t>xxxxxxxxxxxxxxxxxxxxxxxxxxxxxxx</w:t>
      </w:r>
    </w:p>
    <w:p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:rsidR="00492CD6" w:rsidRPr="005408D7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5408D7">
        <w:rPr>
          <w:rFonts w:cs="Arial"/>
        </w:rPr>
        <w:t xml:space="preserve">Jméno a příjmení: </w:t>
      </w:r>
      <w:r w:rsidRPr="005408D7">
        <w:rPr>
          <w:rFonts w:cs="Arial"/>
        </w:rPr>
        <w:tab/>
      </w:r>
      <w:r w:rsidR="005F0042">
        <w:rPr>
          <w:rFonts w:cs="Arial"/>
        </w:rPr>
        <w:t>xxxxxxxxxxxxxxxxxxxxxxxxxxxxxxx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5408D7">
        <w:rPr>
          <w:rFonts w:cs="Arial"/>
          <w:bCs/>
        </w:rPr>
        <w:t>E-mail:</w:t>
      </w:r>
      <w:r w:rsidRPr="005408D7">
        <w:rPr>
          <w:rFonts w:cs="Arial"/>
          <w:bCs/>
        </w:rPr>
        <w:tab/>
      </w:r>
      <w:r w:rsidR="005F0042">
        <w:rPr>
          <w:rFonts w:cs="Arial"/>
        </w:rPr>
        <w:t>xxxxxxxxxxxxxxxxxxxxxxxxxxxxxxx</w:t>
      </w:r>
    </w:p>
    <w:p w:rsidR="00174F32" w:rsidRPr="00217236" w:rsidRDefault="00174F32">
      <w:pPr>
        <w:suppressAutoHyphens w:val="0"/>
        <w:rPr>
          <w:rFonts w:eastAsia="Batang" w:cs="Arial"/>
          <w:b/>
          <w:szCs w:val="22"/>
          <w:lang w:eastAsia="en-GB"/>
        </w:rPr>
      </w:pP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D216BA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Tato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Smlouva </w:t>
      </w:r>
      <w:r>
        <w:rPr>
          <w:rFonts w:ascii="Arial" w:hAnsi="Arial" w:cs="Arial"/>
          <w:b w:val="0"/>
          <w:color w:val="auto"/>
          <w:sz w:val="22"/>
        </w:rPr>
        <w:t>je sepsána v českém jazyce v jednom (1) vyhotove</w:t>
      </w:r>
      <w:r w:rsidR="00CA3EDA">
        <w:rPr>
          <w:rFonts w:ascii="Arial" w:hAnsi="Arial" w:cs="Arial"/>
          <w:b w:val="0"/>
          <w:color w:val="auto"/>
          <w:sz w:val="22"/>
        </w:rPr>
        <w:t>n</w:t>
      </w:r>
      <w:r>
        <w:rPr>
          <w:rFonts w:ascii="Arial" w:hAnsi="Arial" w:cs="Arial"/>
          <w:b w:val="0"/>
          <w:color w:val="auto"/>
          <w:sz w:val="22"/>
        </w:rPr>
        <w:t xml:space="preserve">í v elektronické podobě a ve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4 (čtyřech) </w:t>
      </w:r>
      <w:r>
        <w:rPr>
          <w:rFonts w:ascii="Arial" w:hAnsi="Arial" w:cs="Arial"/>
          <w:b w:val="0"/>
          <w:color w:val="auto"/>
          <w:sz w:val="22"/>
        </w:rPr>
        <w:t>vyhotoveních v listinné podobě, z nichž každé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 xml:space="preserve">vyhotovení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má platnost originálu. Každá ze </w:t>
      </w:r>
      <w:r>
        <w:rPr>
          <w:rFonts w:ascii="Arial" w:hAnsi="Arial" w:cs="Arial"/>
          <w:b w:val="0"/>
          <w:color w:val="auto"/>
          <w:sz w:val="22"/>
        </w:rPr>
        <w:t>S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mluvních stran obdrží po 2 (dvou) </w:t>
      </w:r>
      <w:r>
        <w:rPr>
          <w:rFonts w:ascii="Arial" w:hAnsi="Arial" w:cs="Arial"/>
          <w:b w:val="0"/>
          <w:color w:val="auto"/>
          <w:sz w:val="22"/>
        </w:rPr>
        <w:t>vyhotoveních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</w:t>
      </w:r>
      <w:r w:rsidR="00C379C8">
        <w:rPr>
          <w:rFonts w:ascii="Arial" w:hAnsi="Arial" w:cs="Arial"/>
          <w:b w:val="0"/>
          <w:color w:val="auto"/>
          <w:sz w:val="22"/>
        </w:rPr>
        <w:t>nebo Přílohy č. 2</w:t>
      </w:r>
      <w:r w:rsidR="00C379C8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C379C8"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="00C379C8" w:rsidRPr="008A4737">
        <w:rPr>
          <w:rFonts w:ascii="Arial" w:hAnsi="Arial" w:cs="Arial"/>
          <w:b w:val="0"/>
          <w:color w:val="auto"/>
          <w:sz w:val="22"/>
        </w:rPr>
        <w:t xml:space="preserve">) </w:t>
      </w:r>
      <w:r w:rsidRPr="008A4737">
        <w:rPr>
          <w:rFonts w:ascii="Arial" w:hAnsi="Arial" w:cs="Arial"/>
          <w:b w:val="0"/>
          <w:color w:val="auto"/>
          <w:sz w:val="22"/>
        </w:rPr>
        <w:t>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D216BA">
        <w:rPr>
          <w:rFonts w:ascii="Arial" w:hAnsi="Arial" w:cs="Arial"/>
          <w:b w:val="0"/>
          <w:color w:val="auto"/>
          <w:sz w:val="22"/>
        </w:rPr>
        <w:t xml:space="preserve"> a účinná jejím uveřejněním v registru smluv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E5711B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924C55">
        <w:rPr>
          <w:rFonts w:cs="Arial"/>
        </w:rPr>
        <w:t>11.12.2019</w:t>
      </w:r>
      <w:r w:rsidR="00F979AA" w:rsidRPr="00217236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822499">
        <w:rPr>
          <w:rFonts w:eastAsiaTheme="minorEastAsia" w:cs="Arial"/>
          <w:szCs w:val="20"/>
          <w:lang w:eastAsia="cs-CZ"/>
        </w:rPr>
        <w:t>Praze</w:t>
      </w:r>
      <w:r w:rsidR="00F979AA" w:rsidRPr="00E5711B">
        <w:rPr>
          <w:rFonts w:cs="Arial"/>
          <w:szCs w:val="20"/>
          <w:lang w:eastAsia="cs-CZ"/>
        </w:rPr>
        <w:t>,</w:t>
      </w:r>
      <w:r w:rsidR="00F979AA" w:rsidRPr="00E5711B">
        <w:rPr>
          <w:rFonts w:cs="Arial"/>
        </w:rPr>
        <w:t xml:space="preserve"> </w:t>
      </w:r>
      <w:r w:rsidR="00822499">
        <w:rPr>
          <w:rFonts w:eastAsiaTheme="minorEastAsia" w:cs="Arial"/>
          <w:szCs w:val="20"/>
          <w:lang w:eastAsia="cs-CZ"/>
        </w:rPr>
        <w:t>dne</w:t>
      </w:r>
      <w:r w:rsidR="00924C55">
        <w:rPr>
          <w:rFonts w:eastAsiaTheme="minorEastAsia" w:cs="Arial"/>
          <w:szCs w:val="20"/>
          <w:lang w:eastAsia="cs-CZ"/>
        </w:rPr>
        <w:t xml:space="preserve"> 19.12.2019</w:t>
      </w: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E5711B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Pr="00E5711B">
        <w:rPr>
          <w:rFonts w:cs="Arial"/>
          <w:sz w:val="20"/>
        </w:rPr>
        <w:tab/>
        <w:t>……………………………………..</w:t>
      </w:r>
    </w:p>
    <w:p w:rsidR="00F979AA" w:rsidRPr="00E5711B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za kupujícího</w:t>
      </w:r>
      <w:r w:rsidRPr="00E5711B">
        <w:rPr>
          <w:rFonts w:cs="Arial"/>
        </w:rPr>
        <w:tab/>
      </w:r>
      <w:r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:rsidR="00F979AA" w:rsidRPr="00822499" w:rsidRDefault="00F979AA" w:rsidP="00822499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eastAsiaTheme="minorEastAsia" w:cs="Arial"/>
          <w:szCs w:val="20"/>
          <w:lang w:eastAsia="cs-CZ"/>
        </w:rPr>
      </w:pPr>
      <w:r w:rsidRPr="00E5711B">
        <w:rPr>
          <w:rFonts w:cs="Arial"/>
        </w:rPr>
        <w:tab/>
        <w:t xml:space="preserve">prof. </w:t>
      </w:r>
      <w:r w:rsidR="00C379C8" w:rsidRPr="00454B79">
        <w:rPr>
          <w:rFonts w:cs="Arial"/>
        </w:rPr>
        <w:t>Mgr. Petr Páta, Ph.D.</w:t>
      </w:r>
      <w:r w:rsidRPr="00E5711B">
        <w:rPr>
          <w:rFonts w:cs="Arial"/>
        </w:rPr>
        <w:tab/>
      </w:r>
      <w:r w:rsidR="005F0042">
        <w:rPr>
          <w:rFonts w:cs="Arial"/>
        </w:rPr>
        <w:t>xxxxxxxxxxxxxxxxxxxxxxxxxxxxxxx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</w:rPr>
      </w:pPr>
      <w:r w:rsidRPr="00E5711B">
        <w:rPr>
          <w:rFonts w:cs="Arial"/>
        </w:rPr>
        <w:tab/>
      </w:r>
      <w:r w:rsidR="008A4737" w:rsidRPr="00E5711B">
        <w:rPr>
          <w:rFonts w:cs="Arial"/>
        </w:rPr>
        <w:t>děkan</w:t>
      </w:r>
      <w:r w:rsidRPr="00E5711B">
        <w:rPr>
          <w:rFonts w:cs="Arial"/>
        </w:rPr>
        <w:tab/>
      </w:r>
      <w:r w:rsidR="005F0042">
        <w:rPr>
          <w:rFonts w:cs="Arial"/>
        </w:rPr>
        <w:t>xxxxxxxxxxxxxxxxxxxxxxxxxxxxxxx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F62F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410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  <w:r w:rsidR="00681D6F">
        <w:rPr>
          <w:rFonts w:cs="Arial"/>
          <w:b/>
          <w:bCs/>
          <w:caps/>
          <w:szCs w:val="20"/>
          <w:lang w:eastAsia="en-US"/>
        </w:rPr>
        <w:t xml:space="preserve"> – ČÁST 2 – </w:t>
      </w:r>
      <w:r w:rsidR="00681D6F" w:rsidRPr="00681D6F">
        <w:rPr>
          <w:rFonts w:cs="Arial"/>
          <w:b/>
          <w:bCs/>
          <w:caps/>
          <w:szCs w:val="20"/>
          <w:lang w:eastAsia="en-US"/>
        </w:rPr>
        <w:t>Spektroradiometr</w:t>
      </w:r>
    </w:p>
    <w:p w:rsidR="005408D7" w:rsidRPr="003163E6" w:rsidRDefault="003163E6" w:rsidP="009E0F49">
      <w:pPr>
        <w:rPr>
          <w:b/>
        </w:rPr>
      </w:pPr>
      <w:r w:rsidRPr="003163E6">
        <w:rPr>
          <w:b/>
        </w:rPr>
        <w:t>Spektroradiometr</w:t>
      </w:r>
    </w:p>
    <w:p w:rsidR="005408D7" w:rsidRPr="00AC10D8" w:rsidRDefault="005408D7" w:rsidP="009E0F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287"/>
        <w:gridCol w:w="3582"/>
        <w:gridCol w:w="3237"/>
        <w:gridCol w:w="1494"/>
      </w:tblGrid>
      <w:tr w:rsidR="009E0F49" w:rsidRPr="003163E6" w:rsidTr="00C379C8">
        <w:trPr>
          <w:cantSplit/>
          <w:tblHeader/>
        </w:trPr>
        <w:tc>
          <w:tcPr>
            <w:tcW w:w="311" w:type="pct"/>
            <w:shd w:val="clear" w:color="auto" w:fill="C6D9F1" w:themeFill="text2" w:themeFillTint="33"/>
            <w:vAlign w:val="center"/>
          </w:tcPr>
          <w:p w:rsidR="009E0F49" w:rsidRPr="003163E6" w:rsidRDefault="009E0F49" w:rsidP="009252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63E6">
              <w:rPr>
                <w:rFonts w:cs="Arial"/>
                <w:b/>
                <w:sz w:val="20"/>
                <w:szCs w:val="20"/>
              </w:rPr>
              <w:t>Pořadí</w:t>
            </w:r>
          </w:p>
        </w:tc>
        <w:tc>
          <w:tcPr>
            <w:tcW w:w="3058" w:type="pct"/>
            <w:gridSpan w:val="2"/>
            <w:shd w:val="clear" w:color="auto" w:fill="C6D9F1" w:themeFill="text2" w:themeFillTint="33"/>
            <w:vAlign w:val="center"/>
          </w:tcPr>
          <w:p w:rsidR="009E0F49" w:rsidRPr="003163E6" w:rsidRDefault="009E0F49" w:rsidP="009252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63E6">
              <w:rPr>
                <w:rFonts w:cs="Arial"/>
                <w:b/>
                <w:sz w:val="20"/>
                <w:szCs w:val="20"/>
              </w:rPr>
              <w:t>Požadovaný parametr</w:t>
            </w:r>
          </w:p>
        </w:tc>
        <w:tc>
          <w:tcPr>
            <w:tcW w:w="1116" w:type="pct"/>
            <w:shd w:val="clear" w:color="auto" w:fill="C6D9F1" w:themeFill="text2" w:themeFillTint="33"/>
            <w:vAlign w:val="center"/>
          </w:tcPr>
          <w:p w:rsidR="009E0F49" w:rsidRPr="003163E6" w:rsidRDefault="009E0F49" w:rsidP="00C379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63E6">
              <w:rPr>
                <w:rFonts w:cs="Arial"/>
                <w:b/>
                <w:sz w:val="20"/>
                <w:szCs w:val="20"/>
              </w:rPr>
              <w:t>Nabízená hodnota</w:t>
            </w:r>
          </w:p>
        </w:tc>
        <w:tc>
          <w:tcPr>
            <w:tcW w:w="515" w:type="pct"/>
            <w:shd w:val="clear" w:color="auto" w:fill="C6D9F1" w:themeFill="text2" w:themeFillTint="33"/>
            <w:vAlign w:val="center"/>
          </w:tcPr>
          <w:p w:rsidR="009E0F49" w:rsidRPr="003163E6" w:rsidRDefault="009E0F49" w:rsidP="00C379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63E6">
              <w:rPr>
                <w:rFonts w:cs="Arial"/>
                <w:b/>
                <w:sz w:val="20"/>
                <w:szCs w:val="20"/>
              </w:rPr>
              <w:t>Splňuje</w:t>
            </w:r>
          </w:p>
          <w:p w:rsidR="009E0F49" w:rsidRPr="003163E6" w:rsidRDefault="009E0F49" w:rsidP="00C379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63E6">
              <w:rPr>
                <w:rFonts w:cs="Arial"/>
                <w:b/>
                <w:sz w:val="20"/>
                <w:szCs w:val="20"/>
              </w:rPr>
              <w:t>ANO/Ne</w:t>
            </w:r>
          </w:p>
        </w:tc>
      </w:tr>
      <w:tr w:rsidR="003163E6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3163E6" w:rsidRPr="003163E6" w:rsidRDefault="003163E6" w:rsidP="003163E6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1.</w:t>
            </w:r>
          </w:p>
        </w:tc>
        <w:tc>
          <w:tcPr>
            <w:tcW w:w="1823" w:type="pct"/>
            <w:vAlign w:val="center"/>
          </w:tcPr>
          <w:p w:rsidR="003163E6" w:rsidRPr="003163E6" w:rsidRDefault="003163E6" w:rsidP="003163E6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Rozsah vlnových délek</w:t>
            </w:r>
          </w:p>
        </w:tc>
        <w:tc>
          <w:tcPr>
            <w:tcW w:w="1235" w:type="pct"/>
            <w:vAlign w:val="center"/>
          </w:tcPr>
          <w:p w:rsidR="003163E6" w:rsidRPr="003163E6" w:rsidRDefault="003163E6" w:rsidP="003163E6">
            <w:pPr>
              <w:ind w:left="33"/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min. 380 až 780 nm</w:t>
            </w:r>
          </w:p>
        </w:tc>
        <w:tc>
          <w:tcPr>
            <w:tcW w:w="1116" w:type="pct"/>
            <w:vAlign w:val="center"/>
          </w:tcPr>
          <w:p w:rsidR="003163E6" w:rsidRPr="003163E6" w:rsidRDefault="00822499" w:rsidP="00C379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380-780 nm</w:t>
            </w:r>
          </w:p>
        </w:tc>
        <w:tc>
          <w:tcPr>
            <w:tcW w:w="515" w:type="pct"/>
            <w:vAlign w:val="center"/>
          </w:tcPr>
          <w:p w:rsidR="003163E6" w:rsidRPr="003163E6" w:rsidRDefault="00822499" w:rsidP="00C379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2.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Chyba měření vlnové délky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max. 0,5 nm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822499">
              <w:rPr>
                <w:rFonts w:eastAsiaTheme="minorEastAsia" w:cs="Arial"/>
                <w:sz w:val="20"/>
                <w:szCs w:val="20"/>
                <w:lang w:eastAsia="cs-CZ"/>
              </w:rPr>
              <w:t>± 0,3 nm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3.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Apertury alespoň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1°, 0,2° a 0,1°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1°</w:t>
            </w:r>
            <w:r>
              <w:rPr>
                <w:sz w:val="20"/>
                <w:szCs w:val="20"/>
              </w:rPr>
              <w:t>;</w:t>
            </w:r>
            <w:r w:rsidRPr="003163E6">
              <w:rPr>
                <w:sz w:val="20"/>
                <w:szCs w:val="20"/>
              </w:rPr>
              <w:t xml:space="preserve"> 0,2°</w:t>
            </w:r>
            <w:r>
              <w:rPr>
                <w:sz w:val="20"/>
                <w:szCs w:val="20"/>
              </w:rPr>
              <w:t>;</w:t>
            </w:r>
            <w:r w:rsidRPr="003163E6">
              <w:rPr>
                <w:sz w:val="20"/>
                <w:szCs w:val="20"/>
              </w:rPr>
              <w:t xml:space="preserve"> 0,1°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4.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Citlivost měření jasu při 1°apertuře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ind w:left="33"/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min. 0,01372 cd/m²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0,00002 cd/m</w:t>
            </w:r>
            <w:r w:rsidRPr="00822499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jako minimální měřitelná hodnota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5.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Barevná přesnost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ind w:left="33"/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max. ±0,002 (x, y, CIE 1931)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±0,002 (x,y v rozsahu 0,005 do 0,05 cd/m</w:t>
            </w:r>
            <w:r w:rsidRPr="00822499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6.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Objektiv součástí dodávky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ANO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objektiv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7.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SD karta Secure Digital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ANO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 karta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8.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Kalibrace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ANO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kalibrace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  <w:tr w:rsidR="00822499" w:rsidRPr="003163E6" w:rsidTr="00C379C8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311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9.</w:t>
            </w:r>
          </w:p>
        </w:tc>
        <w:tc>
          <w:tcPr>
            <w:tcW w:w="1823" w:type="pct"/>
            <w:vAlign w:val="center"/>
          </w:tcPr>
          <w:p w:rsidR="00822499" w:rsidRPr="003163E6" w:rsidRDefault="00822499" w:rsidP="00822499">
            <w:pPr>
              <w:ind w:left="33"/>
              <w:rPr>
                <w:rFonts w:cs="Arial"/>
                <w:sz w:val="20"/>
                <w:szCs w:val="20"/>
              </w:rPr>
            </w:pPr>
            <w:r w:rsidRPr="003163E6">
              <w:rPr>
                <w:rFonts w:cs="Arial"/>
                <w:sz w:val="20"/>
                <w:szCs w:val="20"/>
              </w:rPr>
              <w:t>Ovládací a vyhodnocovací SW</w:t>
            </w:r>
          </w:p>
        </w:tc>
        <w:tc>
          <w:tcPr>
            <w:tcW w:w="1235" w:type="pct"/>
            <w:vAlign w:val="center"/>
          </w:tcPr>
          <w:p w:rsidR="00822499" w:rsidRPr="003163E6" w:rsidRDefault="00822499" w:rsidP="00822499">
            <w:pPr>
              <w:jc w:val="center"/>
              <w:rPr>
                <w:sz w:val="20"/>
                <w:szCs w:val="20"/>
              </w:rPr>
            </w:pPr>
            <w:r w:rsidRPr="003163E6">
              <w:rPr>
                <w:sz w:val="20"/>
                <w:szCs w:val="20"/>
              </w:rPr>
              <w:t>ANO</w:t>
            </w:r>
          </w:p>
        </w:tc>
        <w:tc>
          <w:tcPr>
            <w:tcW w:w="1116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Konica Minolta SW CS-S10w USB HW key</w:t>
            </w:r>
          </w:p>
        </w:tc>
        <w:tc>
          <w:tcPr>
            <w:tcW w:w="515" w:type="pct"/>
            <w:vAlign w:val="center"/>
          </w:tcPr>
          <w:p w:rsidR="00822499" w:rsidRPr="003163E6" w:rsidRDefault="00822499" w:rsidP="008224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  <w:lang w:eastAsia="cs-CZ"/>
              </w:rPr>
              <w:t>ANO</w:t>
            </w:r>
          </w:p>
        </w:tc>
      </w:tr>
    </w:tbl>
    <w:p w:rsidR="006F18AD" w:rsidRDefault="006F18AD" w:rsidP="006F18AD">
      <w:pPr>
        <w:spacing w:before="240"/>
        <w:contextualSpacing/>
        <w:rPr>
          <w:b/>
        </w:rPr>
      </w:pPr>
    </w:p>
    <w:p w:rsidR="00F979AA" w:rsidRPr="00217236" w:rsidRDefault="00F979AA" w:rsidP="00927C5E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F979AA" w:rsidRPr="00217236" w:rsidRDefault="00F979AA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F979AA" w:rsidRPr="00217236" w:rsidSect="0096550C">
          <w:headerReference w:type="default" r:id="rId12"/>
          <w:pgSz w:w="16838" w:h="11906" w:orient="landscape" w:code="9"/>
          <w:pgMar w:top="1418" w:right="1418" w:bottom="1985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C452CD" w:rsidRPr="00217236" w:rsidRDefault="00822499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  <w:r>
        <w:rPr>
          <w:rFonts w:eastAsiaTheme="minorEastAsia" w:cs="Arial"/>
          <w:szCs w:val="20"/>
          <w:lang w:eastAsia="cs-CZ"/>
        </w:rPr>
        <w:t>Nabídka A19-LEV-KMI0348, prospekt</w:t>
      </w:r>
    </w:p>
    <w:sectPr w:rsidR="00C452CD" w:rsidRPr="00217236" w:rsidSect="004E2345">
      <w:headerReference w:type="default" r:id="rId13"/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F" w:rsidRDefault="001D726F" w:rsidP="00EC5C5F">
      <w:r>
        <w:separator/>
      </w:r>
    </w:p>
  </w:endnote>
  <w:endnote w:type="continuationSeparator" w:id="0">
    <w:p w:rsidR="001D726F" w:rsidRDefault="001D726F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ąŮĹÁ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D7" w:rsidRDefault="005408D7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</w:p>
  <w:p w:rsidR="005408D7" w:rsidRPr="00163B2B" w:rsidRDefault="005408D7" w:rsidP="00927C5E">
    <w:pPr>
      <w:pStyle w:val="Zpat"/>
      <w:jc w:val="right"/>
      <w:rPr>
        <w:rFonts w:cs="Arial"/>
        <w:b/>
        <w:szCs w:val="18"/>
        <w:lang w:val="en-GB"/>
      </w:rPr>
    </w:pPr>
    <w:r w:rsidRPr="00163B2B">
      <w:rPr>
        <w:rFonts w:cs="Arial"/>
        <w:sz w:val="20"/>
        <w:lang w:val="en-GB"/>
      </w:rPr>
      <w:t xml:space="preserve">Strana </w:t>
    </w:r>
    <w:r w:rsidRPr="00163B2B">
      <w:rPr>
        <w:rStyle w:val="slostrnky"/>
        <w:rFonts w:cs="Arial"/>
        <w:sz w:val="20"/>
        <w:lang w:val="en-GB"/>
      </w:rPr>
      <w:fldChar w:fldCharType="begin"/>
    </w:r>
    <w:r w:rsidRPr="00163B2B">
      <w:rPr>
        <w:rStyle w:val="slostrnky"/>
        <w:rFonts w:cs="Arial"/>
        <w:sz w:val="20"/>
        <w:lang w:val="en-GB"/>
      </w:rPr>
      <w:instrText xml:space="preserve"> PAGE </w:instrText>
    </w:r>
    <w:r w:rsidRPr="00163B2B">
      <w:rPr>
        <w:rStyle w:val="slostrnky"/>
        <w:rFonts w:cs="Arial"/>
        <w:sz w:val="20"/>
        <w:lang w:val="en-GB"/>
      </w:rPr>
      <w:fldChar w:fldCharType="separate"/>
    </w:r>
    <w:r w:rsidR="00C043B2">
      <w:rPr>
        <w:rStyle w:val="slostrnky"/>
        <w:rFonts w:cs="Arial"/>
        <w:noProof/>
        <w:sz w:val="20"/>
        <w:lang w:val="en-GB"/>
      </w:rPr>
      <w:t>4</w:t>
    </w:r>
    <w:r w:rsidRPr="00163B2B">
      <w:rPr>
        <w:rStyle w:val="slostrnky"/>
        <w:rFonts w:cs="Arial"/>
        <w:sz w:val="20"/>
        <w:lang w:val="en-GB"/>
      </w:rPr>
      <w:fldChar w:fldCharType="end"/>
    </w:r>
    <w:r w:rsidRPr="00163B2B">
      <w:rPr>
        <w:rFonts w:cs="Arial"/>
        <w:sz w:val="20"/>
        <w:lang w:val="en-GB"/>
      </w:rPr>
      <w:t xml:space="preserve"> z </w:t>
    </w:r>
    <w:r w:rsidR="00C17212">
      <w:rPr>
        <w:rStyle w:val="slostrnky"/>
        <w:rFonts w:cs="Arial"/>
        <w:sz w:val="20"/>
        <w:lang w:val="en-GB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D7" w:rsidRPr="00EC5C5F" w:rsidRDefault="005408D7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Pr="00172627">
      <w:rPr>
        <w:rStyle w:val="slostrnky"/>
        <w:rFonts w:ascii="Calibri" w:hAnsi="Calibri"/>
        <w:sz w:val="16"/>
      </w:rPr>
      <w:fldChar w:fldCharType="separate"/>
    </w:r>
    <w:r w:rsidR="003F123E">
      <w:rPr>
        <w:rStyle w:val="slostrnky"/>
        <w:rFonts w:ascii="Calibri" w:hAnsi="Calibri"/>
        <w:noProof/>
        <w:sz w:val="16"/>
      </w:rPr>
      <w:t>10</w:t>
    </w:r>
    <w:r w:rsidRPr="00172627">
      <w:rPr>
        <w:rStyle w:val="slostrnky"/>
        <w:rFonts w:ascii="Calibri" w:hAnsi="Calibri"/>
        <w:sz w:val="16"/>
      </w:rPr>
      <w:fldChar w:fldCharType="end"/>
    </w:r>
  </w:p>
  <w:p w:rsidR="005408D7" w:rsidRPr="009B0477" w:rsidRDefault="005408D7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F" w:rsidRDefault="001D726F" w:rsidP="00EC5C5F">
      <w:r>
        <w:separator/>
      </w:r>
    </w:p>
  </w:footnote>
  <w:footnote w:type="continuationSeparator" w:id="0">
    <w:p w:rsidR="001D726F" w:rsidRDefault="001D726F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5642"/>
    </w:tblGrid>
    <w:tr w:rsidR="005408D7" w:rsidTr="00A93E87">
      <w:tc>
        <w:tcPr>
          <w:tcW w:w="1890" w:type="pct"/>
        </w:tcPr>
        <w:p w:rsidR="005408D7" w:rsidRPr="00474388" w:rsidRDefault="005408D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3110" w:type="pct"/>
          <w:vAlign w:val="center"/>
        </w:tcPr>
        <w:p w:rsidR="005408D7" w:rsidRDefault="005408D7" w:rsidP="00265DAA">
          <w:pPr>
            <w:pStyle w:val="Zhlav"/>
            <w:ind w:left="2342" w:right="-76"/>
            <w:jc w:val="right"/>
          </w:pPr>
        </w:p>
      </w:tc>
    </w:tr>
  </w:tbl>
  <w:p w:rsidR="005408D7" w:rsidRPr="00B009E5" w:rsidRDefault="005408D7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D7" w:rsidRPr="00FB763A" w:rsidRDefault="00C043B2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8D7" w:rsidRPr="00FB763A">
      <w:rPr>
        <w:szCs w:val="22"/>
        <w:lang w:eastAsia="en-US"/>
      </w:rPr>
      <w:tab/>
    </w:r>
    <w:r w:rsidR="001D726F">
      <w:rPr>
        <w:szCs w:val="22"/>
        <w:lang w:eastAsia="en-US"/>
      </w:rPr>
      <w:pict>
        <v:rect id="_x0000_i1030" style="width:290.6pt;height:.5pt" o:hralign="right" o:hrstd="t" o:hrnoshade="t" o:hr="t" fillcolor="black" stroked="f"/>
      </w:pict>
    </w:r>
  </w:p>
  <w:p w:rsidR="005408D7" w:rsidRDefault="005408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9646"/>
    </w:tblGrid>
    <w:tr w:rsidR="005408D7" w:rsidTr="00A93E87">
      <w:tc>
        <w:tcPr>
          <w:tcW w:w="1674" w:type="pct"/>
        </w:tcPr>
        <w:p w:rsidR="005408D7" w:rsidRPr="00474388" w:rsidRDefault="005408D7" w:rsidP="00265DAA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1424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3326" w:type="pct"/>
          <w:vAlign w:val="center"/>
        </w:tcPr>
        <w:p w:rsidR="005408D7" w:rsidRDefault="005408D7" w:rsidP="00265DAA">
          <w:pPr>
            <w:pStyle w:val="Zhlav"/>
            <w:ind w:left="2342" w:right="-76"/>
            <w:jc w:val="right"/>
          </w:pPr>
        </w:p>
      </w:tc>
    </w:tr>
  </w:tbl>
  <w:p w:rsidR="005408D7" w:rsidRPr="00B009E5" w:rsidRDefault="005408D7" w:rsidP="00872F06">
    <w:pPr>
      <w:tabs>
        <w:tab w:val="center" w:pos="4536"/>
        <w:tab w:val="right" w:pos="9072"/>
      </w:tabs>
      <w:suppressAutoHyphens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4641"/>
    </w:tblGrid>
    <w:tr w:rsidR="006F18AD" w:rsidTr="006F18AD">
      <w:tc>
        <w:tcPr>
          <w:tcW w:w="2501" w:type="pct"/>
        </w:tcPr>
        <w:p w:rsidR="006F18AD" w:rsidRPr="00474388" w:rsidRDefault="006F18AD" w:rsidP="006F18AD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ind w:right="-953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2499" w:type="pct"/>
          <w:vAlign w:val="center"/>
        </w:tcPr>
        <w:p w:rsidR="006F18AD" w:rsidRDefault="006F18AD" w:rsidP="006F18AD">
          <w:pPr>
            <w:pStyle w:val="Zhlav"/>
            <w:ind w:left="176" w:right="-76"/>
            <w:jc w:val="right"/>
          </w:pPr>
        </w:p>
      </w:tc>
    </w:tr>
  </w:tbl>
  <w:p w:rsidR="006F18AD" w:rsidRPr="00B009E5" w:rsidRDefault="006F18AD" w:rsidP="00872F06">
    <w:pPr>
      <w:tabs>
        <w:tab w:val="center" w:pos="4536"/>
        <w:tab w:val="right" w:pos="9072"/>
      </w:tabs>
      <w:suppressAutoHyphen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522331"/>
    <w:multiLevelType w:val="hybridMultilevel"/>
    <w:tmpl w:val="256ACEE6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7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177F0"/>
    <w:multiLevelType w:val="hybridMultilevel"/>
    <w:tmpl w:val="1E9800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"/>
  </w:num>
  <w:num w:numId="5">
    <w:abstractNumId w:val="29"/>
  </w:num>
  <w:num w:numId="6">
    <w:abstractNumId w:val="29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5"/>
    <w:lvlOverride w:ilvl="0">
      <w:startOverride w:val="1"/>
    </w:lvlOverride>
  </w:num>
  <w:num w:numId="11">
    <w:abstractNumId w:val="34"/>
  </w:num>
  <w:num w:numId="12">
    <w:abstractNumId w:val="30"/>
  </w:num>
  <w:num w:numId="13">
    <w:abstractNumId w:val="35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22"/>
  </w:num>
  <w:num w:numId="17">
    <w:abstractNumId w:val="24"/>
  </w:num>
  <w:num w:numId="18">
    <w:abstractNumId w:val="21"/>
  </w:num>
  <w:num w:numId="19">
    <w:abstractNumId w:val="15"/>
  </w:num>
  <w:num w:numId="20">
    <w:abstractNumId w:val="7"/>
  </w:num>
  <w:num w:numId="21">
    <w:abstractNumId w:val="8"/>
  </w:num>
  <w:num w:numId="22">
    <w:abstractNumId w:val="0"/>
  </w:num>
  <w:num w:numId="23">
    <w:abstractNumId w:val="36"/>
  </w:num>
  <w:num w:numId="24">
    <w:abstractNumId w:val="32"/>
  </w:num>
  <w:num w:numId="25">
    <w:abstractNumId w:val="33"/>
  </w:num>
  <w:num w:numId="26">
    <w:abstractNumId w:val="10"/>
  </w:num>
  <w:num w:numId="27">
    <w:abstractNumId w:val="9"/>
  </w:num>
  <w:num w:numId="28">
    <w:abstractNumId w:val="17"/>
  </w:num>
  <w:num w:numId="29">
    <w:abstractNumId w:val="4"/>
  </w:num>
  <w:num w:numId="30">
    <w:abstractNumId w:val="23"/>
  </w:num>
  <w:num w:numId="31">
    <w:abstractNumId w:val="14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18"/>
  </w:num>
  <w:num w:numId="37">
    <w:abstractNumId w:val="5"/>
  </w:num>
  <w:num w:numId="38">
    <w:abstractNumId w:val="2"/>
  </w:num>
  <w:num w:numId="39">
    <w:abstractNumId w:val="11"/>
  </w:num>
  <w:num w:numId="40">
    <w:abstractNumId w:val="25"/>
  </w:num>
  <w:num w:numId="41">
    <w:abstractNumId w:val="26"/>
  </w:num>
  <w:num w:numId="42">
    <w:abstractNumId w:val="13"/>
  </w:num>
  <w:num w:numId="43">
    <w:abstractNumId w:val="20"/>
  </w:num>
  <w:num w:numId="44">
    <w:abstractNumId w:val="25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DD"/>
    <w:rsid w:val="00057A24"/>
    <w:rsid w:val="00061AEA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115D"/>
    <w:rsid w:val="000B3BA8"/>
    <w:rsid w:val="000B5647"/>
    <w:rsid w:val="000B79E2"/>
    <w:rsid w:val="000C7BB1"/>
    <w:rsid w:val="000D1594"/>
    <w:rsid w:val="000D318E"/>
    <w:rsid w:val="000D4E3F"/>
    <w:rsid w:val="000D69F5"/>
    <w:rsid w:val="000D7B04"/>
    <w:rsid w:val="000E1AF7"/>
    <w:rsid w:val="000E2E15"/>
    <w:rsid w:val="000E779F"/>
    <w:rsid w:val="000F10ED"/>
    <w:rsid w:val="000F3714"/>
    <w:rsid w:val="000F5456"/>
    <w:rsid w:val="000F6CA5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33CE"/>
    <w:rsid w:val="00155620"/>
    <w:rsid w:val="00156B6A"/>
    <w:rsid w:val="00161E46"/>
    <w:rsid w:val="00163B2B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34B2"/>
    <w:rsid w:val="001B5898"/>
    <w:rsid w:val="001B6C7A"/>
    <w:rsid w:val="001D726F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6036D"/>
    <w:rsid w:val="0026069B"/>
    <w:rsid w:val="00262CFA"/>
    <w:rsid w:val="00265133"/>
    <w:rsid w:val="00265DAA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2F4DFA"/>
    <w:rsid w:val="00302137"/>
    <w:rsid w:val="0030298F"/>
    <w:rsid w:val="00304E96"/>
    <w:rsid w:val="003065C0"/>
    <w:rsid w:val="00307126"/>
    <w:rsid w:val="00313732"/>
    <w:rsid w:val="003163E6"/>
    <w:rsid w:val="00322215"/>
    <w:rsid w:val="00323612"/>
    <w:rsid w:val="0033126A"/>
    <w:rsid w:val="00335AA2"/>
    <w:rsid w:val="003367D0"/>
    <w:rsid w:val="003377A9"/>
    <w:rsid w:val="0034196F"/>
    <w:rsid w:val="00361F67"/>
    <w:rsid w:val="0036299E"/>
    <w:rsid w:val="00363B16"/>
    <w:rsid w:val="0037015A"/>
    <w:rsid w:val="003710ED"/>
    <w:rsid w:val="00371A63"/>
    <w:rsid w:val="003745D2"/>
    <w:rsid w:val="00384BDE"/>
    <w:rsid w:val="00392CA5"/>
    <w:rsid w:val="003A146B"/>
    <w:rsid w:val="003A7F4F"/>
    <w:rsid w:val="003B51C6"/>
    <w:rsid w:val="003B7F61"/>
    <w:rsid w:val="003C06F6"/>
    <w:rsid w:val="003C30F6"/>
    <w:rsid w:val="003C3CA7"/>
    <w:rsid w:val="003D0B6B"/>
    <w:rsid w:val="003D22C7"/>
    <w:rsid w:val="003E0A2D"/>
    <w:rsid w:val="003E6561"/>
    <w:rsid w:val="003F123E"/>
    <w:rsid w:val="003F1C1C"/>
    <w:rsid w:val="00400B1A"/>
    <w:rsid w:val="00401749"/>
    <w:rsid w:val="00401B7F"/>
    <w:rsid w:val="004054BA"/>
    <w:rsid w:val="00407CFC"/>
    <w:rsid w:val="00414232"/>
    <w:rsid w:val="00414845"/>
    <w:rsid w:val="0041631C"/>
    <w:rsid w:val="00416EFB"/>
    <w:rsid w:val="00425A32"/>
    <w:rsid w:val="00425AE3"/>
    <w:rsid w:val="004269A2"/>
    <w:rsid w:val="00432175"/>
    <w:rsid w:val="0044338A"/>
    <w:rsid w:val="004505DB"/>
    <w:rsid w:val="004508F6"/>
    <w:rsid w:val="00454B79"/>
    <w:rsid w:val="00456B80"/>
    <w:rsid w:val="00461DA6"/>
    <w:rsid w:val="004704E3"/>
    <w:rsid w:val="0047128F"/>
    <w:rsid w:val="00471F20"/>
    <w:rsid w:val="00474388"/>
    <w:rsid w:val="004767C8"/>
    <w:rsid w:val="0049180B"/>
    <w:rsid w:val="0049199B"/>
    <w:rsid w:val="00492CD6"/>
    <w:rsid w:val="00493976"/>
    <w:rsid w:val="00493A97"/>
    <w:rsid w:val="00493F03"/>
    <w:rsid w:val="004966CC"/>
    <w:rsid w:val="004A2046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4BCB"/>
    <w:rsid w:val="0052765D"/>
    <w:rsid w:val="00531FA3"/>
    <w:rsid w:val="00532B77"/>
    <w:rsid w:val="00534C3C"/>
    <w:rsid w:val="005408D7"/>
    <w:rsid w:val="00541A22"/>
    <w:rsid w:val="0054516F"/>
    <w:rsid w:val="00546D2F"/>
    <w:rsid w:val="00555196"/>
    <w:rsid w:val="00587133"/>
    <w:rsid w:val="00587EF4"/>
    <w:rsid w:val="005A0203"/>
    <w:rsid w:val="005A0BCD"/>
    <w:rsid w:val="005A3886"/>
    <w:rsid w:val="005A7B30"/>
    <w:rsid w:val="005B1D1E"/>
    <w:rsid w:val="005B2A2F"/>
    <w:rsid w:val="005B697F"/>
    <w:rsid w:val="005C019D"/>
    <w:rsid w:val="005C1F61"/>
    <w:rsid w:val="005C3271"/>
    <w:rsid w:val="005C38F7"/>
    <w:rsid w:val="005C5B45"/>
    <w:rsid w:val="005E3F58"/>
    <w:rsid w:val="005F0042"/>
    <w:rsid w:val="005F15AB"/>
    <w:rsid w:val="005F654D"/>
    <w:rsid w:val="006118A3"/>
    <w:rsid w:val="00612E93"/>
    <w:rsid w:val="00613494"/>
    <w:rsid w:val="006154A2"/>
    <w:rsid w:val="00617B1E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1D6F"/>
    <w:rsid w:val="006876A7"/>
    <w:rsid w:val="00690CF4"/>
    <w:rsid w:val="00693E16"/>
    <w:rsid w:val="00694541"/>
    <w:rsid w:val="00697748"/>
    <w:rsid w:val="006A487B"/>
    <w:rsid w:val="006A7A50"/>
    <w:rsid w:val="006B19E9"/>
    <w:rsid w:val="006C571E"/>
    <w:rsid w:val="006C715A"/>
    <w:rsid w:val="006D06EF"/>
    <w:rsid w:val="006D2C7D"/>
    <w:rsid w:val="006D3397"/>
    <w:rsid w:val="006D46FF"/>
    <w:rsid w:val="006D53B3"/>
    <w:rsid w:val="006D7713"/>
    <w:rsid w:val="006D7D82"/>
    <w:rsid w:val="006F1092"/>
    <w:rsid w:val="006F18AD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1C38"/>
    <w:rsid w:val="00776F57"/>
    <w:rsid w:val="00776F95"/>
    <w:rsid w:val="00787D20"/>
    <w:rsid w:val="007915DC"/>
    <w:rsid w:val="00792D51"/>
    <w:rsid w:val="00793164"/>
    <w:rsid w:val="00795FAF"/>
    <w:rsid w:val="007960CE"/>
    <w:rsid w:val="0079610A"/>
    <w:rsid w:val="007A2D2F"/>
    <w:rsid w:val="007A32A1"/>
    <w:rsid w:val="007A3561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2499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1B8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2477C"/>
    <w:rsid w:val="00924C55"/>
    <w:rsid w:val="009252D5"/>
    <w:rsid w:val="00927C5E"/>
    <w:rsid w:val="0094179C"/>
    <w:rsid w:val="00961A81"/>
    <w:rsid w:val="009629D5"/>
    <w:rsid w:val="0096303D"/>
    <w:rsid w:val="0096550C"/>
    <w:rsid w:val="0097710F"/>
    <w:rsid w:val="009772D9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0F49"/>
    <w:rsid w:val="009E2479"/>
    <w:rsid w:val="009E440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0103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738E"/>
    <w:rsid w:val="00A93E87"/>
    <w:rsid w:val="00A94858"/>
    <w:rsid w:val="00A961A3"/>
    <w:rsid w:val="00AA401D"/>
    <w:rsid w:val="00AB7040"/>
    <w:rsid w:val="00AC10D8"/>
    <w:rsid w:val="00AC2F2A"/>
    <w:rsid w:val="00AC64FC"/>
    <w:rsid w:val="00AC6BD4"/>
    <w:rsid w:val="00AD3370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31A9"/>
    <w:rsid w:val="00B22E15"/>
    <w:rsid w:val="00B30256"/>
    <w:rsid w:val="00B31B8B"/>
    <w:rsid w:val="00B34762"/>
    <w:rsid w:val="00B362B5"/>
    <w:rsid w:val="00B428B4"/>
    <w:rsid w:val="00B45E4F"/>
    <w:rsid w:val="00B47C37"/>
    <w:rsid w:val="00B6188D"/>
    <w:rsid w:val="00B62B7A"/>
    <w:rsid w:val="00B6425D"/>
    <w:rsid w:val="00B653D0"/>
    <w:rsid w:val="00B66EEF"/>
    <w:rsid w:val="00B70333"/>
    <w:rsid w:val="00B71252"/>
    <w:rsid w:val="00B757B1"/>
    <w:rsid w:val="00B77253"/>
    <w:rsid w:val="00B80591"/>
    <w:rsid w:val="00B80DA6"/>
    <w:rsid w:val="00B84068"/>
    <w:rsid w:val="00B8657E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0E8"/>
    <w:rsid w:val="00BE64EA"/>
    <w:rsid w:val="00BF1442"/>
    <w:rsid w:val="00BF46CC"/>
    <w:rsid w:val="00BF612F"/>
    <w:rsid w:val="00BF7D9C"/>
    <w:rsid w:val="00C00092"/>
    <w:rsid w:val="00C043B2"/>
    <w:rsid w:val="00C05CC3"/>
    <w:rsid w:val="00C06639"/>
    <w:rsid w:val="00C13E2C"/>
    <w:rsid w:val="00C15F98"/>
    <w:rsid w:val="00C16407"/>
    <w:rsid w:val="00C17212"/>
    <w:rsid w:val="00C206C0"/>
    <w:rsid w:val="00C32E0F"/>
    <w:rsid w:val="00C330AF"/>
    <w:rsid w:val="00C379C8"/>
    <w:rsid w:val="00C452CD"/>
    <w:rsid w:val="00C46DDA"/>
    <w:rsid w:val="00C50363"/>
    <w:rsid w:val="00C604E5"/>
    <w:rsid w:val="00C66E48"/>
    <w:rsid w:val="00C67E82"/>
    <w:rsid w:val="00C72936"/>
    <w:rsid w:val="00C754D1"/>
    <w:rsid w:val="00C77DB9"/>
    <w:rsid w:val="00C80F69"/>
    <w:rsid w:val="00C87D1C"/>
    <w:rsid w:val="00C93295"/>
    <w:rsid w:val="00C978C3"/>
    <w:rsid w:val="00CA35DA"/>
    <w:rsid w:val="00CA3886"/>
    <w:rsid w:val="00CA3EDA"/>
    <w:rsid w:val="00CA4458"/>
    <w:rsid w:val="00CB2B0C"/>
    <w:rsid w:val="00CC1C3A"/>
    <w:rsid w:val="00CC2A4B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16BA"/>
    <w:rsid w:val="00D312C4"/>
    <w:rsid w:val="00D440A3"/>
    <w:rsid w:val="00D4567E"/>
    <w:rsid w:val="00D46BF5"/>
    <w:rsid w:val="00D46EAA"/>
    <w:rsid w:val="00D54CE1"/>
    <w:rsid w:val="00D62248"/>
    <w:rsid w:val="00D6651A"/>
    <w:rsid w:val="00D76A87"/>
    <w:rsid w:val="00D84193"/>
    <w:rsid w:val="00D90797"/>
    <w:rsid w:val="00D91CC3"/>
    <w:rsid w:val="00D97182"/>
    <w:rsid w:val="00DA01E5"/>
    <w:rsid w:val="00DA7491"/>
    <w:rsid w:val="00DB25E2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029C1"/>
    <w:rsid w:val="00E11DAB"/>
    <w:rsid w:val="00E123FE"/>
    <w:rsid w:val="00E146BA"/>
    <w:rsid w:val="00E150FF"/>
    <w:rsid w:val="00E15907"/>
    <w:rsid w:val="00E15A8F"/>
    <w:rsid w:val="00E16BB9"/>
    <w:rsid w:val="00E23610"/>
    <w:rsid w:val="00E34256"/>
    <w:rsid w:val="00E34B83"/>
    <w:rsid w:val="00E452BC"/>
    <w:rsid w:val="00E56F23"/>
    <w:rsid w:val="00E5711B"/>
    <w:rsid w:val="00E63C9B"/>
    <w:rsid w:val="00E64B85"/>
    <w:rsid w:val="00E703C6"/>
    <w:rsid w:val="00E72A81"/>
    <w:rsid w:val="00E74B33"/>
    <w:rsid w:val="00E816CE"/>
    <w:rsid w:val="00E91CF5"/>
    <w:rsid w:val="00E95488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36F9"/>
    <w:rsid w:val="00EE58C4"/>
    <w:rsid w:val="00EE762C"/>
    <w:rsid w:val="00EF27E4"/>
    <w:rsid w:val="00EF4152"/>
    <w:rsid w:val="00F023D0"/>
    <w:rsid w:val="00F02E8B"/>
    <w:rsid w:val="00F040F3"/>
    <w:rsid w:val="00F07DCC"/>
    <w:rsid w:val="00F1107D"/>
    <w:rsid w:val="00F13A17"/>
    <w:rsid w:val="00F13D43"/>
    <w:rsid w:val="00F1484F"/>
    <w:rsid w:val="00F15512"/>
    <w:rsid w:val="00F30F92"/>
    <w:rsid w:val="00F4051D"/>
    <w:rsid w:val="00F42494"/>
    <w:rsid w:val="00F43ADF"/>
    <w:rsid w:val="00F43E7D"/>
    <w:rsid w:val="00F54F97"/>
    <w:rsid w:val="00F6023C"/>
    <w:rsid w:val="00F62F4E"/>
    <w:rsid w:val="00F67FCB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6D81"/>
    <w:rsid w:val="00FB2B46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49F2DC"/>
  <w14:defaultImageDpi w14:val="0"/>
  <w15:docId w15:val="{31BDC9DE-75AA-47AC-BB26-EB40DEB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 w:bidi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 w:bidi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 w:val="24"/>
      <w:szCs w:val="24"/>
      <w:lang w:val="cs-CZ" w:eastAsia="ar-SA" w:bidi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0"/>
      <w:lang w:val="x-none" w:eastAsia="ar-SA" w:bidi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val="x-none"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val="x-none"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val="x-none"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val="x-none"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41EB-18DF-4146-861E-94D6131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F1B826B4.dotm</Template>
  <TotalTime>1</TotalTime>
  <Pages>10</Pages>
  <Words>2290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subject/>
  <dc:creator>Marta Arazimova</dc:creator>
  <cp:keywords/>
  <dc:description/>
  <cp:lastModifiedBy>Smajsova, Radka</cp:lastModifiedBy>
  <cp:revision>2</cp:revision>
  <cp:lastPrinted>2019-12-09T10:17:00Z</cp:lastPrinted>
  <dcterms:created xsi:type="dcterms:W3CDTF">2020-01-13T11:43:00Z</dcterms:created>
  <dcterms:modified xsi:type="dcterms:W3CDTF">2020-01-13T11:43:00Z</dcterms:modified>
</cp:coreProperties>
</file>