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C7157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C7157">
        <w:rPr>
          <w:sz w:val="36"/>
          <w:szCs w:val="36"/>
        </w:rPr>
        <w:t>Smlouva</w:t>
      </w:r>
    </w:p>
    <w:p w:rsidR="00C130F6" w:rsidRPr="00DC7157" w:rsidRDefault="00C130F6" w:rsidP="00C130F6">
      <w:pPr>
        <w:rPr>
          <w:rFonts w:ascii="Arial" w:hAnsi="Arial" w:cs="Arial"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 xml:space="preserve">o poskytnutí účelové podpory 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  <w:r w:rsidRPr="00DC7157">
        <w:rPr>
          <w:rFonts w:ascii="Arial" w:hAnsi="Arial" w:cs="Arial"/>
          <w:b/>
        </w:rPr>
        <w:t>na řešení projektu výzkumu, vývoje a inovací s názvem</w:t>
      </w: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C130F6" w:rsidRPr="00DC7157" w:rsidRDefault="00C130F6" w:rsidP="00C130F6">
      <w:pPr>
        <w:jc w:val="center"/>
        <w:rPr>
          <w:rFonts w:ascii="Arial" w:hAnsi="Arial" w:cs="Arial"/>
          <w:b/>
        </w:rPr>
      </w:pPr>
    </w:p>
    <w:p w:rsidR="009656E9" w:rsidRDefault="00C130F6" w:rsidP="009656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7157">
        <w:rPr>
          <w:rFonts w:ascii="Arial" w:hAnsi="Arial" w:cs="Arial"/>
          <w:b/>
          <w:sz w:val="32"/>
          <w:szCs w:val="32"/>
        </w:rPr>
        <w:t>„</w:t>
      </w:r>
      <w:r w:rsidR="009656E9" w:rsidRPr="009656E9">
        <w:rPr>
          <w:rFonts w:ascii="Arial" w:hAnsi="Arial" w:cs="Arial"/>
          <w:b/>
          <w:bCs/>
          <w:sz w:val="32"/>
          <w:szCs w:val="32"/>
        </w:rPr>
        <w:t xml:space="preserve">Nové syntetické drogy – komplexní mezioborové </w:t>
      </w:r>
    </w:p>
    <w:p w:rsidR="00DA2F00" w:rsidRPr="00DA2F00" w:rsidRDefault="009656E9" w:rsidP="009656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56E9">
        <w:rPr>
          <w:rFonts w:ascii="Arial" w:hAnsi="Arial" w:cs="Arial"/>
          <w:b/>
          <w:bCs/>
          <w:sz w:val="32"/>
          <w:szCs w:val="32"/>
        </w:rPr>
        <w:t>výzkumné centrum</w:t>
      </w:r>
      <w:r w:rsidR="00DA2F00" w:rsidRPr="00DC7157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1C399A" w:rsidRDefault="001C399A" w:rsidP="001C399A">
      <w:pPr>
        <w:pStyle w:val="Nadpis4"/>
        <w:jc w:val="center"/>
        <w:rPr>
          <w:rFonts w:ascii="Arial" w:hAnsi="Arial" w:cs="Arial"/>
        </w:rPr>
      </w:pPr>
    </w:p>
    <w:p w:rsidR="009656E9" w:rsidRPr="009656E9" w:rsidRDefault="009656E9" w:rsidP="009656E9">
      <w:pPr>
        <w:pStyle w:val="Nadpis4"/>
        <w:jc w:val="center"/>
        <w:rPr>
          <w:rFonts w:ascii="Arial" w:hAnsi="Arial" w:cs="Arial"/>
        </w:rPr>
      </w:pPr>
      <w:r w:rsidRPr="009656E9">
        <w:rPr>
          <w:rFonts w:ascii="Arial" w:hAnsi="Arial" w:cs="Arial"/>
        </w:rPr>
        <w:t>VI20172020056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9656E9" w:rsidRPr="009656E9" w:rsidRDefault="009656E9" w:rsidP="009656E9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 w:rsidRPr="009656E9">
        <w:rPr>
          <w:rFonts w:ascii="Arial" w:hAnsi="Arial" w:cs="Arial"/>
          <w:i/>
          <w:color w:val="000000"/>
        </w:rPr>
        <w:t>Vysoká škola chemicko-technologická v Praze</w:t>
      </w:r>
    </w:p>
    <w:p w:rsidR="00C130F6" w:rsidRPr="00677599" w:rsidRDefault="00C130F6" w:rsidP="00FC271F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9656E9" w:rsidRDefault="009656E9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 w:rsidRPr="009656E9">
        <w:rPr>
          <w:rFonts w:ascii="Arial" w:hAnsi="Arial" w:cs="Arial"/>
          <w:i/>
          <w:color w:val="000000"/>
          <w:sz w:val="28"/>
          <w:szCs w:val="28"/>
        </w:rPr>
        <w:t>Alfarma s.r.o.</w:t>
      </w:r>
    </w:p>
    <w:p w:rsidR="00896E56" w:rsidRDefault="00896E56" w:rsidP="00896E56">
      <w:pPr>
        <w:pStyle w:val="Nzev"/>
        <w:spacing w:after="240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a</w:t>
      </w:r>
    </w:p>
    <w:p w:rsidR="001C399A" w:rsidRPr="001C399A" w:rsidRDefault="009656E9" w:rsidP="009656E9">
      <w:pPr>
        <w:pStyle w:val="Nzev"/>
        <w:spacing w:after="120"/>
        <w:rPr>
          <w:rFonts w:ascii="Arial" w:hAnsi="Arial" w:cs="Arial"/>
          <w:i/>
          <w:sz w:val="28"/>
          <w:szCs w:val="28"/>
        </w:rPr>
      </w:pPr>
      <w:r w:rsidRPr="009656E9">
        <w:rPr>
          <w:rFonts w:ascii="Arial" w:hAnsi="Arial" w:cs="Arial"/>
          <w:i/>
          <w:color w:val="000000"/>
          <w:sz w:val="28"/>
          <w:szCs w:val="28"/>
        </w:rPr>
        <w:t>Národní ústav duševního zdraví</w:t>
      </w:r>
    </w:p>
    <w:p w:rsidR="00776D1C" w:rsidRPr="001C399A" w:rsidRDefault="00776D1C" w:rsidP="00C130F6">
      <w:pPr>
        <w:pStyle w:val="Nzev"/>
        <w:ind w:left="7080"/>
        <w:jc w:val="both"/>
        <w:rPr>
          <w:rFonts w:ascii="Arial" w:hAnsi="Arial" w:cs="Arial"/>
          <w:i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9656E9" w:rsidRDefault="009656E9" w:rsidP="001C399A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</w:p>
    <w:p w:rsidR="009656E9" w:rsidRDefault="009656E9" w:rsidP="001C399A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</w:p>
    <w:p w:rsidR="009656E9" w:rsidRPr="009656E9" w:rsidRDefault="009656E9" w:rsidP="009656E9">
      <w:pPr>
        <w:pStyle w:val="Nzev"/>
        <w:ind w:left="5664"/>
        <w:rPr>
          <w:rFonts w:ascii="Arial" w:hAnsi="Arial" w:cs="Arial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C130F6" w:rsidRPr="0002172B">
        <w:rPr>
          <w:rFonts w:ascii="Arial" w:hAnsi="Arial" w:cs="Arial"/>
          <w:b w:val="0"/>
          <w:sz w:val="24"/>
          <w:szCs w:val="24"/>
        </w:rPr>
        <w:t>Č.j.</w:t>
      </w:r>
      <w:r w:rsidR="00203C38" w:rsidRPr="0002172B">
        <w:rPr>
          <w:rFonts w:ascii="Calibri" w:hAnsi="Calibri"/>
          <w:sz w:val="24"/>
          <w:szCs w:val="24"/>
        </w:rPr>
        <w:t xml:space="preserve"> </w:t>
      </w:r>
      <w:r w:rsidRPr="009656E9">
        <w:rPr>
          <w:rFonts w:ascii="Arial" w:hAnsi="Arial" w:cs="Arial"/>
          <w:b w:val="0"/>
          <w:sz w:val="24"/>
          <w:szCs w:val="24"/>
        </w:rPr>
        <w:t>MV-113864-</w:t>
      </w:r>
      <w:r>
        <w:rPr>
          <w:rFonts w:ascii="Arial" w:hAnsi="Arial" w:cs="Arial"/>
          <w:b w:val="0"/>
          <w:sz w:val="24"/>
          <w:szCs w:val="24"/>
        </w:rPr>
        <w:t xml:space="preserve">   </w:t>
      </w:r>
      <w:r w:rsidRPr="009656E9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02172B" w:rsidRDefault="00C130F6" w:rsidP="0002172B">
      <w:pPr>
        <w:pStyle w:val="Nzev"/>
        <w:ind w:left="5246" w:firstLine="708"/>
        <w:jc w:val="left"/>
        <w:rPr>
          <w:rFonts w:ascii="Arial" w:hAnsi="Arial" w:cs="Arial"/>
          <w:b w:val="0"/>
          <w:sz w:val="24"/>
          <w:szCs w:val="24"/>
        </w:rPr>
      </w:pPr>
      <w:r w:rsidRPr="0002172B">
        <w:rPr>
          <w:rFonts w:ascii="Arial" w:hAnsi="Arial" w:cs="Arial"/>
          <w:b w:val="0"/>
          <w:sz w:val="24"/>
          <w:szCs w:val="24"/>
        </w:rPr>
        <w:t>Počet stran: 1</w:t>
      </w:r>
      <w:r w:rsidR="001958FB">
        <w:rPr>
          <w:rFonts w:ascii="Arial" w:hAnsi="Arial" w:cs="Arial"/>
          <w:b w:val="0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683538">
        <w:rPr>
          <w:rFonts w:ascii="Arial" w:hAnsi="Arial" w:cs="Arial"/>
          <w:sz w:val="24"/>
          <w:szCs w:val="24"/>
        </w:rPr>
        <w:t>3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9656E9" w:rsidRDefault="009656E9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38149C">
      <w:pPr>
        <w:pStyle w:val="Zkladntext"/>
        <w:spacing w:before="0"/>
        <w:rPr>
          <w:sz w:val="22"/>
          <w:szCs w:val="22"/>
        </w:rPr>
      </w:pPr>
    </w:p>
    <w:p w:rsidR="00896E56" w:rsidRPr="00896E56" w:rsidRDefault="00800D66" w:rsidP="003D484A">
      <w:pPr>
        <w:widowControl w:val="0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b/>
          <w:bCs/>
          <w:color w:val="000000"/>
        </w:rPr>
      </w:pPr>
      <w:r w:rsidRPr="00800D66">
        <w:rPr>
          <w:rFonts w:ascii="Arial" w:hAnsi="Arial" w:cs="Arial"/>
          <w:b/>
          <w:bCs/>
          <w:color w:val="000000"/>
        </w:rPr>
        <w:t>Vysoká škola chemicko-technologická v</w:t>
      </w:r>
      <w:r>
        <w:rPr>
          <w:rFonts w:ascii="Arial" w:hAnsi="Arial" w:cs="Arial"/>
          <w:b/>
          <w:bCs/>
          <w:color w:val="000000"/>
        </w:rPr>
        <w:t> </w:t>
      </w:r>
      <w:r w:rsidRPr="00800D66">
        <w:rPr>
          <w:rFonts w:ascii="Arial" w:hAnsi="Arial" w:cs="Arial"/>
          <w:b/>
          <w:bCs/>
          <w:color w:val="000000"/>
        </w:rPr>
        <w:t>Praze</w:t>
      </w:r>
      <w:r>
        <w:rPr>
          <w:rFonts w:ascii="Arial" w:hAnsi="Arial" w:cs="Arial"/>
          <w:b/>
          <w:bCs/>
          <w:color w:val="000000"/>
        </w:rPr>
        <w:t>,</w:t>
      </w:r>
      <w:r w:rsidRPr="00800D66">
        <w:rPr>
          <w:rFonts w:ascii="ArialMT" w:hAnsi="ArialMT" w:cs="ArialMT"/>
          <w:sz w:val="16"/>
          <w:szCs w:val="16"/>
        </w:rPr>
        <w:t xml:space="preserve"> </w:t>
      </w:r>
      <w:r w:rsidRPr="00800D66">
        <w:rPr>
          <w:rFonts w:ascii="Arial" w:hAnsi="Arial" w:cs="Arial"/>
          <w:b/>
          <w:bCs/>
          <w:color w:val="000000"/>
        </w:rPr>
        <w:t>Fakulta potravinářské a biochemické technologie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4333A8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se sídlem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Technická 5</w:t>
      </w:r>
      <w:r w:rsidR="00800D66">
        <w:rPr>
          <w:rFonts w:ascii="Arial" w:hAnsi="Arial" w:cs="Arial"/>
          <w:bCs/>
          <w:color w:val="000000"/>
          <w:sz w:val="22"/>
          <w:szCs w:val="22"/>
        </w:rPr>
        <w:t>/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19</w:t>
      </w:r>
      <w:r w:rsidR="001678D1">
        <w:rPr>
          <w:rFonts w:ascii="Arial" w:hAnsi="Arial" w:cs="Arial"/>
          <w:bCs/>
          <w:color w:val="000000"/>
          <w:sz w:val="22"/>
          <w:szCs w:val="22"/>
        </w:rPr>
        <w:t>05</w:t>
      </w:r>
      <w:r w:rsidR="00E23675">
        <w:rPr>
          <w:rFonts w:ascii="Arial" w:hAnsi="Arial" w:cs="Arial"/>
          <w:bCs/>
          <w:color w:val="000000"/>
          <w:sz w:val="22"/>
          <w:szCs w:val="22"/>
        </w:rPr>
        <w:t>,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 xml:space="preserve"> 166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28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 Praha</w:t>
      </w:r>
    </w:p>
    <w:p w:rsidR="001C399A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60461373</w:t>
      </w:r>
    </w:p>
    <w:p w:rsidR="00800D6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CZ60461373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prof. Ing. Karel Melzoch</w:t>
      </w:r>
      <w:r w:rsidR="00E23675">
        <w:rPr>
          <w:rFonts w:ascii="Arial" w:hAnsi="Arial" w:cs="Arial"/>
          <w:bCs/>
          <w:color w:val="000000"/>
          <w:sz w:val="22"/>
          <w:szCs w:val="22"/>
        </w:rPr>
        <w:t>,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 xml:space="preserve"> CSc.</w:t>
      </w:r>
      <w:r w:rsidR="00800D66">
        <w:rPr>
          <w:rFonts w:ascii="Arial" w:hAnsi="Arial" w:cs="Arial"/>
          <w:bCs/>
          <w:color w:val="000000"/>
          <w:sz w:val="22"/>
          <w:szCs w:val="22"/>
        </w:rPr>
        <w:t>, rektor</w:t>
      </w:r>
    </w:p>
    <w:p w:rsidR="00800D66" w:rsidRPr="00800D66" w:rsidRDefault="00800D66" w:rsidP="008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00D66">
        <w:rPr>
          <w:rFonts w:ascii="Arial" w:hAnsi="Arial" w:cs="Arial"/>
          <w:bCs/>
          <w:color w:val="000000"/>
          <w:sz w:val="22"/>
          <w:szCs w:val="22"/>
        </w:rPr>
        <w:t xml:space="preserve">uvedená v příloze č. 1 zákona č. 111/1998 Sb., o vysokých školách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číslo bankovního účtu: </w:t>
      </w:r>
      <w:r w:rsidR="001678D1" w:rsidRPr="001678D1">
        <w:rPr>
          <w:rFonts w:ascii="Arial" w:hAnsi="Arial" w:cs="Arial"/>
          <w:bCs/>
          <w:color w:val="000000"/>
          <w:sz w:val="22"/>
          <w:szCs w:val="22"/>
        </w:rPr>
        <w:t>94-10134061/0710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adresa pro doručování: sídlo příjemce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kontaktní osoba: manažer projektu</w:t>
      </w:r>
    </w:p>
    <w:p w:rsidR="00800D66" w:rsidRPr="00E23675" w:rsidRDefault="00800D66" w:rsidP="00800D66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>Ing. Martin Kuchař</w:t>
      </w:r>
      <w:r w:rsidR="00E23675"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>,</w:t>
      </w:r>
      <w:r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 Ph.D., </w:t>
      </w:r>
      <w:r w:rsidR="00896E56"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tel.: </w:t>
      </w:r>
      <w:r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>220 444 431</w:t>
      </w:r>
      <w:r w:rsidR="00896E56" w:rsidRPr="00152F59">
        <w:rPr>
          <w:rFonts w:ascii="Arial" w:hAnsi="Arial" w:cs="Arial"/>
          <w:bCs/>
          <w:color w:val="000000"/>
          <w:sz w:val="22"/>
          <w:szCs w:val="22"/>
          <w:highlight w:val="black"/>
        </w:rPr>
        <w:t xml:space="preserve">, e-mail: </w:t>
      </w:r>
      <w:hyperlink r:id="rId7" w:history="1">
        <w:r w:rsidRPr="00152F59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martin.kuchar@vscht.cz</w:t>
        </w:r>
      </w:hyperlink>
      <w:r w:rsidRPr="00E23675">
        <w:rPr>
          <w:rFonts w:ascii="Arial" w:hAnsi="Arial" w:cs="Arial"/>
          <w:bCs/>
          <w:sz w:val="22"/>
          <w:szCs w:val="22"/>
        </w:rPr>
        <w:t xml:space="preserve"> </w:t>
      </w:r>
    </w:p>
    <w:p w:rsidR="00896E56" w:rsidRPr="00896E56" w:rsidRDefault="00896E56" w:rsidP="00896E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(dále jen </w:t>
      </w:r>
      <w:r w:rsidRPr="006B1687">
        <w:rPr>
          <w:rFonts w:ascii="Arial" w:hAnsi="Arial" w:cs="Arial"/>
          <w:b/>
          <w:bCs/>
          <w:color w:val="000000"/>
          <w:sz w:val="22"/>
          <w:szCs w:val="22"/>
        </w:rPr>
        <w:t>„příjemce-koordinátor“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A84B2D" w:rsidRPr="006B1687" w:rsidRDefault="00896E56" w:rsidP="003D484A">
      <w:pPr>
        <w:pStyle w:val="Zkladntext"/>
        <w:numPr>
          <w:ilvl w:val="0"/>
          <w:numId w:val="42"/>
        </w:numPr>
        <w:tabs>
          <w:tab w:val="clear" w:pos="720"/>
          <w:tab w:val="num" w:pos="426"/>
        </w:tabs>
        <w:spacing w:after="120"/>
        <w:ind w:hanging="720"/>
        <w:rPr>
          <w:rFonts w:cs="Arial"/>
          <w:b/>
          <w:bCs/>
          <w:color w:val="000000"/>
          <w:sz w:val="24"/>
        </w:rPr>
      </w:pPr>
      <w:r w:rsidRPr="006B1687">
        <w:rPr>
          <w:rFonts w:ascii="Calibri" w:hAnsi="Calibri"/>
          <w:sz w:val="24"/>
        </w:rPr>
        <w:t xml:space="preserve"> </w:t>
      </w:r>
      <w:r w:rsidR="00800D66" w:rsidRPr="00800D66">
        <w:rPr>
          <w:rFonts w:cs="Arial"/>
          <w:b/>
          <w:bCs/>
          <w:color w:val="000000"/>
          <w:sz w:val="24"/>
        </w:rPr>
        <w:t>Alfarma s.r.o.</w:t>
      </w:r>
    </w:p>
    <w:p w:rsidR="00800D6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>se sídlem</w:t>
      </w:r>
      <w:r w:rsidR="00800D66">
        <w:rPr>
          <w:rFonts w:ascii="Arial" w:hAnsi="Arial" w:cs="Arial"/>
          <w:bCs/>
          <w:color w:val="000000"/>
          <w:sz w:val="22"/>
          <w:szCs w:val="22"/>
        </w:rPr>
        <w:t>:</w:t>
      </w: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Mokropeská 701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252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28</w:t>
      </w:r>
      <w:r w:rsidR="00800D66">
        <w:rPr>
          <w:rFonts w:ascii="Arial" w:hAnsi="Arial" w:cs="Arial"/>
          <w:bCs/>
          <w:color w:val="000000"/>
          <w:sz w:val="22"/>
          <w:szCs w:val="22"/>
        </w:rPr>
        <w:t xml:space="preserve"> Černošice</w:t>
      </w:r>
    </w:p>
    <w:p w:rsidR="00800D6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IČ: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26718278</w:t>
      </w:r>
    </w:p>
    <w:p w:rsidR="00A84B2D" w:rsidRPr="00896E56" w:rsidRDefault="00A84B2D" w:rsidP="00A84B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DIČ: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CZ26718278</w:t>
      </w:r>
    </w:p>
    <w:p w:rsidR="00800D66" w:rsidRDefault="00A84B2D" w:rsidP="00800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6E56">
        <w:rPr>
          <w:rFonts w:ascii="Arial" w:hAnsi="Arial" w:cs="Arial"/>
          <w:bCs/>
          <w:color w:val="000000"/>
          <w:sz w:val="22"/>
          <w:szCs w:val="22"/>
        </w:rPr>
        <w:t xml:space="preserve">statutární zástupce: 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>RNDr. Miroslav Flieger</w:t>
      </w:r>
      <w:r w:rsidR="00E23675">
        <w:rPr>
          <w:rFonts w:ascii="Arial" w:hAnsi="Arial" w:cs="Arial"/>
          <w:bCs/>
          <w:color w:val="000000"/>
          <w:sz w:val="22"/>
          <w:szCs w:val="22"/>
        </w:rPr>
        <w:t>,</w:t>
      </w:r>
      <w:r w:rsidR="00800D66" w:rsidRPr="00800D66">
        <w:rPr>
          <w:rFonts w:ascii="Arial" w:hAnsi="Arial" w:cs="Arial"/>
          <w:bCs/>
          <w:color w:val="000000"/>
          <w:sz w:val="22"/>
          <w:szCs w:val="22"/>
        </w:rPr>
        <w:t xml:space="preserve"> CSc.</w:t>
      </w:r>
      <w:r w:rsidR="00800D66">
        <w:rPr>
          <w:rFonts w:ascii="Arial" w:hAnsi="Arial" w:cs="Arial"/>
          <w:bCs/>
          <w:color w:val="000000"/>
          <w:sz w:val="22"/>
          <w:szCs w:val="22"/>
        </w:rPr>
        <w:t>, jednatel</w:t>
      </w:r>
    </w:p>
    <w:p w:rsidR="0019591E" w:rsidRPr="0019591E" w:rsidRDefault="0019591E" w:rsidP="001959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9591E">
        <w:rPr>
          <w:rFonts w:ascii="Arial" w:hAnsi="Arial" w:cs="Arial"/>
          <w:color w:val="000000"/>
          <w:sz w:val="22"/>
          <w:szCs w:val="22"/>
        </w:rPr>
        <w:t xml:space="preserve">zapsaná v obchodním rejstříku vedeném Městským soudem v Praze oddíl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, vložka </w:t>
      </w:r>
      <w:r>
        <w:rPr>
          <w:rFonts w:ascii="Arial" w:hAnsi="Arial" w:cs="Arial"/>
          <w:color w:val="000000"/>
          <w:sz w:val="22"/>
          <w:szCs w:val="22"/>
        </w:rPr>
        <w:t>89340</w:t>
      </w:r>
      <w:r w:rsidRPr="0019591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1678D1" w:rsidRPr="001678D1">
        <w:rPr>
          <w:rFonts w:ascii="Arial" w:hAnsi="Arial" w:cs="Arial"/>
          <w:color w:val="000000"/>
          <w:sz w:val="22"/>
          <w:szCs w:val="22"/>
        </w:rPr>
        <w:t>800832008/2700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19591E" w:rsidRPr="0019591E" w:rsidRDefault="0019591E" w:rsidP="00A26CB9">
      <w:pPr>
        <w:tabs>
          <w:tab w:val="left" w:pos="4253"/>
        </w:tabs>
        <w:spacing w:after="120"/>
        <w:rPr>
          <w:rFonts w:ascii="Arial" w:hAnsi="Arial" w:cs="Arial"/>
          <w:sz w:val="22"/>
          <w:szCs w:val="22"/>
        </w:rPr>
      </w:pPr>
      <w:r w:rsidRPr="00152F59">
        <w:rPr>
          <w:rFonts w:ascii="Arial" w:hAnsi="Arial" w:cs="Arial"/>
          <w:sz w:val="22"/>
          <w:szCs w:val="22"/>
          <w:highlight w:val="black"/>
        </w:rPr>
        <w:t>RNDr. Miroslav Flieger</w:t>
      </w:r>
      <w:r w:rsidR="00CC7DD2" w:rsidRPr="00152F59">
        <w:rPr>
          <w:rFonts w:ascii="Arial" w:hAnsi="Arial" w:cs="Arial"/>
          <w:sz w:val="22"/>
          <w:szCs w:val="22"/>
          <w:highlight w:val="black"/>
        </w:rPr>
        <w:t>,</w:t>
      </w:r>
      <w:r w:rsidRPr="00152F59">
        <w:rPr>
          <w:rFonts w:ascii="Arial" w:hAnsi="Arial" w:cs="Arial"/>
          <w:sz w:val="22"/>
          <w:szCs w:val="22"/>
          <w:highlight w:val="black"/>
        </w:rPr>
        <w:t xml:space="preserve"> CSc., </w:t>
      </w:r>
      <w:r w:rsidR="00196F98" w:rsidRPr="00152F59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152F59">
        <w:rPr>
          <w:rFonts w:ascii="Arial" w:hAnsi="Arial" w:cs="Arial"/>
          <w:sz w:val="22"/>
          <w:szCs w:val="22"/>
          <w:highlight w:val="black"/>
        </w:rPr>
        <w:t>728 121 872</w:t>
      </w:r>
      <w:r w:rsidR="00196F98" w:rsidRPr="00152F59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Pr="00152F59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miroslav.flieger@alfarma.com</w:t>
        </w:r>
      </w:hyperlink>
      <w:r w:rsidRPr="0019591E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6B1687" w:rsidRPr="006B1687">
        <w:rPr>
          <w:rFonts w:ascii="Arial" w:hAnsi="Arial" w:cs="Arial"/>
          <w:b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 w:rsidR="006B168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9F24F3" w:rsidRDefault="0019591E" w:rsidP="003D484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19591E">
        <w:rPr>
          <w:rFonts w:ascii="Arial" w:hAnsi="Arial"/>
          <w:b/>
        </w:rPr>
        <w:lastRenderedPageBreak/>
        <w:t>Národní ústav duševního zdraví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591E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>Topolová 748</w:t>
      </w:r>
      <w:r w:rsidR="0019591E">
        <w:rPr>
          <w:rFonts w:ascii="Arial" w:hAnsi="Arial" w:cs="Arial"/>
          <w:color w:val="000000"/>
          <w:sz w:val="22"/>
          <w:szCs w:val="22"/>
        </w:rPr>
        <w:t>,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 xml:space="preserve"> 250</w:t>
      </w:r>
      <w:r w:rsidR="0019591E">
        <w:rPr>
          <w:rFonts w:ascii="Arial" w:hAnsi="Arial" w:cs="Arial"/>
          <w:color w:val="000000"/>
          <w:sz w:val="22"/>
          <w:szCs w:val="22"/>
        </w:rPr>
        <w:t xml:space="preserve"> 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>67</w:t>
      </w:r>
      <w:r w:rsidR="0019591E">
        <w:rPr>
          <w:rFonts w:ascii="Arial" w:hAnsi="Arial" w:cs="Arial"/>
          <w:color w:val="000000"/>
          <w:sz w:val="22"/>
          <w:szCs w:val="22"/>
        </w:rPr>
        <w:t xml:space="preserve"> Klecany</w:t>
      </w:r>
    </w:p>
    <w:p w:rsidR="0019591E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>00023752</w:t>
      </w:r>
    </w:p>
    <w:p w:rsidR="0019591E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>CZ00023752</w:t>
      </w:r>
    </w:p>
    <w:p w:rsidR="0019591E" w:rsidRDefault="009F24F3" w:rsidP="006B168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>prof. MUDr. Cyril Höschl</w:t>
      </w:r>
      <w:r w:rsidR="00E23675">
        <w:rPr>
          <w:rFonts w:ascii="Arial" w:hAnsi="Arial" w:cs="Arial"/>
          <w:color w:val="000000"/>
          <w:sz w:val="22"/>
          <w:szCs w:val="22"/>
        </w:rPr>
        <w:t>,</w:t>
      </w:r>
      <w:r w:rsidR="0019591E" w:rsidRPr="0019591E">
        <w:rPr>
          <w:rFonts w:ascii="Arial" w:hAnsi="Arial" w:cs="Arial"/>
          <w:color w:val="000000"/>
          <w:sz w:val="22"/>
          <w:szCs w:val="22"/>
        </w:rPr>
        <w:t xml:space="preserve"> DrSc.</w:t>
      </w:r>
      <w:r w:rsidR="0019591E">
        <w:rPr>
          <w:rFonts w:ascii="Arial" w:hAnsi="Arial" w:cs="Arial"/>
          <w:color w:val="000000"/>
          <w:sz w:val="22"/>
          <w:szCs w:val="22"/>
        </w:rPr>
        <w:t>, ředitel</w:t>
      </w:r>
    </w:p>
    <w:p w:rsidR="00020B32" w:rsidRPr="00020B32" w:rsidRDefault="0019591E" w:rsidP="00020B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státní příspěvková organizace, zřízená Ministerstvem zdravotnictví zřizovací listinou </w:t>
      </w:r>
      <w:r w:rsidR="00020B32">
        <w:rPr>
          <w:rFonts w:ascii="Arial" w:hAnsi="Arial" w:cs="Arial"/>
          <w:bCs/>
          <w:color w:val="000000"/>
          <w:sz w:val="22"/>
          <w:szCs w:val="22"/>
        </w:rPr>
        <w:t>vydanou</w:t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 xml:space="preserve"> Ministerstvem zdravotnictví dne 29.</w:t>
      </w:r>
      <w:r w:rsidR="00020B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>května 2012 pod čj.: MZDR 17267-XV/2012 ve smyslu změn podle Opatření Ministerstva zdravotnictví ze dne 1.</w:t>
      </w:r>
      <w:r w:rsidR="00020B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 xml:space="preserve">prosince 2014 pod čj.: MZDR 20341/2014-4/FIN a ve znění změn provedených Opatřením Ministerstva zdravotnictví vydaného </w:t>
      </w:r>
      <w:r w:rsidR="00C171DC">
        <w:rPr>
          <w:rFonts w:ascii="Arial" w:hAnsi="Arial" w:cs="Arial"/>
          <w:bCs/>
          <w:color w:val="000000"/>
          <w:sz w:val="22"/>
          <w:szCs w:val="22"/>
        </w:rPr>
        <w:br/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>pod čj.: MZDR 39663/2016-1/OPŘ ze dne 6.</w:t>
      </w:r>
      <w:r w:rsidR="00020B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>9.</w:t>
      </w:r>
      <w:r w:rsidR="00020B3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20B32" w:rsidRPr="00020B32">
        <w:rPr>
          <w:rFonts w:ascii="Arial" w:hAnsi="Arial" w:cs="Arial"/>
          <w:bCs/>
          <w:color w:val="000000"/>
          <w:sz w:val="22"/>
          <w:szCs w:val="22"/>
        </w:rPr>
        <w:t>2016."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1678D1" w:rsidRPr="001678D1">
        <w:rPr>
          <w:rFonts w:ascii="Arial" w:hAnsi="Arial" w:cs="Arial"/>
          <w:color w:val="000000"/>
          <w:sz w:val="22"/>
          <w:szCs w:val="22"/>
        </w:rPr>
        <w:t>25234081/0710</w:t>
      </w:r>
    </w:p>
    <w:p w:rsidR="009F24F3" w:rsidRPr="00196F98" w:rsidRDefault="009F24F3" w:rsidP="006A787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6A787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6A7876" w:rsidRPr="00E23675" w:rsidRDefault="0019591E" w:rsidP="009F24F3">
      <w:pPr>
        <w:spacing w:after="120"/>
        <w:rPr>
          <w:rFonts w:ascii="Arial" w:hAnsi="Arial" w:cs="Arial"/>
          <w:sz w:val="22"/>
          <w:szCs w:val="22"/>
        </w:rPr>
      </w:pPr>
      <w:r w:rsidRPr="00152F59">
        <w:rPr>
          <w:rFonts w:ascii="Arial" w:hAnsi="Arial" w:cs="Arial"/>
          <w:sz w:val="22"/>
          <w:szCs w:val="22"/>
          <w:highlight w:val="black"/>
        </w:rPr>
        <w:t>MUDr. Tomáš Páleníček</w:t>
      </w:r>
      <w:r w:rsidR="00E23675" w:rsidRPr="00152F59">
        <w:rPr>
          <w:rFonts w:ascii="Arial" w:hAnsi="Arial" w:cs="Arial"/>
          <w:sz w:val="22"/>
          <w:szCs w:val="22"/>
          <w:highlight w:val="black"/>
        </w:rPr>
        <w:t>,</w:t>
      </w:r>
      <w:r w:rsidRPr="00152F59">
        <w:rPr>
          <w:rFonts w:ascii="Arial" w:hAnsi="Arial" w:cs="Arial"/>
          <w:sz w:val="22"/>
          <w:szCs w:val="22"/>
          <w:highlight w:val="black"/>
        </w:rPr>
        <w:t xml:space="preserve"> PhD., </w:t>
      </w:r>
      <w:r w:rsidR="009F24F3" w:rsidRPr="00152F59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152F59">
        <w:rPr>
          <w:rFonts w:ascii="Arial" w:hAnsi="Arial" w:cs="Arial"/>
          <w:sz w:val="22"/>
          <w:szCs w:val="22"/>
          <w:highlight w:val="black"/>
        </w:rPr>
        <w:t>283 088 454</w:t>
      </w:r>
      <w:r w:rsidR="009F24F3" w:rsidRPr="00152F59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9" w:history="1">
        <w:r w:rsidRPr="00152F59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tomas.palenicek@nudz.cz</w:t>
        </w:r>
      </w:hyperlink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19591E" w:rsidRDefault="0019591E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FC1251" w:rsidRDefault="00FC1251" w:rsidP="00C130F6">
      <w:pPr>
        <w:rPr>
          <w:rFonts w:ascii="Arial" w:hAnsi="Arial" w:cs="Arial"/>
        </w:rPr>
      </w:pPr>
    </w:p>
    <w:p w:rsidR="006A7876" w:rsidRDefault="006A7876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C50C3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756704" w:rsidRDefault="00C130F6" w:rsidP="00756704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b/>
          <w:color w:val="auto"/>
          <w:sz w:val="22"/>
          <w:szCs w:val="22"/>
        </w:rPr>
        <w:t>„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Nové syntetické drogy – komplex</w:t>
      </w:r>
      <w:r w:rsidR="00756704">
        <w:rPr>
          <w:rFonts w:ascii="Arial" w:hAnsi="Arial" w:cs="Arial"/>
          <w:b/>
          <w:bCs/>
          <w:sz w:val="22"/>
          <w:szCs w:val="22"/>
        </w:rPr>
        <w:t>ní mezioborové výzkumné centrum</w:t>
      </w:r>
      <w:r w:rsidR="002169AF" w:rsidRPr="00756704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756704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756704">
        <w:rPr>
          <w:rFonts w:ascii="Arial" w:hAnsi="Arial" w:cs="Arial"/>
          <w:b/>
          <w:sz w:val="22"/>
          <w:szCs w:val="22"/>
        </w:rPr>
        <w:t>„</w:t>
      </w:r>
      <w:r w:rsidR="00756704" w:rsidRPr="00756704">
        <w:rPr>
          <w:rFonts w:ascii="Arial" w:hAnsi="Arial" w:cs="Arial"/>
          <w:b/>
          <w:sz w:val="22"/>
          <w:szCs w:val="22"/>
        </w:rPr>
        <w:t>VI20172020056</w:t>
      </w:r>
      <w:r w:rsidRPr="00756704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756704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756704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7D6069" w:rsidRPr="00756704" w:rsidRDefault="00C130F6" w:rsidP="00756704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sz w:val="22"/>
          <w:szCs w:val="22"/>
        </w:rPr>
      </w:pPr>
      <w:r w:rsidRPr="00756704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756704" w:rsidRPr="00756704">
        <w:rPr>
          <w:rFonts w:ascii="Arial" w:hAnsi="Arial" w:cs="Arial"/>
          <w:color w:val="auto"/>
          <w:sz w:val="22"/>
          <w:szCs w:val="22"/>
        </w:rPr>
        <w:t>experimentální vývoj</w:t>
      </w:r>
      <w:r w:rsidR="00A131A7" w:rsidRPr="00756704">
        <w:rPr>
          <w:rFonts w:ascii="Arial" w:hAnsi="Arial" w:cs="Arial"/>
          <w:color w:val="auto"/>
          <w:sz w:val="22"/>
          <w:szCs w:val="22"/>
        </w:rPr>
        <w:t xml:space="preserve">, </w:t>
      </w:r>
      <w:r w:rsidR="00756704" w:rsidRPr="00756704">
        <w:rPr>
          <w:rFonts w:ascii="Arial" w:hAnsi="Arial" w:cs="Arial"/>
          <w:color w:val="auto"/>
          <w:sz w:val="22"/>
          <w:szCs w:val="22"/>
        </w:rPr>
        <w:t xml:space="preserve">se zaměřením </w:t>
      </w:r>
      <w:r w:rsidR="00756704" w:rsidRPr="00756704">
        <w:rPr>
          <w:rFonts w:ascii="Arial" w:hAnsi="Arial" w:cs="Arial"/>
          <w:sz w:val="22"/>
          <w:szCs w:val="22"/>
        </w:rPr>
        <w:t xml:space="preserve">na plnění databáze NSDDB. Dále na monitoraci NSD v terénu, biologických materiálech a na identifikaci nových prekursorů syntetických drog. U vybraných zástupců NSD z jednotlivých chemických skupin bude hodnocen jejich adiktivní potenciál a jejich mechanismus účinku (receptorový profil, interakce s transportéry, ovlivnění neurobiologických </w:t>
      </w:r>
      <w:r w:rsidR="00756704" w:rsidRPr="00756704">
        <w:rPr>
          <w:rFonts w:ascii="Arial" w:hAnsi="Arial" w:cs="Arial"/>
          <w:color w:val="auto"/>
          <w:sz w:val="22"/>
          <w:szCs w:val="22"/>
        </w:rPr>
        <w:t>substrátů v mozku). Informace o NSD budou využity pro jejich "risk assessment" v EMCDDA.</w:t>
      </w:r>
    </w:p>
    <w:p w:rsidR="00C130F6" w:rsidRDefault="00C130F6" w:rsidP="007D6069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6069">
        <w:rPr>
          <w:rFonts w:ascii="Arial" w:hAnsi="Arial" w:cs="Arial"/>
          <w:sz w:val="22"/>
          <w:szCs w:val="22"/>
        </w:rPr>
        <w:t xml:space="preserve">Cíle projektu, předpokládané výsledky, </w:t>
      </w:r>
      <w:r w:rsidR="00196F98" w:rsidRPr="007D6069">
        <w:rPr>
          <w:rFonts w:ascii="Arial" w:hAnsi="Arial" w:cs="Arial"/>
          <w:sz w:val="22"/>
          <w:szCs w:val="22"/>
        </w:rPr>
        <w:t xml:space="preserve">rozpočet a </w:t>
      </w:r>
      <w:r w:rsidRPr="007D6069">
        <w:rPr>
          <w:rFonts w:ascii="Arial" w:hAnsi="Arial" w:cs="Arial"/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příjemcem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CC7750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756704" w:rsidRPr="00152F59">
        <w:rPr>
          <w:rFonts w:ascii="Arial" w:hAnsi="Arial" w:cs="Arial"/>
          <w:color w:val="auto"/>
          <w:sz w:val="22"/>
          <w:szCs w:val="22"/>
          <w:highlight w:val="black"/>
        </w:rPr>
        <w:t>Ing. Martin Kuchař</w:t>
      </w:r>
      <w:r w:rsidR="00E23675" w:rsidRPr="00152F59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756704" w:rsidRPr="00152F59">
        <w:rPr>
          <w:rFonts w:ascii="Arial" w:hAnsi="Arial" w:cs="Arial"/>
          <w:color w:val="auto"/>
          <w:sz w:val="22"/>
          <w:szCs w:val="22"/>
          <w:highlight w:val="black"/>
        </w:rPr>
        <w:t xml:space="preserve"> Ph.D.</w:t>
      </w:r>
    </w:p>
    <w:p w:rsidR="00756704" w:rsidRDefault="00756704" w:rsidP="0075670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 w:rsidRPr="00605684"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9B6C27">
        <w:rPr>
          <w:rFonts w:ascii="Arial" w:hAnsi="Arial" w:cs="Arial"/>
          <w:color w:val="000000"/>
          <w:sz w:val="22"/>
          <w:szCs w:val="22"/>
        </w:rPr>
        <w:t>em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</w:t>
      </w:r>
      <w:r w:rsidR="009B6C27">
        <w:rPr>
          <w:rFonts w:ascii="Arial" w:hAnsi="Arial" w:cs="Arial"/>
          <w:color w:val="auto"/>
          <w:sz w:val="22"/>
          <w:szCs w:val="22"/>
        </w:rPr>
        <w:t>ho</w:t>
      </w:r>
      <w:r w:rsidR="00A502D9">
        <w:rPr>
          <w:rFonts w:ascii="Arial" w:hAnsi="Arial" w:cs="Arial"/>
          <w:color w:val="auto"/>
          <w:sz w:val="22"/>
          <w:szCs w:val="22"/>
        </w:rPr>
        <w:t xml:space="preserve">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9A28DA" w:rsidRDefault="009A28DA" w:rsidP="009A28DA">
      <w:pPr>
        <w:pStyle w:val="Default"/>
        <w:ind w:left="357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FC50C3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10785E">
        <w:rPr>
          <w:rFonts w:cs="Arial"/>
          <w:sz w:val="22"/>
          <w:szCs w:val="22"/>
        </w:rPr>
        <w:t>1</w:t>
      </w:r>
      <w:r w:rsidR="009263B2">
        <w:rPr>
          <w:rFonts w:cs="Arial"/>
          <w:sz w:val="22"/>
          <w:szCs w:val="22"/>
        </w:rPr>
        <w:t xml:space="preserve">. </w:t>
      </w:r>
      <w:r w:rsidR="0010785E">
        <w:rPr>
          <w:rFonts w:cs="Arial"/>
          <w:sz w:val="22"/>
          <w:szCs w:val="22"/>
        </w:rPr>
        <w:t>12</w:t>
      </w:r>
      <w:r w:rsidR="009263B2">
        <w:rPr>
          <w:rFonts w:cs="Arial"/>
          <w:sz w:val="22"/>
          <w:szCs w:val="22"/>
        </w:rPr>
        <w:t>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756704" w:rsidRDefault="00C130F6" w:rsidP="00756704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A1168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A1168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756704" w:rsidRPr="00756704">
        <w:rPr>
          <w:rFonts w:ascii="Arial" w:hAnsi="Arial" w:cs="Arial"/>
          <w:b/>
          <w:sz w:val="22"/>
          <w:szCs w:val="22"/>
        </w:rPr>
        <w:t>42 761</w:t>
      </w:r>
      <w:r w:rsidR="00756704">
        <w:rPr>
          <w:rFonts w:ascii="Arial" w:hAnsi="Arial" w:cs="Arial"/>
          <w:b/>
          <w:sz w:val="22"/>
          <w:szCs w:val="22"/>
        </w:rPr>
        <w:t> </w:t>
      </w:r>
      <w:r w:rsidR="00756704" w:rsidRPr="00756704">
        <w:rPr>
          <w:rFonts w:ascii="Arial" w:hAnsi="Arial" w:cs="Arial"/>
          <w:b/>
          <w:sz w:val="22"/>
          <w:szCs w:val="22"/>
        </w:rPr>
        <w:t>000</w:t>
      </w:r>
      <w:r w:rsidR="00756704">
        <w:rPr>
          <w:rFonts w:ascii="Arial" w:hAnsi="Arial" w:cs="Arial"/>
          <w:b/>
          <w:sz w:val="22"/>
          <w:szCs w:val="22"/>
        </w:rPr>
        <w:t xml:space="preserve"> </w:t>
      </w:r>
      <w:r w:rsidR="00C71BCD" w:rsidRPr="00756704">
        <w:rPr>
          <w:rFonts w:ascii="Arial" w:hAnsi="Arial" w:cs="Arial"/>
          <w:b/>
          <w:sz w:val="22"/>
          <w:szCs w:val="22"/>
        </w:rPr>
        <w:t>Kč</w:t>
      </w:r>
      <w:r w:rsidR="00C71BCD" w:rsidRPr="00756704">
        <w:rPr>
          <w:rFonts w:ascii="Arial" w:hAnsi="Arial" w:cs="Arial"/>
          <w:sz w:val="22"/>
          <w:szCs w:val="22"/>
        </w:rPr>
        <w:t xml:space="preserve"> (slovy: </w:t>
      </w:r>
      <w:r w:rsidR="00756704" w:rsidRPr="00756704">
        <w:rPr>
          <w:rFonts w:ascii="Arial" w:hAnsi="Arial" w:cs="Arial"/>
          <w:b/>
          <w:sz w:val="22"/>
          <w:szCs w:val="22"/>
        </w:rPr>
        <w:t>čtyřicetdva</w:t>
      </w:r>
      <w:r w:rsidR="000A1168" w:rsidRPr="00756704">
        <w:rPr>
          <w:rFonts w:ascii="Arial" w:hAnsi="Arial" w:cs="Arial"/>
          <w:b/>
          <w:sz w:val="22"/>
          <w:szCs w:val="22"/>
        </w:rPr>
        <w:t>milion</w:t>
      </w:r>
      <w:r w:rsidR="00756704">
        <w:rPr>
          <w:rFonts w:ascii="Arial" w:hAnsi="Arial" w:cs="Arial"/>
          <w:b/>
          <w:sz w:val="22"/>
          <w:szCs w:val="22"/>
        </w:rPr>
        <w:t>ysedmsetšedesátjeden</w:t>
      </w:r>
      <w:r w:rsidR="00E153FF" w:rsidRPr="00756704">
        <w:rPr>
          <w:rFonts w:ascii="Arial" w:hAnsi="Arial" w:cs="Arial"/>
          <w:b/>
          <w:sz w:val="22"/>
          <w:szCs w:val="22"/>
        </w:rPr>
        <w:t>tisíc</w:t>
      </w:r>
      <w:r w:rsidR="00C71BCD" w:rsidRPr="00756704">
        <w:rPr>
          <w:rFonts w:ascii="Arial" w:hAnsi="Arial" w:cs="Arial"/>
          <w:b/>
          <w:sz w:val="22"/>
          <w:szCs w:val="22"/>
        </w:rPr>
        <w:t>korunčeských)</w:t>
      </w:r>
      <w:r w:rsidR="00C71BCD" w:rsidRPr="00756704">
        <w:rPr>
          <w:rFonts w:ascii="Arial" w:hAnsi="Arial" w:cs="Arial"/>
          <w:sz w:val="22"/>
          <w:szCs w:val="22"/>
        </w:rPr>
        <w:t xml:space="preserve">. Tato částka zahrnuje podporu ve výši 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41 853</w:t>
      </w:r>
      <w:r w:rsidR="00756704">
        <w:rPr>
          <w:rFonts w:ascii="Arial" w:hAnsi="Arial" w:cs="Arial"/>
          <w:b/>
          <w:bCs/>
          <w:sz w:val="22"/>
          <w:szCs w:val="22"/>
        </w:rPr>
        <w:t> 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000</w:t>
      </w:r>
      <w:r w:rsidR="00756704">
        <w:rPr>
          <w:rFonts w:ascii="Arial" w:hAnsi="Arial" w:cs="Arial"/>
          <w:b/>
          <w:bCs/>
          <w:sz w:val="22"/>
          <w:szCs w:val="22"/>
        </w:rPr>
        <w:t xml:space="preserve"> </w:t>
      </w:r>
      <w:r w:rsidR="0010785E" w:rsidRPr="00756704">
        <w:rPr>
          <w:rFonts w:ascii="Arial" w:hAnsi="Arial" w:cs="Arial"/>
          <w:b/>
          <w:bCs/>
          <w:sz w:val="22"/>
          <w:szCs w:val="22"/>
        </w:rPr>
        <w:t xml:space="preserve">Kč (slovy: </w:t>
      </w:r>
      <w:r w:rsidR="00756704">
        <w:rPr>
          <w:rFonts w:ascii="Arial" w:hAnsi="Arial" w:cs="Arial"/>
          <w:b/>
          <w:bCs/>
          <w:sz w:val="22"/>
          <w:szCs w:val="22"/>
        </w:rPr>
        <w:t>čtyřicetjedenmilionosmsetpadesáttři</w:t>
      </w:r>
      <w:r w:rsidR="0010785E" w:rsidRPr="00756704">
        <w:rPr>
          <w:rFonts w:ascii="Arial" w:hAnsi="Arial" w:cs="Arial"/>
          <w:b/>
          <w:bCs/>
          <w:sz w:val="22"/>
          <w:szCs w:val="22"/>
        </w:rPr>
        <w:t>tisíc</w:t>
      </w:r>
      <w:r w:rsidR="00756704">
        <w:rPr>
          <w:rFonts w:ascii="Arial" w:hAnsi="Arial" w:cs="Arial"/>
          <w:b/>
          <w:bCs/>
          <w:sz w:val="22"/>
          <w:szCs w:val="22"/>
        </w:rPr>
        <w:t xml:space="preserve"> </w:t>
      </w:r>
      <w:r w:rsidR="0010785E" w:rsidRPr="00756704">
        <w:rPr>
          <w:rFonts w:ascii="Arial" w:hAnsi="Arial" w:cs="Arial"/>
          <w:b/>
          <w:bCs/>
          <w:sz w:val="22"/>
          <w:szCs w:val="22"/>
        </w:rPr>
        <w:t>korunčeských)</w:t>
      </w:r>
      <w:r w:rsidR="000A1168" w:rsidRPr="00756704">
        <w:rPr>
          <w:rFonts w:ascii="Arial" w:hAnsi="Arial" w:cs="Arial"/>
          <w:color w:val="auto"/>
          <w:sz w:val="22"/>
          <w:szCs w:val="22"/>
        </w:rPr>
        <w:t xml:space="preserve"> a vlastní zdroje příjemce. Podpora</w:t>
      </w:r>
      <w:r w:rsidRPr="00756704">
        <w:rPr>
          <w:rFonts w:ascii="Arial" w:hAnsi="Arial" w:cs="Arial"/>
          <w:color w:val="auto"/>
          <w:sz w:val="22"/>
          <w:szCs w:val="22"/>
        </w:rPr>
        <w:t xml:space="preserve"> je poskytovaná formou dotace z rozpočtové kapitoly Ministerstva vnitra</w:t>
      </w:r>
      <w:r w:rsidR="0010785E" w:rsidRPr="00756704">
        <w:rPr>
          <w:rFonts w:ascii="Arial" w:hAnsi="Arial" w:cs="Arial"/>
          <w:color w:val="auto"/>
          <w:sz w:val="22"/>
          <w:szCs w:val="22"/>
        </w:rPr>
        <w:t>.</w:t>
      </w:r>
      <w:r w:rsidR="00F0139E" w:rsidRPr="0075670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případě, že součet objemu jednotlivých změn rozpočtu příjemce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Pokud příjemce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FC125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Při postupu příjemce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0A1168" w:rsidRPr="00533515" w:rsidRDefault="000A1168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Mírou podpory se rozumí v procentech vyjádřený podíl výše podpory k uznaným nákladům příjemce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0A1168" w:rsidRDefault="00C130F6" w:rsidP="00683538">
      <w:pPr>
        <w:widowControl w:val="0"/>
        <w:autoSpaceDE w:val="0"/>
        <w:autoSpaceDN w:val="0"/>
        <w:adjustRightInd w:val="0"/>
        <w:spacing w:after="60"/>
        <w:ind w:left="56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10785E">
        <w:rPr>
          <w:rFonts w:ascii="Arial" w:hAnsi="Arial" w:cs="Arial"/>
          <w:sz w:val="22"/>
          <w:szCs w:val="22"/>
        </w:rPr>
        <w:t>1. u příjemce-koordinátora</w:t>
      </w:r>
      <w:r w:rsidR="0010785E" w:rsidRPr="0010785E">
        <w:rPr>
          <w:rFonts w:ascii="Arial" w:hAnsi="Arial" w:cs="Arial"/>
          <w:sz w:val="22"/>
          <w:szCs w:val="22"/>
        </w:rPr>
        <w:t xml:space="preserve"> 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Vysoká škola chemicko-technologická v</w:t>
      </w:r>
      <w:r w:rsidR="00756704">
        <w:rPr>
          <w:rFonts w:ascii="Arial" w:hAnsi="Arial" w:cs="Arial"/>
          <w:b/>
          <w:bCs/>
          <w:sz w:val="22"/>
          <w:szCs w:val="22"/>
        </w:rPr>
        <w:t> 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Praze</w:t>
      </w:r>
      <w:r w:rsidR="00756704">
        <w:rPr>
          <w:rFonts w:ascii="Arial" w:hAnsi="Arial" w:cs="Arial"/>
          <w:b/>
          <w:bCs/>
          <w:sz w:val="22"/>
          <w:szCs w:val="22"/>
        </w:rPr>
        <w:t>,</w:t>
      </w:r>
      <w:r w:rsidR="00756704" w:rsidRPr="00756704">
        <w:rPr>
          <w:rFonts w:ascii="ArialMT" w:hAnsi="ArialMT" w:cs="ArialMT"/>
          <w:sz w:val="16"/>
          <w:szCs w:val="16"/>
        </w:rPr>
        <w:t xml:space="preserve"> </w:t>
      </w:r>
      <w:r w:rsidR="00756704" w:rsidRPr="00756704">
        <w:rPr>
          <w:rFonts w:ascii="Arial" w:hAnsi="Arial" w:cs="Arial"/>
          <w:b/>
          <w:bCs/>
          <w:sz w:val="22"/>
          <w:szCs w:val="22"/>
        </w:rPr>
        <w:t>Fakulta potravinářské a biochemické technologie</w:t>
      </w:r>
      <w:r w:rsidR="00756704">
        <w:rPr>
          <w:rFonts w:ascii="Arial" w:hAnsi="Arial" w:cs="Arial"/>
          <w:b/>
          <w:bCs/>
          <w:sz w:val="22"/>
          <w:szCs w:val="22"/>
        </w:rPr>
        <w:t xml:space="preserve"> </w:t>
      </w:r>
      <w:r w:rsidR="00B42E0D">
        <w:rPr>
          <w:rFonts w:ascii="Arial" w:hAnsi="Arial" w:cs="Arial"/>
          <w:b/>
          <w:bCs/>
          <w:sz w:val="22"/>
          <w:szCs w:val="22"/>
        </w:rPr>
        <w:t>10</w:t>
      </w:r>
      <w:r w:rsidR="009F54E5" w:rsidRPr="000A1168">
        <w:rPr>
          <w:rFonts w:ascii="Arial" w:hAnsi="Arial" w:cs="Arial"/>
          <w:b/>
          <w:bCs/>
          <w:sz w:val="22"/>
          <w:szCs w:val="22"/>
        </w:rPr>
        <w:t>0</w:t>
      </w:r>
      <w:r w:rsidR="00C71BCD" w:rsidRPr="000A1168">
        <w:rPr>
          <w:rFonts w:ascii="Arial" w:hAnsi="Arial" w:cs="Arial"/>
          <w:b/>
          <w:sz w:val="22"/>
          <w:szCs w:val="22"/>
        </w:rPr>
        <w:t> %</w:t>
      </w:r>
      <w:r w:rsidRPr="000A1168">
        <w:rPr>
          <w:rFonts w:ascii="Arial" w:hAnsi="Arial" w:cs="Arial"/>
          <w:b/>
          <w:sz w:val="22"/>
          <w:szCs w:val="22"/>
        </w:rPr>
        <w:t xml:space="preserve">, </w:t>
      </w:r>
    </w:p>
    <w:p w:rsidR="00C71BCD" w:rsidRDefault="00B42E0D" w:rsidP="00683538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B42E0D">
        <w:rPr>
          <w:rFonts w:ascii="Arial" w:hAnsi="Arial" w:cs="Arial"/>
          <w:sz w:val="22"/>
          <w:szCs w:val="22"/>
        </w:rPr>
        <w:t>2</w:t>
      </w:r>
      <w:r w:rsidR="00CD38CF" w:rsidRPr="00B42E0D">
        <w:rPr>
          <w:rFonts w:ascii="Arial" w:hAnsi="Arial" w:cs="Arial"/>
          <w:sz w:val="22"/>
          <w:szCs w:val="22"/>
        </w:rPr>
        <w:t>.</w:t>
      </w:r>
      <w:r w:rsidR="00495501" w:rsidRPr="0010785E">
        <w:rPr>
          <w:rFonts w:ascii="Arial" w:hAnsi="Arial" w:cs="Arial"/>
          <w:b/>
          <w:sz w:val="22"/>
          <w:szCs w:val="22"/>
        </w:rPr>
        <w:t xml:space="preserve"> </w:t>
      </w:r>
      <w:r w:rsidR="00DC47DD" w:rsidRPr="0010785E">
        <w:rPr>
          <w:rFonts w:ascii="Arial" w:hAnsi="Arial" w:cs="Arial"/>
          <w:sz w:val="22"/>
          <w:szCs w:val="22"/>
        </w:rPr>
        <w:t>u příjemce</w:t>
      </w:r>
      <w:r w:rsidR="00DC47DD" w:rsidRPr="0010785E">
        <w:rPr>
          <w:rFonts w:ascii="Arial" w:hAnsi="Arial" w:cs="Arial"/>
          <w:b/>
          <w:sz w:val="22"/>
          <w:szCs w:val="22"/>
        </w:rPr>
        <w:t xml:space="preserve"> </w:t>
      </w:r>
      <w:r w:rsidRPr="00B42E0D">
        <w:rPr>
          <w:rFonts w:ascii="Arial" w:hAnsi="Arial" w:cs="Arial"/>
          <w:b/>
          <w:sz w:val="22"/>
          <w:szCs w:val="22"/>
        </w:rPr>
        <w:t>Alfarma s.r.o.</w:t>
      </w:r>
      <w:r w:rsidR="00571907" w:rsidRPr="005719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80</w:t>
      </w:r>
      <w:r w:rsidR="00571907">
        <w:rPr>
          <w:rFonts w:ascii="Arial" w:hAnsi="Arial" w:cs="Arial"/>
          <w:b/>
          <w:sz w:val="22"/>
          <w:szCs w:val="22"/>
        </w:rPr>
        <w:t>%,</w:t>
      </w:r>
    </w:p>
    <w:p w:rsidR="00FC1251" w:rsidRPr="00FC1251" w:rsidRDefault="00B42E0D" w:rsidP="00FC1251">
      <w:pPr>
        <w:widowControl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7F38AD">
        <w:rPr>
          <w:rFonts w:ascii="Arial" w:hAnsi="Arial" w:cs="Arial"/>
          <w:bCs/>
          <w:sz w:val="22"/>
          <w:szCs w:val="22"/>
        </w:rPr>
        <w:t xml:space="preserve">. </w:t>
      </w:r>
      <w:r w:rsidR="00571907">
        <w:rPr>
          <w:rFonts w:ascii="Arial" w:hAnsi="Arial" w:cs="Arial"/>
          <w:bCs/>
          <w:sz w:val="22"/>
          <w:szCs w:val="22"/>
        </w:rPr>
        <w:t xml:space="preserve">u příjemce </w:t>
      </w:r>
      <w:r w:rsidRPr="00B42E0D">
        <w:rPr>
          <w:rFonts w:ascii="Arial" w:hAnsi="Arial" w:cs="Arial"/>
          <w:b/>
          <w:bCs/>
          <w:sz w:val="22"/>
          <w:szCs w:val="22"/>
        </w:rPr>
        <w:t>Národní ústav duševního zdraví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71907">
        <w:rPr>
          <w:rFonts w:ascii="Arial" w:hAnsi="Arial" w:cs="Arial"/>
          <w:b/>
          <w:bCs/>
          <w:sz w:val="22"/>
          <w:szCs w:val="22"/>
        </w:rPr>
        <w:t>100%.</w:t>
      </w:r>
    </w:p>
    <w:p w:rsidR="00FC1251" w:rsidRPr="00FC1251" w:rsidRDefault="00FC1251" w:rsidP="00FC1251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C1251">
        <w:rPr>
          <w:rFonts w:ascii="Arial" w:hAnsi="Arial" w:cs="Arial"/>
          <w:color w:val="auto"/>
          <w:sz w:val="22"/>
          <w:szCs w:val="22"/>
        </w:rPr>
        <w:t>Maximální povolená výše míry podpory nesmí být u příjemce, ani žádného dalšího účastníka Projektu, v žádném roce řešení Projektu překročena.</w:t>
      </w:r>
    </w:p>
    <w:p w:rsidR="003A08CF" w:rsidRPr="00495501" w:rsidRDefault="003A08CF" w:rsidP="00FC1251">
      <w:pPr>
        <w:pStyle w:val="Zkladntext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E2186C" w:rsidRDefault="008B43B1" w:rsidP="003D484A">
      <w:pPr>
        <w:pStyle w:val="Default"/>
        <w:numPr>
          <w:ilvl w:val="0"/>
          <w:numId w:val="46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2186C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B42E0D">
        <w:rPr>
          <w:rFonts w:ascii="Arial" w:hAnsi="Arial" w:cs="Arial"/>
          <w:color w:val="auto"/>
          <w:sz w:val="22"/>
          <w:szCs w:val="22"/>
        </w:rPr>
        <w:t>ne</w:t>
      </w:r>
      <w:r w:rsidRPr="00E2186C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B42E0D">
        <w:rPr>
          <w:rFonts w:ascii="Arial" w:hAnsi="Arial" w:cs="Arial"/>
          <w:color w:val="auto"/>
          <w:sz w:val="22"/>
          <w:szCs w:val="22"/>
        </w:rPr>
        <w:t>.</w:t>
      </w:r>
      <w:r w:rsidRPr="00E2186C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Pokud se v průběhu řešení Projektu vyskytne potřeba realizace subdodávky, postupují příjemci podle zákona o </w:t>
      </w:r>
      <w:r w:rsidR="00C171DC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C171DC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E23675">
        <w:rPr>
          <w:rFonts w:cs="Arial"/>
          <w:sz w:val="22"/>
          <w:szCs w:val="22"/>
        </w:rPr>
        <w:t>příjemce-koordinátora nebo 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 xml:space="preserve">e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3D484A">
      <w:pPr>
        <w:numPr>
          <w:ilvl w:val="0"/>
          <w:numId w:val="4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3D484A">
      <w:pPr>
        <w:numPr>
          <w:ilvl w:val="0"/>
          <w:numId w:val="44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B42E0D" w:rsidRPr="00B42E0D" w:rsidRDefault="006A274A" w:rsidP="006A274A">
      <w:pPr>
        <w:widowControl w:val="0"/>
        <w:autoSpaceDE w:val="0"/>
        <w:autoSpaceDN w:val="0"/>
        <w:adjustRightInd w:val="0"/>
        <w:spacing w:after="120"/>
        <w:ind w:left="851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42E0D" w:rsidRPr="0010785E">
        <w:rPr>
          <w:rFonts w:ascii="Arial" w:hAnsi="Arial" w:cs="Arial"/>
          <w:sz w:val="22"/>
          <w:szCs w:val="22"/>
        </w:rPr>
        <w:t xml:space="preserve">u příjemce-koordinátora </w:t>
      </w:r>
      <w:r w:rsidR="00B42E0D" w:rsidRPr="00756704">
        <w:rPr>
          <w:rFonts w:ascii="Arial" w:hAnsi="Arial" w:cs="Arial"/>
          <w:b/>
          <w:bCs/>
          <w:sz w:val="22"/>
          <w:szCs w:val="22"/>
        </w:rPr>
        <w:t>Vysoká škola chemicko-technologická v</w:t>
      </w:r>
      <w:r w:rsidR="00B42E0D">
        <w:rPr>
          <w:rFonts w:ascii="Arial" w:hAnsi="Arial" w:cs="Arial"/>
          <w:b/>
          <w:bCs/>
          <w:sz w:val="22"/>
          <w:szCs w:val="22"/>
        </w:rPr>
        <w:t> </w:t>
      </w:r>
      <w:r w:rsidR="00B42E0D" w:rsidRPr="00756704">
        <w:rPr>
          <w:rFonts w:ascii="Arial" w:hAnsi="Arial" w:cs="Arial"/>
          <w:b/>
          <w:bCs/>
          <w:sz w:val="22"/>
          <w:szCs w:val="22"/>
        </w:rPr>
        <w:t>Praze</w:t>
      </w:r>
      <w:r w:rsidR="00B42E0D">
        <w:rPr>
          <w:rFonts w:ascii="Arial" w:hAnsi="Arial" w:cs="Arial"/>
          <w:b/>
          <w:bCs/>
          <w:sz w:val="22"/>
          <w:szCs w:val="22"/>
        </w:rPr>
        <w:t>,</w:t>
      </w:r>
      <w:r w:rsidR="00B42E0D" w:rsidRPr="00756704">
        <w:rPr>
          <w:rFonts w:ascii="ArialMT" w:hAnsi="ArialMT" w:cs="ArialMT"/>
          <w:sz w:val="16"/>
          <w:szCs w:val="16"/>
        </w:rPr>
        <w:t xml:space="preserve"> </w:t>
      </w:r>
      <w:r w:rsidR="00B42E0D" w:rsidRPr="00756704">
        <w:rPr>
          <w:rFonts w:ascii="Arial" w:hAnsi="Arial" w:cs="Arial"/>
          <w:b/>
          <w:bCs/>
          <w:sz w:val="22"/>
          <w:szCs w:val="22"/>
        </w:rPr>
        <w:t>Fakulta potravinářské a biochemické technologie</w:t>
      </w:r>
      <w:r w:rsidR="00B42E0D">
        <w:rPr>
          <w:rFonts w:ascii="Arial" w:hAnsi="Arial" w:cs="Arial"/>
          <w:b/>
          <w:bCs/>
          <w:sz w:val="22"/>
          <w:szCs w:val="22"/>
        </w:rPr>
        <w:t xml:space="preserve"> </w:t>
      </w:r>
      <w:r w:rsidR="00B42E0D" w:rsidRPr="00B42E0D">
        <w:rPr>
          <w:rFonts w:ascii="Arial" w:hAnsi="Arial" w:cs="Arial"/>
          <w:b/>
          <w:bCs/>
          <w:sz w:val="22"/>
          <w:szCs w:val="22"/>
        </w:rPr>
        <w:t>metodou účtování doplňkových nákladů (AC – Additional Costs),</w:t>
      </w:r>
    </w:p>
    <w:p w:rsidR="00B42E0D" w:rsidRPr="003F5D79" w:rsidRDefault="00B42E0D" w:rsidP="006A274A">
      <w:pPr>
        <w:widowControl w:val="0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42E0D">
        <w:rPr>
          <w:rFonts w:ascii="Arial" w:hAnsi="Arial" w:cs="Arial"/>
          <w:sz w:val="22"/>
          <w:szCs w:val="22"/>
        </w:rPr>
        <w:t>2.</w:t>
      </w:r>
      <w:r w:rsidRPr="0010785E">
        <w:rPr>
          <w:rFonts w:ascii="Arial" w:hAnsi="Arial" w:cs="Arial"/>
          <w:b/>
          <w:sz w:val="22"/>
          <w:szCs w:val="22"/>
        </w:rPr>
        <w:t xml:space="preserve"> </w:t>
      </w:r>
      <w:r w:rsidRPr="0010785E">
        <w:rPr>
          <w:rFonts w:ascii="Arial" w:hAnsi="Arial" w:cs="Arial"/>
          <w:sz w:val="22"/>
          <w:szCs w:val="22"/>
        </w:rPr>
        <w:t>u příjemce</w:t>
      </w:r>
      <w:r w:rsidRPr="0010785E">
        <w:rPr>
          <w:rFonts w:ascii="Arial" w:hAnsi="Arial" w:cs="Arial"/>
          <w:b/>
          <w:sz w:val="22"/>
          <w:szCs w:val="22"/>
        </w:rPr>
        <w:t xml:space="preserve"> </w:t>
      </w:r>
      <w:r w:rsidRPr="00B42E0D">
        <w:rPr>
          <w:rFonts w:ascii="Arial" w:hAnsi="Arial" w:cs="Arial"/>
          <w:b/>
          <w:sz w:val="22"/>
          <w:szCs w:val="22"/>
        </w:rPr>
        <w:t>Alfarma s.r.o.</w:t>
      </w:r>
      <w:r w:rsidRPr="00571907">
        <w:rPr>
          <w:rFonts w:ascii="Arial" w:hAnsi="Arial" w:cs="Arial"/>
          <w:b/>
          <w:sz w:val="22"/>
          <w:szCs w:val="22"/>
        </w:rPr>
        <w:t xml:space="preserve"> </w:t>
      </w:r>
      <w:r w:rsidRPr="003F5D79">
        <w:rPr>
          <w:rFonts w:ascii="Arial" w:hAnsi="Arial" w:cs="Arial"/>
          <w:b/>
          <w:sz w:val="22"/>
          <w:szCs w:val="22"/>
        </w:rPr>
        <w:t>met</w:t>
      </w:r>
      <w:r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B42E0D" w:rsidRPr="003F5D79" w:rsidRDefault="00B42E0D" w:rsidP="006A274A">
      <w:pPr>
        <w:widowControl w:val="0"/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u příjemce </w:t>
      </w:r>
      <w:r w:rsidRPr="00B42E0D">
        <w:rPr>
          <w:rFonts w:ascii="Arial" w:hAnsi="Arial" w:cs="Arial"/>
          <w:b/>
          <w:bCs/>
          <w:sz w:val="22"/>
          <w:szCs w:val="22"/>
        </w:rPr>
        <w:t>Národní ústav duševního zdraví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F5D79">
        <w:rPr>
          <w:rFonts w:ascii="Arial" w:hAnsi="Arial" w:cs="Arial"/>
          <w:b/>
          <w:sz w:val="22"/>
          <w:szCs w:val="22"/>
        </w:rPr>
        <w:t>met</w:t>
      </w:r>
      <w:r w:rsidRPr="003F5D79">
        <w:rPr>
          <w:rFonts w:ascii="Arial" w:hAnsi="Arial" w:cs="Arial"/>
          <w:b/>
          <w:bCs/>
          <w:sz w:val="22"/>
          <w:szCs w:val="22"/>
        </w:rPr>
        <w:t>odou účtování doplňkových nákladů (AC – Additional Costs)</w:t>
      </w:r>
      <w:r w:rsidR="006A274A">
        <w:rPr>
          <w:rFonts w:ascii="Arial" w:hAnsi="Arial" w:cs="Arial"/>
          <w:b/>
          <w:bCs/>
          <w:sz w:val="22"/>
          <w:szCs w:val="22"/>
        </w:rPr>
        <w:t>.</w:t>
      </w:r>
    </w:p>
    <w:p w:rsidR="00FC50C3" w:rsidRDefault="00610E5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10 % celkových uznaných přímých nákladů příjemce. </w:t>
      </w:r>
    </w:p>
    <w:p w:rsidR="00FC50C3" w:rsidRDefault="00C130F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rFonts w:cs="Arial"/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FC50C3">
        <w:rPr>
          <w:rFonts w:cs="Arial"/>
          <w:b/>
          <w:sz w:val="22"/>
          <w:szCs w:val="22"/>
        </w:rPr>
        <w:t>3605881/0710</w:t>
      </w:r>
      <w:r w:rsidRPr="00FC50C3">
        <w:rPr>
          <w:rFonts w:cs="Arial"/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FC50C3">
        <w:rPr>
          <w:rFonts w:cs="Arial"/>
          <w:sz w:val="22"/>
          <w:szCs w:val="22"/>
        </w:rPr>
        <w:t xml:space="preserve"> příjemce</w:t>
      </w:r>
      <w:r w:rsidRPr="00FC50C3">
        <w:rPr>
          <w:rFonts w:cs="Arial"/>
          <w:sz w:val="22"/>
          <w:szCs w:val="22"/>
        </w:rPr>
        <w:t xml:space="preserve">). Poskytovatel převede nevyčerpané finanční prostředky do nespotřebovaných nároků rozpočtu, aby mohly být použity ke stejnému účelu v dalším kalendářním roce. V případě, že v dalším kalendářním roce dojde ke snížení nároků z nespotřebovaných výdajů na základě rozhodnutí vlády </w:t>
      </w:r>
      <w:r w:rsidR="0065308F" w:rsidRPr="00FC50C3">
        <w:rPr>
          <w:rFonts w:cs="Arial"/>
          <w:sz w:val="22"/>
          <w:szCs w:val="22"/>
        </w:rPr>
        <w:br/>
      </w:r>
      <w:r w:rsidRPr="00FC50C3">
        <w:rPr>
          <w:rFonts w:cs="Arial"/>
          <w:sz w:val="22"/>
          <w:szCs w:val="22"/>
        </w:rPr>
        <w:t>dle</w:t>
      </w:r>
      <w:r w:rsidR="0065308F" w:rsidRPr="00FC50C3">
        <w:rPr>
          <w:rFonts w:cs="Arial"/>
          <w:sz w:val="22"/>
          <w:szCs w:val="22"/>
        </w:rPr>
        <w:t xml:space="preserve"> </w:t>
      </w:r>
      <w:r w:rsidRPr="00FC50C3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FC50C3" w:rsidRDefault="00A502D9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>Příjemce, který je</w:t>
      </w:r>
      <w:r w:rsidR="00C130F6" w:rsidRPr="00FC50C3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FC50C3">
        <w:rPr>
          <w:sz w:val="22"/>
          <w:szCs w:val="22"/>
        </w:rPr>
        <w:t xml:space="preserve">. Převod musí příjemce písemně oznámit poskytovateli a odůvodnit. </w:t>
      </w:r>
    </w:p>
    <w:p w:rsidR="00FC50C3" w:rsidRDefault="00C130F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3F5D79">
        <w:rPr>
          <w:sz w:val="22"/>
          <w:szCs w:val="22"/>
        </w:rPr>
        <w:t>7</w:t>
      </w:r>
      <w:r w:rsidR="00170FD6" w:rsidRPr="00FC50C3">
        <w:rPr>
          <w:sz w:val="22"/>
          <w:szCs w:val="22"/>
        </w:rPr>
        <w:t xml:space="preserve"> </w:t>
      </w:r>
      <w:r w:rsidRPr="00FC50C3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FC50C3">
        <w:rPr>
          <w:b/>
          <w:sz w:val="22"/>
          <w:szCs w:val="22"/>
        </w:rPr>
        <w:t>6015-3605881/0710</w:t>
      </w:r>
      <w:r w:rsidRPr="00FC50C3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FC50C3">
        <w:rPr>
          <w:sz w:val="22"/>
          <w:szCs w:val="22"/>
        </w:rPr>
        <w:t xml:space="preserve"> příjemce</w:t>
      </w:r>
      <w:r w:rsidRPr="00FC50C3">
        <w:rPr>
          <w:sz w:val="22"/>
          <w:szCs w:val="22"/>
        </w:rPr>
        <w:t xml:space="preserve">). Tyto prostředky budou poskytovatelem odvedeny do státního rozpočtu. </w:t>
      </w:r>
    </w:p>
    <w:p w:rsidR="00C130F6" w:rsidRPr="00FC50C3" w:rsidRDefault="00C130F6" w:rsidP="003D484A">
      <w:pPr>
        <w:pStyle w:val="Zkladntext"/>
        <w:widowControl/>
        <w:numPr>
          <w:ilvl w:val="0"/>
          <w:numId w:val="45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C50C3">
        <w:rPr>
          <w:sz w:val="22"/>
          <w:szCs w:val="22"/>
        </w:rPr>
        <w:t xml:space="preserve">Pokud některý z příjemců uplatňuje rozdílný hospodářský rok, provádí vyúčtování nákladů na Projekt a poskytnuté podpory k  31. 12. daného kalendářního roku a při uzávěrce </w:t>
      </w:r>
      <w:r w:rsidRPr="00FC50C3">
        <w:rPr>
          <w:sz w:val="22"/>
          <w:szCs w:val="22"/>
        </w:rPr>
        <w:lastRenderedPageBreak/>
        <w:t>hospodářského roku provede kontrolu tohoto vyúčtování a o výsledku písemně informuje poskytovatele.</w:t>
      </w:r>
    </w:p>
    <w:p w:rsidR="00C130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FC1251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</w:t>
      </w:r>
      <w:r w:rsidR="00F67ACE">
        <w:rPr>
          <w:rFonts w:ascii="Arial" w:hAnsi="Arial" w:cs="Arial"/>
          <w:b/>
          <w:sz w:val="22"/>
          <w:szCs w:val="22"/>
        </w:rPr>
        <w:t xml:space="preserve"> a služeb</w:t>
      </w:r>
      <w:r w:rsidRPr="00C553F6">
        <w:rPr>
          <w:rFonts w:ascii="Arial" w:hAnsi="Arial" w:cs="Arial"/>
          <w:b/>
          <w:sz w:val="22"/>
          <w:szCs w:val="22"/>
        </w:rPr>
        <w:t xml:space="preserve"> pořízen</w:t>
      </w:r>
      <w:r w:rsidR="00F67ACE">
        <w:rPr>
          <w:rFonts w:ascii="Arial" w:hAnsi="Arial" w:cs="Arial"/>
          <w:b/>
          <w:sz w:val="22"/>
          <w:szCs w:val="22"/>
        </w:rPr>
        <w:t>ých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3D484A">
      <w:pPr>
        <w:numPr>
          <w:ilvl w:val="0"/>
          <w:numId w:val="41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>V rámci řešení Projektu bud</w:t>
      </w:r>
      <w:r w:rsidR="00E23675">
        <w:rPr>
          <w:rFonts w:ascii="Arial" w:hAnsi="Arial" w:cs="Arial"/>
          <w:sz w:val="22"/>
          <w:szCs w:val="22"/>
        </w:rPr>
        <w:t>ou</w:t>
      </w:r>
      <w:r w:rsidRPr="0096006F">
        <w:rPr>
          <w:rFonts w:ascii="Arial" w:hAnsi="Arial" w:cs="Arial"/>
          <w:sz w:val="22"/>
          <w:szCs w:val="22"/>
        </w:rPr>
        <w:t xml:space="preserve"> příjemc</w:t>
      </w:r>
      <w:r w:rsidR="00F67ACE">
        <w:rPr>
          <w:rFonts w:ascii="Arial" w:hAnsi="Arial" w:cs="Arial"/>
          <w:sz w:val="22"/>
          <w:szCs w:val="22"/>
        </w:rPr>
        <w:t>i</w:t>
      </w:r>
      <w:r w:rsidRPr="0096006F">
        <w:rPr>
          <w:rFonts w:ascii="Arial" w:hAnsi="Arial" w:cs="Arial"/>
          <w:sz w:val="22"/>
          <w:szCs w:val="22"/>
        </w:rPr>
        <w:t xml:space="preserve"> pořízen</w:t>
      </w:r>
      <w:r w:rsidR="00E23675">
        <w:rPr>
          <w:rFonts w:ascii="Arial" w:hAnsi="Arial" w:cs="Arial"/>
          <w:sz w:val="22"/>
          <w:szCs w:val="22"/>
        </w:rPr>
        <w:t>y</w:t>
      </w:r>
      <w:r w:rsidRPr="0096006F">
        <w:rPr>
          <w:rFonts w:ascii="Arial" w:hAnsi="Arial" w:cs="Arial"/>
          <w:sz w:val="22"/>
          <w:szCs w:val="22"/>
        </w:rPr>
        <w:t xml:space="preserve"> hmotný a nehmotný majetek</w:t>
      </w:r>
      <w:r w:rsidR="00F67ACE">
        <w:rPr>
          <w:rFonts w:ascii="Arial" w:hAnsi="Arial" w:cs="Arial"/>
          <w:sz w:val="22"/>
          <w:szCs w:val="22"/>
        </w:rPr>
        <w:t xml:space="preserve"> a služby, </w:t>
      </w:r>
      <w:r w:rsidR="006A274A">
        <w:rPr>
          <w:rFonts w:ascii="Arial" w:hAnsi="Arial" w:cs="Arial"/>
          <w:sz w:val="22"/>
          <w:szCs w:val="22"/>
        </w:rPr>
        <w:t>ne</w:t>
      </w:r>
      <w:r w:rsidR="00F67ACE">
        <w:rPr>
          <w:rFonts w:ascii="Arial" w:hAnsi="Arial" w:cs="Arial"/>
          <w:sz w:val="22"/>
          <w:szCs w:val="22"/>
        </w:rPr>
        <w:t>uvedené ve Specifikaci majetku a služeb</w:t>
      </w:r>
      <w:r w:rsidR="00E23675">
        <w:rPr>
          <w:rFonts w:ascii="Arial" w:hAnsi="Arial" w:cs="Arial"/>
          <w:sz w:val="22"/>
          <w:szCs w:val="22"/>
        </w:rPr>
        <w:t xml:space="preserve"> a nespecifikované v § 8 odst. 4 zákona č. 130/2002 Sb</w:t>
      </w:r>
      <w:r w:rsidR="006A274A">
        <w:rPr>
          <w:rFonts w:ascii="Arial" w:hAnsi="Arial" w:cs="Arial"/>
          <w:sz w:val="22"/>
          <w:szCs w:val="22"/>
        </w:rPr>
        <w:t>.</w:t>
      </w:r>
      <w:r w:rsidR="00F67ACE">
        <w:rPr>
          <w:rFonts w:ascii="Arial" w:hAnsi="Arial" w:cs="Arial"/>
          <w:sz w:val="22"/>
          <w:szCs w:val="22"/>
        </w:rPr>
        <w:t xml:space="preserve"> Příjemci budou pořizovat uvedený majetek a služby postupem podle zákona o </w:t>
      </w:r>
      <w:r w:rsidR="00C171DC">
        <w:rPr>
          <w:rFonts w:ascii="Arial" w:hAnsi="Arial" w:cs="Arial"/>
          <w:sz w:val="22"/>
          <w:szCs w:val="22"/>
        </w:rPr>
        <w:t xml:space="preserve">zadávání </w:t>
      </w:r>
      <w:r w:rsidR="00F67ACE">
        <w:rPr>
          <w:rFonts w:ascii="Arial" w:hAnsi="Arial" w:cs="Arial"/>
          <w:sz w:val="22"/>
          <w:szCs w:val="22"/>
        </w:rPr>
        <w:t>veřejných zakáz</w:t>
      </w:r>
      <w:r w:rsidR="00C171DC">
        <w:rPr>
          <w:rFonts w:ascii="Arial" w:hAnsi="Arial" w:cs="Arial"/>
          <w:sz w:val="22"/>
          <w:szCs w:val="22"/>
        </w:rPr>
        <w:t>e</w:t>
      </w:r>
      <w:r w:rsidR="00F67ACE">
        <w:rPr>
          <w:rFonts w:ascii="Arial" w:hAnsi="Arial" w:cs="Arial"/>
          <w:sz w:val="22"/>
          <w:szCs w:val="22"/>
        </w:rPr>
        <w:t>k.</w:t>
      </w:r>
    </w:p>
    <w:p w:rsidR="002F1990" w:rsidRDefault="002F1990" w:rsidP="003D484A">
      <w:pPr>
        <w:pStyle w:val="Zkladntext"/>
        <w:widowControl/>
        <w:numPr>
          <w:ilvl w:val="0"/>
          <w:numId w:val="41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C171DC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C171DC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3D484A">
      <w:pPr>
        <w:pStyle w:val="Zkladntext"/>
        <w:widowControl/>
        <w:numPr>
          <w:ilvl w:val="0"/>
          <w:numId w:val="41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3D484A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3D484A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3D484A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3D484A">
      <w:pPr>
        <w:numPr>
          <w:ilvl w:val="0"/>
          <w:numId w:val="4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8149C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3A08CF" w:rsidRDefault="003A08CF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6A274A" w:rsidRDefault="006A274A" w:rsidP="0038149C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</w:t>
      </w:r>
      <w:r w:rsidRPr="00C553F6">
        <w:rPr>
          <w:rFonts w:cs="Arial"/>
          <w:sz w:val="22"/>
          <w:szCs w:val="22"/>
        </w:rPr>
        <w:lastRenderedPageBreak/>
        <w:t xml:space="preserve">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</w:t>
      </w:r>
      <w:r w:rsidRPr="00C553F6">
        <w:rPr>
          <w:rFonts w:cs="Arial"/>
          <w:sz w:val="22"/>
          <w:szCs w:val="22"/>
        </w:rPr>
        <w:lastRenderedPageBreak/>
        <w:t xml:space="preserve">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3D484A">
      <w:pPr>
        <w:numPr>
          <w:ilvl w:val="0"/>
          <w:numId w:val="4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lastRenderedPageBreak/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F67ACE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2F1990" w:rsidRPr="006A274A" w:rsidRDefault="002F1990" w:rsidP="006A274A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96379C" w:rsidRPr="006A274A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6A274A">
        <w:rPr>
          <w:rFonts w:cs="Arial"/>
          <w:sz w:val="22"/>
          <w:szCs w:val="22"/>
        </w:rPr>
        <w:t>e čtyřech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FC1251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  <w:bookmarkStart w:id="0" w:name="_GoBack"/>
      <w:bookmarkEnd w:id="0"/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E23675">
        <w:rPr>
          <w:rFonts w:ascii="Arial" w:hAnsi="Arial" w:cs="Arial"/>
          <w:sz w:val="22"/>
          <w:szCs w:val="22"/>
        </w:rPr>
        <w:t>29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8149C">
        <w:rPr>
          <w:rFonts w:ascii="Arial" w:hAnsi="Arial" w:cs="Arial"/>
          <w:sz w:val="22"/>
          <w:szCs w:val="22"/>
        </w:rPr>
        <w:t>6</w:t>
      </w:r>
      <w:r w:rsidR="001D036A">
        <w:rPr>
          <w:rFonts w:ascii="Arial" w:hAnsi="Arial" w:cs="Arial"/>
          <w:sz w:val="22"/>
          <w:szCs w:val="22"/>
        </w:rPr>
        <w:t>. 202</w:t>
      </w:r>
      <w:r w:rsidR="0038149C">
        <w:rPr>
          <w:rFonts w:ascii="Arial" w:hAnsi="Arial" w:cs="Arial"/>
          <w:sz w:val="22"/>
          <w:szCs w:val="22"/>
        </w:rPr>
        <w:t>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A26CB9">
        <w:rPr>
          <w:rFonts w:ascii="Arial" w:hAnsi="Arial" w:cs="Arial"/>
          <w:bCs/>
          <w:sz w:val="22"/>
          <w:szCs w:val="22"/>
        </w:rPr>
        <w:tab/>
      </w:r>
      <w:r w:rsidR="00A26CB9">
        <w:rPr>
          <w:rFonts w:ascii="Arial" w:hAnsi="Arial" w:cs="Arial"/>
          <w:bCs/>
          <w:sz w:val="22"/>
          <w:szCs w:val="22"/>
        </w:rPr>
        <w:tab/>
      </w:r>
      <w:r w:rsidR="00A26CB9">
        <w:rPr>
          <w:rFonts w:ascii="Arial" w:hAnsi="Arial" w:cs="Arial"/>
          <w:bCs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2F2B" w:rsidRDefault="0004047D" w:rsidP="006E1450">
      <w:p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6A274A" w:rsidRPr="006A274A">
        <w:rPr>
          <w:rFonts w:ascii="Arial" w:hAnsi="Arial" w:cs="Arial"/>
          <w:bCs/>
          <w:sz w:val="22"/>
          <w:szCs w:val="22"/>
        </w:rPr>
        <w:t>prof. Ing. Karel Melzoch</w:t>
      </w:r>
      <w:r w:rsidR="001958FB">
        <w:rPr>
          <w:rFonts w:ascii="Arial" w:hAnsi="Arial" w:cs="Arial"/>
          <w:bCs/>
          <w:sz w:val="22"/>
          <w:szCs w:val="22"/>
        </w:rPr>
        <w:t>,</w:t>
      </w:r>
      <w:r w:rsidR="006A274A" w:rsidRPr="006A274A">
        <w:rPr>
          <w:rFonts w:ascii="Arial" w:hAnsi="Arial" w:cs="Arial"/>
          <w:bCs/>
          <w:sz w:val="22"/>
          <w:szCs w:val="22"/>
        </w:rPr>
        <w:t xml:space="preserve"> CSc.</w:t>
      </w:r>
    </w:p>
    <w:p w:rsidR="00C130F6" w:rsidRDefault="00C130F6" w:rsidP="006E1450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 w:rsidR="00A26CB9">
        <w:rPr>
          <w:rFonts w:ascii="Arial" w:hAnsi="Arial" w:cs="Arial"/>
          <w:sz w:val="22"/>
          <w:szCs w:val="22"/>
        </w:rPr>
        <w:tab/>
      </w:r>
      <w:r w:rsidR="00A26CB9">
        <w:rPr>
          <w:rFonts w:ascii="Arial" w:hAnsi="Arial" w:cs="Arial"/>
          <w:sz w:val="22"/>
          <w:szCs w:val="22"/>
        </w:rPr>
        <w:tab/>
      </w:r>
      <w:r w:rsidR="00A26CB9">
        <w:rPr>
          <w:rFonts w:ascii="Arial" w:hAnsi="Arial" w:cs="Arial"/>
          <w:sz w:val="22"/>
          <w:szCs w:val="22"/>
        </w:rPr>
        <w:tab/>
      </w:r>
      <w:r w:rsidR="00A26CB9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Pr="00BB2F2B" w:rsidRDefault="00C130F6" w:rsidP="001958FB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6A274A">
        <w:rPr>
          <w:rFonts w:cs="Arial"/>
          <w:sz w:val="22"/>
          <w:szCs w:val="22"/>
        </w:rPr>
        <w:t>Alfarma, s.r.o.</w:t>
      </w:r>
      <w:r w:rsidR="005322AD" w:rsidRPr="00BB2F2B">
        <w:rPr>
          <w:rFonts w:cs="Arial"/>
          <w:sz w:val="22"/>
          <w:szCs w:val="22"/>
        </w:rPr>
        <w:t>:</w:t>
      </w:r>
      <w:r w:rsidRPr="00BB2F2B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6A274A" w:rsidP="00372D0F">
      <w:pPr>
        <w:ind w:left="4248"/>
        <w:rPr>
          <w:rFonts w:ascii="Arial" w:hAnsi="Arial" w:cs="Arial"/>
          <w:sz w:val="22"/>
          <w:szCs w:val="22"/>
        </w:rPr>
      </w:pPr>
      <w:r w:rsidRPr="006A274A">
        <w:rPr>
          <w:rFonts w:ascii="Arial" w:hAnsi="Arial" w:cs="Arial"/>
          <w:bCs/>
          <w:sz w:val="22"/>
          <w:szCs w:val="22"/>
        </w:rPr>
        <w:t>RNDr. Miroslav Flieger</w:t>
      </w:r>
      <w:r w:rsidR="001958FB">
        <w:rPr>
          <w:rFonts w:ascii="Arial" w:hAnsi="Arial" w:cs="Arial"/>
          <w:bCs/>
          <w:sz w:val="22"/>
          <w:szCs w:val="22"/>
        </w:rPr>
        <w:t>,</w:t>
      </w:r>
      <w:r w:rsidRPr="006A274A">
        <w:rPr>
          <w:rFonts w:ascii="Arial" w:hAnsi="Arial" w:cs="Arial"/>
          <w:bCs/>
          <w:sz w:val="22"/>
          <w:szCs w:val="22"/>
        </w:rPr>
        <w:t xml:space="preserve"> CSc.</w:t>
      </w:r>
      <w:r w:rsidR="00372D0F">
        <w:rPr>
          <w:rFonts w:ascii="Arial" w:hAnsi="Arial" w:cs="Arial"/>
          <w:sz w:val="22"/>
          <w:szCs w:val="22"/>
        </w:rPr>
        <w:tab/>
      </w:r>
      <w:r w:rsidR="00372D0F"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P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8149C" w:rsidRPr="00F67ACE" w:rsidRDefault="00C130F6" w:rsidP="001958FB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3B6D7E">
        <w:rPr>
          <w:rFonts w:ascii="Arial" w:hAnsi="Arial" w:cs="Arial"/>
          <w:color w:val="000000"/>
          <w:sz w:val="22"/>
          <w:szCs w:val="22"/>
        </w:rPr>
        <w:t>Národní ústav duševního zdraví</w:t>
      </w:r>
      <w:r w:rsidR="00F67ACE">
        <w:rPr>
          <w:rFonts w:ascii="Arial" w:hAnsi="Arial" w:cs="Arial"/>
          <w:color w:val="000000"/>
          <w:sz w:val="22"/>
          <w:szCs w:val="22"/>
        </w:rPr>
        <w:t>:</w:t>
      </w:r>
    </w:p>
    <w:p w:rsidR="0096379C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7ACE">
        <w:rPr>
          <w:rFonts w:ascii="Arial" w:hAnsi="Arial" w:cs="Arial"/>
          <w:sz w:val="22"/>
          <w:szCs w:val="22"/>
        </w:rPr>
        <w:t xml:space="preserve">     </w:t>
      </w:r>
    </w:p>
    <w:p w:rsidR="00FC1251" w:rsidRPr="00F67ACE" w:rsidRDefault="00FC1251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1450" w:rsidRDefault="003B6D7E" w:rsidP="001D036A">
      <w:pPr>
        <w:ind w:left="3540" w:firstLine="708"/>
        <w:rPr>
          <w:rFonts w:ascii="Arial" w:hAnsi="Arial" w:cs="Arial"/>
          <w:sz w:val="22"/>
          <w:szCs w:val="22"/>
        </w:rPr>
      </w:pPr>
      <w:r w:rsidRPr="003B6D7E">
        <w:rPr>
          <w:rFonts w:ascii="Arial" w:hAnsi="Arial" w:cs="Arial"/>
          <w:sz w:val="22"/>
          <w:szCs w:val="22"/>
        </w:rPr>
        <w:t>prof. MUDr. Cyril Höschl</w:t>
      </w:r>
      <w:r w:rsidR="001958FB">
        <w:rPr>
          <w:rFonts w:ascii="Arial" w:hAnsi="Arial" w:cs="Arial"/>
          <w:sz w:val="22"/>
          <w:szCs w:val="22"/>
        </w:rPr>
        <w:t>,</w:t>
      </w:r>
      <w:r w:rsidRPr="003B6D7E">
        <w:rPr>
          <w:rFonts w:ascii="Arial" w:hAnsi="Arial" w:cs="Arial"/>
          <w:sz w:val="22"/>
          <w:szCs w:val="22"/>
        </w:rPr>
        <w:t xml:space="preserve"> DrSc., </w:t>
      </w:r>
      <w:r w:rsidR="0096379C">
        <w:rPr>
          <w:rFonts w:ascii="Arial" w:hAnsi="Arial" w:cs="Arial"/>
          <w:sz w:val="22"/>
          <w:szCs w:val="22"/>
        </w:rPr>
        <w:t xml:space="preserve"> </w:t>
      </w:r>
    </w:p>
    <w:p w:rsidR="001958FB" w:rsidRDefault="001958FB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F013E" w:rsidRDefault="00C130F6" w:rsidP="001D036A">
      <w:pPr>
        <w:ind w:left="3540" w:firstLine="708"/>
      </w:pPr>
      <w:r w:rsidRPr="004662D0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662D0">
        <w:rPr>
          <w:rFonts w:ascii="Arial" w:hAnsi="Arial" w:cs="Arial"/>
          <w:sz w:val="22"/>
          <w:szCs w:val="22"/>
        </w:rPr>
        <w:t>dne</w:t>
      </w:r>
    </w:p>
    <w:sectPr w:rsidR="00AF013E" w:rsidSect="00317C02">
      <w:headerReference w:type="default" r:id="rId10"/>
      <w:footerReference w:type="even" r:id="rId11"/>
      <w:footerReference w:type="default" r:id="rId12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83" w:rsidRDefault="00643C83">
      <w:r>
        <w:separator/>
      </w:r>
    </w:p>
  </w:endnote>
  <w:endnote w:type="continuationSeparator" w:id="0">
    <w:p w:rsidR="00643C83" w:rsidRDefault="0064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Default="00756704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6704" w:rsidRDefault="00756704" w:rsidP="004F5D0F">
    <w:pPr>
      <w:pStyle w:val="Zpat"/>
      <w:ind w:right="360"/>
    </w:pPr>
  </w:p>
  <w:p w:rsidR="00756704" w:rsidRDefault="007567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Pr="004A2068" w:rsidRDefault="00756704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152F59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756704" w:rsidRPr="000E6A3A" w:rsidRDefault="00756704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756704" w:rsidRPr="000E6A3A" w:rsidRDefault="00756704" w:rsidP="004F5D0F">
    <w:pPr>
      <w:pStyle w:val="Zpat"/>
      <w:ind w:right="360"/>
    </w:pPr>
  </w:p>
  <w:p w:rsidR="00756704" w:rsidRDefault="007567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83" w:rsidRDefault="00643C83">
      <w:r>
        <w:separator/>
      </w:r>
    </w:p>
  </w:footnote>
  <w:footnote w:type="continuationSeparator" w:id="0">
    <w:p w:rsidR="00643C83" w:rsidRDefault="00643C83">
      <w:r>
        <w:continuationSeparator/>
      </w:r>
    </w:p>
  </w:footnote>
  <w:footnote w:id="1">
    <w:p w:rsidR="00756704" w:rsidRPr="008B4B2F" w:rsidRDefault="00756704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756704" w:rsidRPr="00360B44" w:rsidRDefault="00756704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7B0697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756704" w:rsidRDefault="00756704" w:rsidP="00C130F6">
      <w:pPr>
        <w:pStyle w:val="Textpoznpodarou"/>
      </w:pPr>
    </w:p>
  </w:footnote>
  <w:footnote w:id="3">
    <w:p w:rsidR="00756704" w:rsidRPr="000E1DA0" w:rsidRDefault="00756704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1251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756704" w:rsidRDefault="00756704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756704" w:rsidRPr="00C72C66" w:rsidRDefault="00756704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04" w:rsidRPr="00CE4D0E" w:rsidRDefault="00756704" w:rsidP="004F5D0F">
    <w:pPr>
      <w:pStyle w:val="Zhlav"/>
      <w:jc w:val="center"/>
      <w:rPr>
        <w:color w:val="808080"/>
        <w:sz w:val="22"/>
        <w:szCs w:val="22"/>
      </w:rPr>
    </w:pPr>
  </w:p>
  <w:p w:rsidR="00756704" w:rsidRPr="00CE4D0E" w:rsidRDefault="00756704" w:rsidP="004F5D0F">
    <w:pPr>
      <w:pStyle w:val="Zhlav"/>
      <w:rPr>
        <w:color w:val="808080"/>
        <w:szCs w:val="20"/>
      </w:rPr>
    </w:pPr>
  </w:p>
  <w:p w:rsidR="00756704" w:rsidRDefault="00756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575BDA"/>
    <w:multiLevelType w:val="hybridMultilevel"/>
    <w:tmpl w:val="BFC2F5C6"/>
    <w:lvl w:ilvl="0" w:tplc="DF7C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9"/>
  </w:num>
  <w:num w:numId="2">
    <w:abstractNumId w:val="20"/>
  </w:num>
  <w:num w:numId="3">
    <w:abstractNumId w:val="43"/>
  </w:num>
  <w:num w:numId="4">
    <w:abstractNumId w:val="41"/>
  </w:num>
  <w:num w:numId="5">
    <w:abstractNumId w:val="4"/>
  </w:num>
  <w:num w:numId="6">
    <w:abstractNumId w:val="2"/>
  </w:num>
  <w:num w:numId="7">
    <w:abstractNumId w:val="6"/>
  </w:num>
  <w:num w:numId="8">
    <w:abstractNumId w:val="22"/>
  </w:num>
  <w:num w:numId="9">
    <w:abstractNumId w:val="25"/>
  </w:num>
  <w:num w:numId="10">
    <w:abstractNumId w:val="40"/>
  </w:num>
  <w:num w:numId="11">
    <w:abstractNumId w:val="33"/>
  </w:num>
  <w:num w:numId="12">
    <w:abstractNumId w:val="46"/>
  </w:num>
  <w:num w:numId="13">
    <w:abstractNumId w:val="19"/>
  </w:num>
  <w:num w:numId="14">
    <w:abstractNumId w:val="36"/>
  </w:num>
  <w:num w:numId="15">
    <w:abstractNumId w:val="21"/>
  </w:num>
  <w:num w:numId="16">
    <w:abstractNumId w:val="28"/>
  </w:num>
  <w:num w:numId="17">
    <w:abstractNumId w:val="44"/>
  </w:num>
  <w:num w:numId="18">
    <w:abstractNumId w:val="30"/>
  </w:num>
  <w:num w:numId="19">
    <w:abstractNumId w:val="8"/>
  </w:num>
  <w:num w:numId="20">
    <w:abstractNumId w:val="32"/>
  </w:num>
  <w:num w:numId="21">
    <w:abstractNumId w:val="42"/>
  </w:num>
  <w:num w:numId="22">
    <w:abstractNumId w:val="0"/>
  </w:num>
  <w:num w:numId="23">
    <w:abstractNumId w:val="17"/>
  </w:num>
  <w:num w:numId="24">
    <w:abstractNumId w:val="12"/>
  </w:num>
  <w:num w:numId="25">
    <w:abstractNumId w:val="37"/>
  </w:num>
  <w:num w:numId="26">
    <w:abstractNumId w:val="45"/>
  </w:num>
  <w:num w:numId="27">
    <w:abstractNumId w:val="18"/>
  </w:num>
  <w:num w:numId="28">
    <w:abstractNumId w:val="16"/>
  </w:num>
  <w:num w:numId="29">
    <w:abstractNumId w:val="26"/>
  </w:num>
  <w:num w:numId="30">
    <w:abstractNumId w:val="35"/>
  </w:num>
  <w:num w:numId="31">
    <w:abstractNumId w:val="9"/>
  </w:num>
  <w:num w:numId="32">
    <w:abstractNumId w:val="13"/>
  </w:num>
  <w:num w:numId="33">
    <w:abstractNumId w:val="24"/>
  </w:num>
  <w:num w:numId="34">
    <w:abstractNumId w:val="15"/>
  </w:num>
  <w:num w:numId="35">
    <w:abstractNumId w:val="3"/>
  </w:num>
  <w:num w:numId="36">
    <w:abstractNumId w:val="10"/>
  </w:num>
  <w:num w:numId="37">
    <w:abstractNumId w:val="29"/>
  </w:num>
  <w:num w:numId="38">
    <w:abstractNumId w:val="5"/>
  </w:num>
  <w:num w:numId="39">
    <w:abstractNumId w:val="38"/>
  </w:num>
  <w:num w:numId="40">
    <w:abstractNumId w:val="27"/>
  </w:num>
  <w:num w:numId="41">
    <w:abstractNumId w:val="23"/>
  </w:num>
  <w:num w:numId="42">
    <w:abstractNumId w:val="31"/>
  </w:num>
  <w:num w:numId="43">
    <w:abstractNumId w:val="34"/>
  </w:num>
  <w:num w:numId="44">
    <w:abstractNumId w:val="7"/>
  </w:num>
  <w:num w:numId="45">
    <w:abstractNumId w:val="1"/>
  </w:num>
  <w:num w:numId="46">
    <w:abstractNumId w:val="11"/>
  </w:num>
  <w:num w:numId="47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0B32"/>
    <w:rsid w:val="0002172B"/>
    <w:rsid w:val="000218DB"/>
    <w:rsid w:val="00023967"/>
    <w:rsid w:val="000310DB"/>
    <w:rsid w:val="0004047D"/>
    <w:rsid w:val="0004213D"/>
    <w:rsid w:val="0009180D"/>
    <w:rsid w:val="00091C85"/>
    <w:rsid w:val="000A1168"/>
    <w:rsid w:val="000A288A"/>
    <w:rsid w:val="000D65C9"/>
    <w:rsid w:val="000E445E"/>
    <w:rsid w:val="00105E10"/>
    <w:rsid w:val="0010785E"/>
    <w:rsid w:val="00133F19"/>
    <w:rsid w:val="00151AEC"/>
    <w:rsid w:val="00152F59"/>
    <w:rsid w:val="001678D1"/>
    <w:rsid w:val="00167CB1"/>
    <w:rsid w:val="00170FD6"/>
    <w:rsid w:val="00181E09"/>
    <w:rsid w:val="00184C4E"/>
    <w:rsid w:val="001958FB"/>
    <w:rsid w:val="0019591E"/>
    <w:rsid w:val="00196F98"/>
    <w:rsid w:val="001A0013"/>
    <w:rsid w:val="001A5D42"/>
    <w:rsid w:val="001B4518"/>
    <w:rsid w:val="001C01B3"/>
    <w:rsid w:val="001C399A"/>
    <w:rsid w:val="001D033D"/>
    <w:rsid w:val="001D036A"/>
    <w:rsid w:val="001D3C2A"/>
    <w:rsid w:val="00203C38"/>
    <w:rsid w:val="002169AF"/>
    <w:rsid w:val="00237968"/>
    <w:rsid w:val="00294B89"/>
    <w:rsid w:val="002D22E3"/>
    <w:rsid w:val="002D6FC5"/>
    <w:rsid w:val="002E39BF"/>
    <w:rsid w:val="002F1990"/>
    <w:rsid w:val="00317C02"/>
    <w:rsid w:val="00324DE9"/>
    <w:rsid w:val="00332EA9"/>
    <w:rsid w:val="00352F5E"/>
    <w:rsid w:val="003605A3"/>
    <w:rsid w:val="00372D0F"/>
    <w:rsid w:val="00374E8D"/>
    <w:rsid w:val="0038149C"/>
    <w:rsid w:val="00387723"/>
    <w:rsid w:val="00394256"/>
    <w:rsid w:val="00397515"/>
    <w:rsid w:val="003A08CF"/>
    <w:rsid w:val="003B6D7E"/>
    <w:rsid w:val="003B7E53"/>
    <w:rsid w:val="003C07AE"/>
    <w:rsid w:val="003C782F"/>
    <w:rsid w:val="003D484A"/>
    <w:rsid w:val="003F5D79"/>
    <w:rsid w:val="00417A12"/>
    <w:rsid w:val="004333A8"/>
    <w:rsid w:val="00495501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35E1"/>
    <w:rsid w:val="005322AD"/>
    <w:rsid w:val="0053590F"/>
    <w:rsid w:val="00551845"/>
    <w:rsid w:val="00553868"/>
    <w:rsid w:val="005566B6"/>
    <w:rsid w:val="00563BBC"/>
    <w:rsid w:val="00571907"/>
    <w:rsid w:val="00577133"/>
    <w:rsid w:val="005A0EDF"/>
    <w:rsid w:val="005B3306"/>
    <w:rsid w:val="005D55CD"/>
    <w:rsid w:val="005E28B1"/>
    <w:rsid w:val="005E6293"/>
    <w:rsid w:val="005F52CC"/>
    <w:rsid w:val="005F667A"/>
    <w:rsid w:val="006039E4"/>
    <w:rsid w:val="00605684"/>
    <w:rsid w:val="00610E56"/>
    <w:rsid w:val="0061524D"/>
    <w:rsid w:val="0062733A"/>
    <w:rsid w:val="00636F21"/>
    <w:rsid w:val="00643C83"/>
    <w:rsid w:val="0065308F"/>
    <w:rsid w:val="00663E95"/>
    <w:rsid w:val="0066539F"/>
    <w:rsid w:val="00667B28"/>
    <w:rsid w:val="00677599"/>
    <w:rsid w:val="00682A39"/>
    <w:rsid w:val="00683538"/>
    <w:rsid w:val="00686D6B"/>
    <w:rsid w:val="006A130F"/>
    <w:rsid w:val="006A274A"/>
    <w:rsid w:val="006A4116"/>
    <w:rsid w:val="006A7876"/>
    <w:rsid w:val="006B117A"/>
    <w:rsid w:val="006B1687"/>
    <w:rsid w:val="006B4548"/>
    <w:rsid w:val="006C611D"/>
    <w:rsid w:val="006E0FF7"/>
    <w:rsid w:val="006E1450"/>
    <w:rsid w:val="006E22CE"/>
    <w:rsid w:val="006E787D"/>
    <w:rsid w:val="007047D3"/>
    <w:rsid w:val="007165E5"/>
    <w:rsid w:val="00752CAF"/>
    <w:rsid w:val="00755E7E"/>
    <w:rsid w:val="00756704"/>
    <w:rsid w:val="00763FB4"/>
    <w:rsid w:val="00774396"/>
    <w:rsid w:val="00776D1C"/>
    <w:rsid w:val="007B0697"/>
    <w:rsid w:val="007B7958"/>
    <w:rsid w:val="007C6D83"/>
    <w:rsid w:val="007D6069"/>
    <w:rsid w:val="007F38AD"/>
    <w:rsid w:val="00800227"/>
    <w:rsid w:val="00800D66"/>
    <w:rsid w:val="00805146"/>
    <w:rsid w:val="00836B46"/>
    <w:rsid w:val="008656EC"/>
    <w:rsid w:val="00880AF7"/>
    <w:rsid w:val="008905DB"/>
    <w:rsid w:val="00896E56"/>
    <w:rsid w:val="008B3D56"/>
    <w:rsid w:val="008B43B1"/>
    <w:rsid w:val="008E1881"/>
    <w:rsid w:val="008E33F3"/>
    <w:rsid w:val="008E6559"/>
    <w:rsid w:val="008F310D"/>
    <w:rsid w:val="008F4143"/>
    <w:rsid w:val="009263B2"/>
    <w:rsid w:val="009471B9"/>
    <w:rsid w:val="0096006F"/>
    <w:rsid w:val="0096379C"/>
    <w:rsid w:val="009656E9"/>
    <w:rsid w:val="009A04F6"/>
    <w:rsid w:val="009A28DA"/>
    <w:rsid w:val="009B4ABC"/>
    <w:rsid w:val="009B6C27"/>
    <w:rsid w:val="009B78D4"/>
    <w:rsid w:val="009C2C40"/>
    <w:rsid w:val="009E2219"/>
    <w:rsid w:val="009F24F3"/>
    <w:rsid w:val="009F54E5"/>
    <w:rsid w:val="00A01084"/>
    <w:rsid w:val="00A10E81"/>
    <w:rsid w:val="00A131A7"/>
    <w:rsid w:val="00A26CB9"/>
    <w:rsid w:val="00A502D9"/>
    <w:rsid w:val="00A54BF8"/>
    <w:rsid w:val="00A84B2D"/>
    <w:rsid w:val="00A9124F"/>
    <w:rsid w:val="00AA56FE"/>
    <w:rsid w:val="00AA586F"/>
    <w:rsid w:val="00AB404F"/>
    <w:rsid w:val="00AE076A"/>
    <w:rsid w:val="00AF013E"/>
    <w:rsid w:val="00AF7596"/>
    <w:rsid w:val="00B046F3"/>
    <w:rsid w:val="00B10968"/>
    <w:rsid w:val="00B32DBC"/>
    <w:rsid w:val="00B334AA"/>
    <w:rsid w:val="00B42E0D"/>
    <w:rsid w:val="00B4755F"/>
    <w:rsid w:val="00B5057F"/>
    <w:rsid w:val="00B519AD"/>
    <w:rsid w:val="00B541D1"/>
    <w:rsid w:val="00B70E3E"/>
    <w:rsid w:val="00B80CBA"/>
    <w:rsid w:val="00BA7144"/>
    <w:rsid w:val="00BB2F2B"/>
    <w:rsid w:val="00C130F6"/>
    <w:rsid w:val="00C14A48"/>
    <w:rsid w:val="00C171DC"/>
    <w:rsid w:val="00C32FAB"/>
    <w:rsid w:val="00C4230A"/>
    <w:rsid w:val="00C43B13"/>
    <w:rsid w:val="00C6096A"/>
    <w:rsid w:val="00C71BCD"/>
    <w:rsid w:val="00C72DA8"/>
    <w:rsid w:val="00C9065F"/>
    <w:rsid w:val="00CA18C4"/>
    <w:rsid w:val="00CA61AE"/>
    <w:rsid w:val="00CC0995"/>
    <w:rsid w:val="00CC7750"/>
    <w:rsid w:val="00CC7DD2"/>
    <w:rsid w:val="00CD38CF"/>
    <w:rsid w:val="00CD41AF"/>
    <w:rsid w:val="00CE05D6"/>
    <w:rsid w:val="00CE38DE"/>
    <w:rsid w:val="00D04E72"/>
    <w:rsid w:val="00D550FC"/>
    <w:rsid w:val="00D56F31"/>
    <w:rsid w:val="00D93B41"/>
    <w:rsid w:val="00DA2F00"/>
    <w:rsid w:val="00DA32AD"/>
    <w:rsid w:val="00DC47DD"/>
    <w:rsid w:val="00DC7157"/>
    <w:rsid w:val="00DD1A0F"/>
    <w:rsid w:val="00DD2776"/>
    <w:rsid w:val="00DF7656"/>
    <w:rsid w:val="00E07A0D"/>
    <w:rsid w:val="00E153FF"/>
    <w:rsid w:val="00E2186C"/>
    <w:rsid w:val="00E23675"/>
    <w:rsid w:val="00E45CD0"/>
    <w:rsid w:val="00E568F7"/>
    <w:rsid w:val="00E657A4"/>
    <w:rsid w:val="00E862AE"/>
    <w:rsid w:val="00EA1D13"/>
    <w:rsid w:val="00EB3FC4"/>
    <w:rsid w:val="00EC5046"/>
    <w:rsid w:val="00ED004E"/>
    <w:rsid w:val="00F0139E"/>
    <w:rsid w:val="00F25BB1"/>
    <w:rsid w:val="00F273D0"/>
    <w:rsid w:val="00F62CB1"/>
    <w:rsid w:val="00F643A8"/>
    <w:rsid w:val="00F67ACE"/>
    <w:rsid w:val="00F74206"/>
    <w:rsid w:val="00F742E3"/>
    <w:rsid w:val="00F77E6B"/>
    <w:rsid w:val="00F94007"/>
    <w:rsid w:val="00FC1251"/>
    <w:rsid w:val="00FC271F"/>
    <w:rsid w:val="00FC349C"/>
    <w:rsid w:val="00FC3B54"/>
    <w:rsid w:val="00FC50C3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0575F0-A2C3-4204-9E2D-60F0519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flieger@alfarm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kuchar@vsch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.palenicek@nud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5607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14</cp:revision>
  <cp:lastPrinted>2016-10-07T14:22:00Z</cp:lastPrinted>
  <dcterms:created xsi:type="dcterms:W3CDTF">2016-08-30T12:15:00Z</dcterms:created>
  <dcterms:modified xsi:type="dcterms:W3CDTF">2017-01-05T22:21:00Z</dcterms:modified>
</cp:coreProperties>
</file>