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Pr="00DD20BC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D20BC">
        <w:rPr>
          <w:sz w:val="36"/>
          <w:szCs w:val="36"/>
        </w:rPr>
        <w:t>Smlouva</w:t>
      </w:r>
    </w:p>
    <w:p w:rsidR="00C130F6" w:rsidRDefault="00C130F6" w:rsidP="00C130F6">
      <w:pPr>
        <w:rPr>
          <w:rFonts w:ascii="Arial" w:hAnsi="Arial" w:cs="Arial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 xml:space="preserve">o poskytnutí účelové podpory </w:t>
      </w: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  <w:r w:rsidRPr="00DF200D">
        <w:rPr>
          <w:rFonts w:ascii="Arial" w:hAnsi="Arial" w:cs="Arial"/>
          <w:b/>
        </w:rPr>
        <w:t>na řešení projektu výzkumu, vývoje a inovací s názvem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</w:p>
    <w:p w:rsidR="00703679" w:rsidRDefault="00703679" w:rsidP="00703679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>
        <w:rPr>
          <w:rFonts w:ascii="Arial" w:hAnsi="Arial" w:cs="Arial"/>
          <w:bCs/>
          <w:sz w:val="32"/>
          <w:szCs w:val="32"/>
          <w:lang w:eastAsia="x-none"/>
        </w:rPr>
        <w:t>„</w:t>
      </w:r>
      <w:r w:rsidRPr="00987867">
        <w:rPr>
          <w:rFonts w:ascii="Arial" w:hAnsi="Arial" w:cs="Arial"/>
          <w:bCs/>
          <w:sz w:val="32"/>
          <w:szCs w:val="32"/>
          <w:lang w:eastAsia="x-none"/>
        </w:rPr>
        <w:t xml:space="preserve">Komplexní instrumentální metodika </w:t>
      </w:r>
    </w:p>
    <w:p w:rsidR="00703679" w:rsidRDefault="00703679" w:rsidP="00703679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 w:rsidRPr="00987867">
        <w:rPr>
          <w:rFonts w:ascii="Arial" w:hAnsi="Arial" w:cs="Arial"/>
          <w:bCs/>
          <w:sz w:val="32"/>
          <w:szCs w:val="32"/>
          <w:lang w:eastAsia="x-none"/>
        </w:rPr>
        <w:t xml:space="preserve">pro posuzování pravosti výtvarných děl, </w:t>
      </w:r>
    </w:p>
    <w:p w:rsidR="00703679" w:rsidRPr="00987867" w:rsidRDefault="00703679" w:rsidP="00703679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 w:rsidRPr="00987867">
        <w:rPr>
          <w:rFonts w:ascii="Arial" w:hAnsi="Arial" w:cs="Arial"/>
          <w:bCs/>
          <w:sz w:val="32"/>
          <w:szCs w:val="32"/>
          <w:lang w:eastAsia="x-none"/>
        </w:rPr>
        <w:t>databáze materiálů barevných vrstev 20. století</w:t>
      </w:r>
      <w:r>
        <w:rPr>
          <w:rFonts w:ascii="Arial" w:hAnsi="Arial" w:cs="Arial"/>
          <w:bCs/>
          <w:sz w:val="32"/>
          <w:szCs w:val="32"/>
          <w:lang w:eastAsia="x-none"/>
        </w:rPr>
        <w:t>“</w:t>
      </w:r>
    </w:p>
    <w:p w:rsidR="00703679" w:rsidRDefault="00703679" w:rsidP="00703679">
      <w:pPr>
        <w:pStyle w:val="Nzev"/>
        <w:rPr>
          <w:rFonts w:ascii="Arial" w:hAnsi="Arial" w:cs="Arial"/>
          <w:sz w:val="24"/>
          <w:szCs w:val="24"/>
        </w:rPr>
      </w:pPr>
    </w:p>
    <w:p w:rsidR="00703679" w:rsidRDefault="00703679" w:rsidP="00703679">
      <w:pPr>
        <w:pStyle w:val="Nzev"/>
        <w:rPr>
          <w:rFonts w:ascii="Arial" w:hAnsi="Arial" w:cs="Arial"/>
          <w:sz w:val="24"/>
          <w:szCs w:val="24"/>
        </w:rPr>
      </w:pPr>
    </w:p>
    <w:p w:rsidR="00703679" w:rsidRDefault="00703679" w:rsidP="00703679">
      <w:pPr>
        <w:pStyle w:val="Nzev"/>
        <w:rPr>
          <w:rFonts w:ascii="Arial" w:hAnsi="Arial" w:cs="Arial"/>
          <w:sz w:val="24"/>
          <w:szCs w:val="24"/>
        </w:rPr>
      </w:pPr>
    </w:p>
    <w:p w:rsidR="00703679" w:rsidRDefault="00703679" w:rsidP="00703679">
      <w:pPr>
        <w:pStyle w:val="Nzev"/>
        <w:rPr>
          <w:rFonts w:ascii="Arial" w:hAnsi="Arial" w:cs="Arial"/>
          <w:sz w:val="24"/>
          <w:szCs w:val="24"/>
        </w:rPr>
      </w:pPr>
    </w:p>
    <w:p w:rsidR="00703679" w:rsidRDefault="00703679" w:rsidP="00703679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03679" w:rsidRPr="00987867" w:rsidRDefault="00703679" w:rsidP="00703679">
      <w:pPr>
        <w:pStyle w:val="Nzev"/>
        <w:rPr>
          <w:rFonts w:ascii="Arial" w:hAnsi="Arial" w:cs="Arial"/>
          <w:bCs/>
        </w:rPr>
      </w:pPr>
      <w:r w:rsidRPr="00987867">
        <w:rPr>
          <w:rFonts w:ascii="Arial" w:hAnsi="Arial" w:cs="Arial"/>
          <w:bCs/>
        </w:rPr>
        <w:t>VI20172020050</w:t>
      </w:r>
    </w:p>
    <w:p w:rsidR="00C130F6" w:rsidRDefault="00C130F6" w:rsidP="00203C38">
      <w:pPr>
        <w:pStyle w:val="Nadpis4"/>
        <w:spacing w:before="0" w:after="0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Pr="00315C48" w:rsidRDefault="00C130F6" w:rsidP="00C130F6"/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203C38" w:rsidRPr="00203C38" w:rsidRDefault="00703679" w:rsidP="003C18CC">
      <w:pPr>
        <w:pStyle w:val="Nadpis4"/>
        <w:spacing w:before="120" w:after="120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Národní galerie v Praze</w:t>
      </w:r>
      <w:r w:rsidR="00203C38" w:rsidRPr="00203C38">
        <w:rPr>
          <w:rFonts w:ascii="Arial" w:hAnsi="Arial" w:cs="Arial"/>
          <w:i/>
          <w:color w:val="000000"/>
        </w:rPr>
        <w:t xml:space="preserve"> </w:t>
      </w: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0A1770" w:rsidRDefault="000A1770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0A1770" w:rsidRDefault="000A1770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0A1770" w:rsidRDefault="000A1770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352A1" w:rsidRDefault="004352A1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85FA0" w:rsidRDefault="00785FA0" w:rsidP="00785FA0">
      <w:pPr>
        <w:pStyle w:val="Nzev"/>
        <w:tabs>
          <w:tab w:val="left" w:pos="5670"/>
          <w:tab w:val="left" w:pos="5812"/>
        </w:tabs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44240">
        <w:rPr>
          <w:rFonts w:ascii="Arial" w:hAnsi="Arial" w:cs="Arial"/>
          <w:b w:val="0"/>
          <w:sz w:val="24"/>
          <w:szCs w:val="24"/>
        </w:rPr>
        <w:t xml:space="preserve">  </w:t>
      </w:r>
      <w:proofErr w:type="gramStart"/>
      <w:r w:rsidR="00C130F6">
        <w:rPr>
          <w:rFonts w:ascii="Arial" w:hAnsi="Arial" w:cs="Arial"/>
          <w:b w:val="0"/>
          <w:sz w:val="24"/>
          <w:szCs w:val="24"/>
        </w:rPr>
        <w:t>Č.j.</w:t>
      </w:r>
      <w:proofErr w:type="gramEnd"/>
      <w:r w:rsidR="00203C38" w:rsidRPr="00203C38">
        <w:rPr>
          <w:rFonts w:ascii="Calibri" w:hAnsi="Calibri"/>
          <w:sz w:val="16"/>
          <w:szCs w:val="16"/>
        </w:rPr>
        <w:t xml:space="preserve"> </w:t>
      </w:r>
      <w:r w:rsidR="000A1770" w:rsidRPr="000A1770">
        <w:rPr>
          <w:rFonts w:ascii="Arial" w:hAnsi="Arial" w:cs="Arial"/>
          <w:b w:val="0"/>
          <w:sz w:val="24"/>
          <w:szCs w:val="24"/>
        </w:rPr>
        <w:t>MV-11385</w:t>
      </w:r>
      <w:r w:rsidR="00703679">
        <w:rPr>
          <w:rFonts w:ascii="Arial" w:hAnsi="Arial" w:cs="Arial"/>
          <w:b w:val="0"/>
          <w:sz w:val="24"/>
          <w:szCs w:val="24"/>
        </w:rPr>
        <w:t>2</w:t>
      </w:r>
      <w:r w:rsidR="000A1770" w:rsidRPr="000A1770">
        <w:rPr>
          <w:rFonts w:ascii="Arial" w:hAnsi="Arial" w:cs="Arial"/>
          <w:b w:val="0"/>
          <w:sz w:val="24"/>
          <w:szCs w:val="24"/>
        </w:rPr>
        <w:t>-</w:t>
      </w:r>
      <w:r w:rsidR="000A1770">
        <w:rPr>
          <w:rFonts w:ascii="Arial" w:hAnsi="Arial" w:cs="Arial"/>
          <w:b w:val="0"/>
          <w:sz w:val="24"/>
          <w:szCs w:val="24"/>
        </w:rPr>
        <w:t xml:space="preserve">   </w:t>
      </w:r>
      <w:r w:rsidR="000A1770" w:rsidRPr="000A1770">
        <w:rPr>
          <w:rFonts w:ascii="Arial" w:hAnsi="Arial" w:cs="Arial"/>
          <w:b w:val="0"/>
          <w:sz w:val="24"/>
          <w:szCs w:val="24"/>
        </w:rPr>
        <w:t>/OBVV-2016</w:t>
      </w:r>
    </w:p>
    <w:p w:rsidR="00C130F6" w:rsidRPr="00785FA0" w:rsidRDefault="00785FA0" w:rsidP="00785FA0">
      <w:pPr>
        <w:pStyle w:val="Nzev"/>
        <w:tabs>
          <w:tab w:val="left" w:pos="5670"/>
          <w:tab w:val="left" w:pos="5812"/>
        </w:tabs>
        <w:ind w:left="5664"/>
        <w:jc w:val="left"/>
        <w:rPr>
          <w:rFonts w:ascii="Arial" w:hAnsi="Arial" w:cs="Arial"/>
          <w:b w:val="0"/>
          <w:sz w:val="24"/>
          <w:szCs w:val="24"/>
        </w:rPr>
      </w:pPr>
      <w:r w:rsidRPr="00785FA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130F6" w:rsidRPr="00785FA0">
        <w:rPr>
          <w:rFonts w:ascii="Arial" w:hAnsi="Arial" w:cs="Arial"/>
          <w:b w:val="0"/>
          <w:sz w:val="24"/>
          <w:szCs w:val="24"/>
        </w:rPr>
        <w:t>Počet stran: 1</w:t>
      </w:r>
      <w:r w:rsidR="00FC19EA">
        <w:rPr>
          <w:rFonts w:ascii="Arial" w:hAnsi="Arial" w:cs="Arial"/>
          <w:b w:val="0"/>
          <w:sz w:val="24"/>
          <w:szCs w:val="24"/>
        </w:rPr>
        <w:t>5</w:t>
      </w:r>
    </w:p>
    <w:p w:rsidR="00C130F6" w:rsidRDefault="00C130F6" w:rsidP="00203C38">
      <w:pPr>
        <w:pStyle w:val="ABLOCKPARA"/>
        <w:widowControl/>
        <w:ind w:left="4956" w:firstLine="998"/>
        <w:jc w:val="both"/>
        <w:rPr>
          <w:rFonts w:ascii="Arial" w:hAnsi="Arial" w:cs="Arial"/>
          <w:sz w:val="24"/>
          <w:szCs w:val="24"/>
        </w:rPr>
      </w:pPr>
      <w:r w:rsidRPr="00DD20BC">
        <w:rPr>
          <w:rFonts w:ascii="Arial" w:hAnsi="Arial" w:cs="Arial"/>
          <w:sz w:val="24"/>
          <w:szCs w:val="24"/>
          <w:u w:val="single"/>
        </w:rPr>
        <w:t>Přílohy:</w:t>
      </w:r>
      <w:r>
        <w:rPr>
          <w:rFonts w:ascii="Arial" w:hAnsi="Arial" w:cs="Arial"/>
          <w:sz w:val="24"/>
          <w:szCs w:val="24"/>
        </w:rPr>
        <w:t xml:space="preserve"> </w:t>
      </w:r>
      <w:r w:rsidR="00A44240">
        <w:rPr>
          <w:rFonts w:ascii="Arial" w:hAnsi="Arial" w:cs="Arial"/>
          <w:sz w:val="24"/>
          <w:szCs w:val="24"/>
        </w:rPr>
        <w:t>4</w:t>
      </w:r>
      <w:r w:rsidRPr="006A130F">
        <w:rPr>
          <w:rFonts w:ascii="Arial" w:hAnsi="Arial" w:cs="Arial"/>
          <w:sz w:val="24"/>
          <w:szCs w:val="24"/>
        </w:rPr>
        <w:t>/</w:t>
      </w: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776D1C" w:rsidRDefault="00776D1C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 xml:space="preserve">, Nad Štolou 936/3, </w:t>
      </w:r>
      <w:r w:rsidR="004F012B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sz w:val="22"/>
          <w:szCs w:val="22"/>
        </w:rPr>
        <w:t>170 34 Praha 7</w:t>
      </w:r>
      <w:r w:rsidR="001D033D">
        <w:rPr>
          <w:rFonts w:ascii="Arial" w:hAnsi="Arial" w:cs="Arial"/>
          <w:sz w:val="22"/>
          <w:szCs w:val="22"/>
        </w:rPr>
        <w:t>, 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CA61AE">
      <w:pPr>
        <w:pStyle w:val="Zkladntext"/>
        <w:spacing w:before="0"/>
        <w:rPr>
          <w:sz w:val="22"/>
          <w:szCs w:val="22"/>
        </w:rPr>
      </w:pPr>
    </w:p>
    <w:p w:rsidR="00703679" w:rsidRPr="00703679" w:rsidRDefault="00703679" w:rsidP="00703679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03679">
        <w:rPr>
          <w:rFonts w:ascii="Arial" w:hAnsi="Arial" w:cs="Arial"/>
          <w:b/>
          <w:bCs/>
        </w:rPr>
        <w:t>Národní galeri</w:t>
      </w:r>
      <w:r>
        <w:rPr>
          <w:rFonts w:ascii="Arial" w:hAnsi="Arial" w:cs="Arial"/>
          <w:b/>
          <w:bCs/>
        </w:rPr>
        <w:t>e</w:t>
      </w:r>
      <w:r w:rsidRPr="00703679">
        <w:rPr>
          <w:rFonts w:ascii="Arial" w:hAnsi="Arial" w:cs="Arial"/>
          <w:b/>
          <w:bCs/>
        </w:rPr>
        <w:t xml:space="preserve"> v Praze </w:t>
      </w:r>
    </w:p>
    <w:p w:rsidR="00703679" w:rsidRPr="00703679" w:rsidRDefault="00703679" w:rsidP="00703679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3679" w:rsidRPr="00703679" w:rsidRDefault="00703679" w:rsidP="00703679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x-none"/>
        </w:rPr>
      </w:pPr>
      <w:r w:rsidRPr="00703679">
        <w:rPr>
          <w:rFonts w:ascii="Arial" w:hAnsi="Arial" w:cs="Arial"/>
          <w:sz w:val="22"/>
          <w:szCs w:val="22"/>
          <w:lang w:val="x-none" w:eastAsia="x-none"/>
        </w:rPr>
        <w:t xml:space="preserve">se sídlem: </w:t>
      </w:r>
      <w:r w:rsidRPr="00703679">
        <w:rPr>
          <w:rFonts w:ascii="Arial" w:hAnsi="Arial" w:cs="Arial"/>
          <w:sz w:val="22"/>
          <w:szCs w:val="22"/>
          <w:lang w:eastAsia="x-none"/>
        </w:rPr>
        <w:t>Staroměstské náměstí 606/12, 110 15 Praha 1</w:t>
      </w:r>
    </w:p>
    <w:p w:rsidR="00703679" w:rsidRPr="00703679" w:rsidRDefault="00703679" w:rsidP="00703679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x-none"/>
        </w:rPr>
      </w:pPr>
      <w:r w:rsidRPr="00703679">
        <w:rPr>
          <w:rFonts w:ascii="Arial" w:hAnsi="Arial" w:cs="Arial"/>
          <w:sz w:val="22"/>
          <w:szCs w:val="22"/>
          <w:lang w:val="x-none" w:eastAsia="x-none"/>
        </w:rPr>
        <w:t>statutární zástupce:</w:t>
      </w:r>
      <w:r w:rsidRPr="00703679">
        <w:rPr>
          <w:rFonts w:ascii="ArialMT" w:hAnsi="ArialMT" w:cs="ArialMT"/>
          <w:sz w:val="16"/>
          <w:szCs w:val="16"/>
          <w:lang w:val="x-none" w:eastAsia="x-none"/>
        </w:rPr>
        <w:t xml:space="preserve"> </w:t>
      </w:r>
      <w:r w:rsidRPr="00703679">
        <w:rPr>
          <w:rFonts w:ascii="Arial" w:hAnsi="Arial" w:cs="Arial"/>
          <w:sz w:val="22"/>
          <w:szCs w:val="22"/>
          <w:lang w:eastAsia="x-none"/>
        </w:rPr>
        <w:t>Doc. Dr. et Ing. Jiří Fajt, Ph.D., generální ředitel</w:t>
      </w:r>
    </w:p>
    <w:p w:rsidR="00703679" w:rsidRPr="00703679" w:rsidRDefault="00703679" w:rsidP="00703679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x-none"/>
        </w:rPr>
      </w:pPr>
      <w:r w:rsidRPr="00703679">
        <w:rPr>
          <w:rFonts w:ascii="Arial" w:hAnsi="Arial" w:cs="Arial"/>
          <w:sz w:val="22"/>
          <w:szCs w:val="22"/>
          <w:lang w:eastAsia="x-none"/>
        </w:rPr>
        <w:t xml:space="preserve">IČ: </w:t>
      </w:r>
      <w:r w:rsidRPr="00703679">
        <w:rPr>
          <w:rFonts w:ascii="Arial" w:hAnsi="Arial" w:cs="Arial"/>
          <w:sz w:val="22"/>
          <w:szCs w:val="22"/>
          <w:lang w:val="x-none" w:eastAsia="x-none"/>
        </w:rPr>
        <w:t xml:space="preserve">00023281 </w:t>
      </w:r>
    </w:p>
    <w:p w:rsidR="00754BB4" w:rsidRDefault="00703679" w:rsidP="00703679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x-none"/>
        </w:rPr>
      </w:pPr>
      <w:r w:rsidRPr="00703679">
        <w:rPr>
          <w:rFonts w:ascii="Arial" w:hAnsi="Arial" w:cs="Arial"/>
          <w:sz w:val="22"/>
          <w:szCs w:val="22"/>
          <w:lang w:eastAsia="x-none"/>
        </w:rPr>
        <w:t>DIČ: CZ00023281</w:t>
      </w:r>
    </w:p>
    <w:p w:rsidR="00754BB4" w:rsidRPr="009A3A63" w:rsidRDefault="00754BB4" w:rsidP="00754B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příspěvková organizace </w:t>
      </w:r>
      <w:r w:rsidR="009A3A63" w:rsidRPr="009A3A63">
        <w:rPr>
          <w:rFonts w:ascii="Arial" w:hAnsi="Arial" w:cs="Arial"/>
          <w:color w:val="333333"/>
          <w:sz w:val="22"/>
          <w:szCs w:val="22"/>
        </w:rPr>
        <w:t>Ministerstva kultury České republiky</w:t>
      </w:r>
      <w:r w:rsidR="009A3A63" w:rsidRPr="009A3A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3A63">
        <w:rPr>
          <w:rFonts w:ascii="Arial" w:hAnsi="Arial" w:cs="Arial"/>
          <w:color w:val="000000"/>
          <w:sz w:val="22"/>
          <w:szCs w:val="22"/>
        </w:rPr>
        <w:t xml:space="preserve">zřízená </w:t>
      </w:r>
      <w:r w:rsidR="009A3A63" w:rsidRPr="009A3A63">
        <w:rPr>
          <w:rFonts w:ascii="Arial" w:hAnsi="Arial" w:cs="Arial"/>
          <w:color w:val="333333"/>
          <w:sz w:val="22"/>
          <w:szCs w:val="22"/>
        </w:rPr>
        <w:t xml:space="preserve">zákonem č. 148/1949 Sb., o Národní galerii v Praze. </w:t>
      </w:r>
    </w:p>
    <w:p w:rsidR="00754BB4" w:rsidRDefault="00754BB4" w:rsidP="00703679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 xml:space="preserve">číslo bankovního účtu: </w:t>
      </w:r>
      <w:r w:rsidRPr="00754BB4">
        <w:rPr>
          <w:rFonts w:ascii="Arial" w:hAnsi="Arial" w:cs="Arial"/>
          <w:bCs/>
          <w:sz w:val="22"/>
          <w:szCs w:val="22"/>
          <w:lang w:eastAsia="x-none"/>
        </w:rPr>
        <w:t>40002-8839011/0710</w:t>
      </w:r>
    </w:p>
    <w:p w:rsidR="00703679" w:rsidRPr="00703679" w:rsidRDefault="00703679" w:rsidP="00703679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x-none"/>
        </w:rPr>
      </w:pPr>
      <w:r w:rsidRPr="00703679">
        <w:rPr>
          <w:rFonts w:ascii="Arial" w:hAnsi="Arial" w:cs="Arial"/>
          <w:bCs/>
          <w:sz w:val="22"/>
          <w:szCs w:val="22"/>
          <w:lang w:val="x-none" w:eastAsia="x-none"/>
        </w:rPr>
        <w:t xml:space="preserve">adresa pro doručování: </w:t>
      </w:r>
      <w:r w:rsidRPr="00703679">
        <w:rPr>
          <w:rFonts w:ascii="Arial" w:hAnsi="Arial" w:cs="Arial"/>
          <w:bCs/>
          <w:sz w:val="22"/>
          <w:szCs w:val="22"/>
          <w:lang w:eastAsia="x-none"/>
        </w:rPr>
        <w:t>sídlo příjemce</w:t>
      </w:r>
    </w:p>
    <w:p w:rsidR="00703679" w:rsidRPr="00703679" w:rsidRDefault="00703679" w:rsidP="00703679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 w:eastAsia="x-none"/>
        </w:rPr>
      </w:pPr>
    </w:p>
    <w:p w:rsidR="00703679" w:rsidRPr="00703679" w:rsidRDefault="00703679" w:rsidP="007036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79">
        <w:rPr>
          <w:rFonts w:ascii="Arial" w:hAnsi="Arial" w:cs="Arial"/>
          <w:sz w:val="22"/>
          <w:szCs w:val="22"/>
        </w:rPr>
        <w:t xml:space="preserve">kontaktní osoba: </w:t>
      </w:r>
    </w:p>
    <w:p w:rsidR="00703679" w:rsidRPr="00703679" w:rsidRDefault="00703679" w:rsidP="007036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79">
        <w:rPr>
          <w:rFonts w:ascii="Arial" w:hAnsi="Arial" w:cs="Arial"/>
          <w:sz w:val="22"/>
          <w:szCs w:val="22"/>
        </w:rPr>
        <w:t xml:space="preserve">Ing. Radka </w:t>
      </w:r>
      <w:proofErr w:type="spellStart"/>
      <w:r w:rsidRPr="00703679">
        <w:rPr>
          <w:rFonts w:ascii="Arial" w:hAnsi="Arial" w:cs="Arial"/>
          <w:sz w:val="22"/>
          <w:szCs w:val="22"/>
        </w:rPr>
        <w:t>Šefců</w:t>
      </w:r>
      <w:proofErr w:type="spellEnd"/>
      <w:r w:rsidRPr="00703679">
        <w:rPr>
          <w:rFonts w:ascii="Arial" w:hAnsi="Arial" w:cs="Arial"/>
          <w:sz w:val="22"/>
          <w:szCs w:val="22"/>
        </w:rPr>
        <w:t>; tel.: 221 879 255, e-mail: radka.sefcu@ngprague.cz</w:t>
      </w:r>
    </w:p>
    <w:p w:rsidR="00703679" w:rsidRPr="00703679" w:rsidRDefault="00703679" w:rsidP="00703679">
      <w:pPr>
        <w:rPr>
          <w:rFonts w:ascii="Arial" w:hAnsi="Arial" w:cs="Arial"/>
          <w:sz w:val="22"/>
          <w:szCs w:val="22"/>
        </w:rPr>
      </w:pPr>
    </w:p>
    <w:p w:rsidR="00703679" w:rsidRPr="00703679" w:rsidRDefault="00703679" w:rsidP="00703679">
      <w:pPr>
        <w:rPr>
          <w:rFonts w:ascii="Arial" w:hAnsi="Arial" w:cs="Arial"/>
          <w:sz w:val="22"/>
          <w:szCs w:val="22"/>
        </w:rPr>
      </w:pPr>
      <w:r w:rsidRPr="00703679">
        <w:rPr>
          <w:rFonts w:ascii="Arial" w:hAnsi="Arial" w:cs="Arial"/>
          <w:sz w:val="22"/>
          <w:szCs w:val="22"/>
        </w:rPr>
        <w:t>(dále jen „</w:t>
      </w:r>
      <w:r w:rsidRPr="00703679">
        <w:rPr>
          <w:rFonts w:ascii="Arial" w:hAnsi="Arial" w:cs="Arial"/>
          <w:b/>
          <w:sz w:val="22"/>
          <w:szCs w:val="22"/>
        </w:rPr>
        <w:t>příjemce</w:t>
      </w:r>
      <w:r w:rsidRPr="00703679">
        <w:rPr>
          <w:rFonts w:ascii="Arial" w:hAnsi="Arial" w:cs="Arial"/>
          <w:sz w:val="22"/>
          <w:szCs w:val="22"/>
        </w:rPr>
        <w:t>“).</w:t>
      </w: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Default="00C130F6" w:rsidP="00C130F6">
      <w:pPr>
        <w:rPr>
          <w:rFonts w:ascii="Arial" w:hAnsi="Arial" w:cs="Arial"/>
        </w:rPr>
      </w:pPr>
    </w:p>
    <w:p w:rsidR="00342905" w:rsidRDefault="00342905" w:rsidP="00C130F6">
      <w:pPr>
        <w:rPr>
          <w:rFonts w:ascii="Arial" w:hAnsi="Arial" w:cs="Arial"/>
        </w:rPr>
      </w:pPr>
    </w:p>
    <w:p w:rsidR="00342905" w:rsidRDefault="00342905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Předmět Smlouvy</w:t>
      </w:r>
    </w:p>
    <w:p w:rsidR="00347449" w:rsidRPr="00347449" w:rsidRDefault="00C130F6" w:rsidP="00347449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C18CC">
        <w:rPr>
          <w:rFonts w:ascii="Arial" w:hAnsi="Arial" w:cs="Arial"/>
          <w:color w:val="auto"/>
          <w:sz w:val="22"/>
          <w:szCs w:val="22"/>
        </w:rPr>
        <w:t>Předmětem Smlouvy je závazek příjemců řešit projekt výzkumu, vývoje a inovací s</w:t>
      </w:r>
      <w:r w:rsidR="0065308F" w:rsidRPr="003C18CC">
        <w:rPr>
          <w:rFonts w:ascii="Arial" w:hAnsi="Arial" w:cs="Arial"/>
          <w:color w:val="auto"/>
          <w:sz w:val="22"/>
          <w:szCs w:val="22"/>
        </w:rPr>
        <w:t> </w:t>
      </w:r>
      <w:r w:rsidRPr="003C18CC">
        <w:rPr>
          <w:rFonts w:ascii="Arial" w:hAnsi="Arial" w:cs="Arial"/>
          <w:color w:val="auto"/>
          <w:sz w:val="22"/>
          <w:szCs w:val="22"/>
        </w:rPr>
        <w:t>názvem</w:t>
      </w:r>
      <w:r w:rsidR="0065308F" w:rsidRPr="003C18CC">
        <w:rPr>
          <w:rFonts w:ascii="Arial" w:hAnsi="Arial" w:cs="Arial"/>
          <w:color w:val="auto"/>
          <w:sz w:val="22"/>
          <w:szCs w:val="22"/>
        </w:rPr>
        <w:t xml:space="preserve"> </w:t>
      </w:r>
      <w:r w:rsidR="00703679" w:rsidRPr="00B96669">
        <w:rPr>
          <w:rFonts w:ascii="Arial" w:hAnsi="Arial" w:cs="Arial"/>
          <w:b/>
          <w:bCs/>
          <w:sz w:val="22"/>
          <w:szCs w:val="22"/>
        </w:rPr>
        <w:t>„</w:t>
      </w:r>
      <w:r w:rsidR="00703679" w:rsidRPr="00D5458C">
        <w:rPr>
          <w:rFonts w:ascii="Arial" w:hAnsi="Arial" w:cs="Arial"/>
          <w:b/>
          <w:bCs/>
          <w:sz w:val="22"/>
          <w:szCs w:val="22"/>
        </w:rPr>
        <w:t>Komplexní instrumentální metodika pro posuzování pravosti výtvarných děl, databáze materiálů barevných vrstev 20. století</w:t>
      </w:r>
      <w:r w:rsidR="00703679" w:rsidRPr="00B96669">
        <w:rPr>
          <w:rFonts w:ascii="Arial" w:hAnsi="Arial" w:cs="Arial"/>
          <w:b/>
          <w:bCs/>
          <w:sz w:val="22"/>
          <w:szCs w:val="22"/>
        </w:rPr>
        <w:t>“</w:t>
      </w:r>
      <w:r w:rsidR="00703679">
        <w:rPr>
          <w:rFonts w:ascii="Arial" w:hAnsi="Arial" w:cs="Arial"/>
          <w:b/>
          <w:bCs/>
          <w:sz w:val="22"/>
          <w:szCs w:val="22"/>
        </w:rPr>
        <w:t xml:space="preserve"> </w:t>
      </w:r>
      <w:r w:rsidR="00703679">
        <w:rPr>
          <w:rFonts w:ascii="Arial" w:hAnsi="Arial" w:cs="Arial"/>
          <w:sz w:val="22"/>
          <w:szCs w:val="22"/>
        </w:rPr>
        <w:t xml:space="preserve">s identifikačním kódem </w:t>
      </w:r>
      <w:r w:rsidR="00703679" w:rsidRPr="00E5058C">
        <w:rPr>
          <w:rFonts w:ascii="Arial" w:hAnsi="Arial" w:cs="Arial"/>
          <w:b/>
          <w:sz w:val="22"/>
          <w:szCs w:val="22"/>
        </w:rPr>
        <w:t>„</w:t>
      </w:r>
      <w:r w:rsidR="00703679" w:rsidRPr="00BC7361">
        <w:rPr>
          <w:rFonts w:ascii="Arial" w:hAnsi="Arial" w:cs="Arial"/>
          <w:b/>
          <w:bCs/>
          <w:sz w:val="22"/>
          <w:szCs w:val="22"/>
        </w:rPr>
        <w:t>VI2017202005</w:t>
      </w:r>
      <w:r w:rsidR="00703679">
        <w:rPr>
          <w:rFonts w:ascii="Arial" w:hAnsi="Arial" w:cs="Arial"/>
          <w:b/>
          <w:bCs/>
          <w:sz w:val="22"/>
          <w:szCs w:val="22"/>
        </w:rPr>
        <w:t>0</w:t>
      </w:r>
      <w:r w:rsidR="00703679" w:rsidRPr="002950BC">
        <w:rPr>
          <w:rFonts w:ascii="Arial" w:hAnsi="Arial" w:cs="Arial"/>
          <w:b/>
          <w:sz w:val="22"/>
          <w:szCs w:val="22"/>
        </w:rPr>
        <w:t>“</w:t>
      </w:r>
      <w:r w:rsidR="00703679">
        <w:rPr>
          <w:rFonts w:ascii="Arial" w:hAnsi="Arial" w:cs="Arial"/>
          <w:b/>
          <w:sz w:val="22"/>
          <w:szCs w:val="22"/>
        </w:rPr>
        <w:t xml:space="preserve"> </w:t>
      </w:r>
      <w:r w:rsidRPr="005E202E">
        <w:rPr>
          <w:rFonts w:ascii="Arial" w:hAnsi="Arial" w:cs="Arial"/>
          <w:color w:val="auto"/>
          <w:sz w:val="22"/>
          <w:szCs w:val="22"/>
        </w:rPr>
        <w:t xml:space="preserve">a závazek poskytovatele poskytnout příjemcům na tento projekt účelovou podporu z veřejných prostředků (dále jen ”podpora”) v rozsahu a za podmínek stanovených Smlouvou. </w:t>
      </w:r>
    </w:p>
    <w:p w:rsidR="00703679" w:rsidRPr="00347449" w:rsidRDefault="00703679" w:rsidP="00347449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47449">
        <w:rPr>
          <w:rFonts w:ascii="Arial" w:hAnsi="Arial" w:cs="Arial"/>
          <w:sz w:val="22"/>
          <w:szCs w:val="22"/>
        </w:rPr>
        <w:t xml:space="preserve">Předmětem řešení projektu je experimentální vývoj, který vychází z aktuálních potřeb Znalecké služby PČR a orgánů činných v trestním řízení na robustní postupy při posuzování pravosti výtvarných děl. Zmnožující se kauzy padělků uměleckých děl zejména obrazů z období 20. - 50. let 20. století ukazují na akutní potřebu vytvoření databáze standardizovaných výsledků získaných instrumentálními metodami a nového zhodnocení postupů při posuzování pravosti, které budou sloužit jako zásadní korektiv k reálně používaným materiálům při vzniku padělků. </w:t>
      </w:r>
    </w:p>
    <w:p w:rsidR="00C130F6" w:rsidRPr="00910DE1" w:rsidRDefault="00C130F6" w:rsidP="00FC19EA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C19EA">
        <w:rPr>
          <w:rFonts w:ascii="Arial" w:hAnsi="Arial" w:cs="Arial"/>
          <w:color w:val="auto"/>
          <w:sz w:val="22"/>
          <w:szCs w:val="22"/>
        </w:rPr>
        <w:t xml:space="preserve">Cíle projektu, předpokládané výsledky, </w:t>
      </w:r>
      <w:r w:rsidR="00196F98" w:rsidRPr="00FC19EA">
        <w:rPr>
          <w:rFonts w:ascii="Arial" w:hAnsi="Arial" w:cs="Arial"/>
          <w:color w:val="auto"/>
          <w:sz w:val="22"/>
          <w:szCs w:val="22"/>
        </w:rPr>
        <w:t xml:space="preserve">rozpočet a </w:t>
      </w:r>
      <w:r w:rsidRPr="00FC19EA">
        <w:rPr>
          <w:rFonts w:ascii="Arial" w:hAnsi="Arial" w:cs="Arial"/>
          <w:color w:val="auto"/>
          <w:sz w:val="22"/>
          <w:szCs w:val="22"/>
        </w:rPr>
        <w:t xml:space="preserve">harmonogram projektu, včetně dalších údajů jsou uvedeny ve schváleném projektu, který je přílohou č. 1 Smlouvy (dále jen „Projekt“). </w:t>
      </w:r>
    </w:p>
    <w:p w:rsidR="00910DE1" w:rsidRPr="00FC19EA" w:rsidRDefault="00910DE1" w:rsidP="00910DE1">
      <w:pPr>
        <w:pStyle w:val="Default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F74206" w:rsidRDefault="00F7420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příjemci-koordinátorovi sděleny při předání Smlouvy.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2B471C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9263B2" w:rsidRDefault="009263B2" w:rsidP="002B471C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4</w:t>
      </w: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Hlavní řešitel Projektu </w:t>
      </w:r>
    </w:p>
    <w:p w:rsidR="00703679" w:rsidRPr="00703679" w:rsidRDefault="00C130F6" w:rsidP="007036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44C27">
        <w:rPr>
          <w:rFonts w:ascii="Arial" w:hAnsi="Arial" w:cs="Arial"/>
          <w:color w:val="auto"/>
          <w:sz w:val="22"/>
          <w:szCs w:val="22"/>
        </w:rPr>
        <w:t xml:space="preserve">Za odbornou úroveň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E44C2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dle </w:t>
      </w:r>
      <w:r w:rsidRPr="00D6091A">
        <w:rPr>
          <w:rFonts w:ascii="Arial" w:hAnsi="Arial" w:cs="Arial"/>
          <w:color w:val="auto"/>
          <w:sz w:val="22"/>
          <w:szCs w:val="22"/>
        </w:rPr>
        <w:t>§ 9 odst. 1, písm. e)</w:t>
      </w:r>
      <w:r>
        <w:rPr>
          <w:rFonts w:ascii="Arial" w:hAnsi="Arial" w:cs="Arial"/>
          <w:color w:val="auto"/>
          <w:sz w:val="22"/>
          <w:szCs w:val="22"/>
        </w:rPr>
        <w:t xml:space="preserve"> zákona č. 130/2002 Sb. je příjemci</w:t>
      </w:r>
      <w:r w:rsidR="001625A9">
        <w:rPr>
          <w:rFonts w:ascii="Arial" w:hAnsi="Arial" w:cs="Arial"/>
          <w:color w:val="auto"/>
          <w:sz w:val="22"/>
          <w:szCs w:val="22"/>
        </w:rPr>
        <w:t>-koordinátorovi</w:t>
      </w:r>
      <w:r>
        <w:rPr>
          <w:rFonts w:ascii="Arial" w:hAnsi="Arial" w:cs="Arial"/>
          <w:color w:val="auto"/>
          <w:sz w:val="22"/>
          <w:szCs w:val="22"/>
        </w:rPr>
        <w:t xml:space="preserve"> odpovědn</w:t>
      </w:r>
      <w:r w:rsidR="005E202E">
        <w:rPr>
          <w:rFonts w:ascii="Arial" w:hAnsi="Arial" w:cs="Arial"/>
          <w:color w:val="auto"/>
          <w:sz w:val="22"/>
          <w:szCs w:val="22"/>
        </w:rPr>
        <w:t>á</w:t>
      </w:r>
      <w:r w:rsidRPr="00C71BCD">
        <w:rPr>
          <w:rFonts w:ascii="Arial" w:hAnsi="Arial" w:cs="Arial"/>
          <w:color w:val="auto"/>
          <w:sz w:val="22"/>
          <w:szCs w:val="22"/>
        </w:rPr>
        <w:t xml:space="preserve"> </w:t>
      </w:r>
      <w:r w:rsidR="00703679" w:rsidRPr="00703679">
        <w:rPr>
          <w:rFonts w:ascii="Arial" w:hAnsi="Arial" w:cs="Arial"/>
          <w:sz w:val="22"/>
          <w:szCs w:val="22"/>
        </w:rPr>
        <w:t>Mgr. Ivana Turková.</w:t>
      </w:r>
    </w:p>
    <w:p w:rsidR="0053590F" w:rsidRDefault="0053590F" w:rsidP="0070367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130F6" w:rsidRPr="008C1BB1" w:rsidRDefault="00C130F6" w:rsidP="008D3767">
      <w:pPr>
        <w:numPr>
          <w:ilvl w:val="0"/>
          <w:numId w:val="36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2B471C" w:rsidRPr="002B471C" w:rsidRDefault="00C130F6" w:rsidP="002B471C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B471C">
        <w:rPr>
          <w:rFonts w:ascii="Arial" w:hAnsi="Arial" w:cs="Arial"/>
          <w:color w:val="000000"/>
          <w:sz w:val="22"/>
          <w:szCs w:val="22"/>
        </w:rPr>
        <w:t>Příjemce-koordinátor</w:t>
      </w:r>
      <w:r w:rsidR="00703679" w:rsidRPr="007036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03679" w:rsidRPr="002B471C">
        <w:rPr>
          <w:rFonts w:ascii="Arial" w:hAnsi="Arial" w:cs="Arial"/>
          <w:b/>
          <w:color w:val="000000"/>
          <w:sz w:val="22"/>
          <w:szCs w:val="22"/>
        </w:rPr>
        <w:t xml:space="preserve">Ministerstvo vnitra </w:t>
      </w:r>
      <w:r w:rsidR="00703679">
        <w:rPr>
          <w:rFonts w:ascii="Arial" w:hAnsi="Arial" w:cs="Arial"/>
          <w:b/>
          <w:color w:val="000000"/>
          <w:sz w:val="22"/>
          <w:szCs w:val="22"/>
        </w:rPr>
        <w:t>–</w:t>
      </w:r>
      <w:r w:rsidR="00703679" w:rsidRPr="002B47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03679">
        <w:rPr>
          <w:rFonts w:ascii="Arial" w:hAnsi="Arial" w:cs="Arial"/>
          <w:b/>
          <w:color w:val="000000"/>
          <w:sz w:val="22"/>
          <w:szCs w:val="22"/>
        </w:rPr>
        <w:t xml:space="preserve">Policie </w:t>
      </w:r>
      <w:r w:rsidR="00703679" w:rsidRPr="002B471C">
        <w:rPr>
          <w:rFonts w:ascii="Arial" w:hAnsi="Arial" w:cs="Arial"/>
          <w:b/>
          <w:color w:val="000000"/>
          <w:sz w:val="22"/>
          <w:szCs w:val="22"/>
        </w:rPr>
        <w:t>České republiky</w:t>
      </w:r>
      <w:r w:rsidR="00703679">
        <w:rPr>
          <w:rFonts w:ascii="Arial" w:hAnsi="Arial" w:cs="Arial"/>
          <w:b/>
          <w:color w:val="000000"/>
          <w:sz w:val="22"/>
          <w:szCs w:val="22"/>
        </w:rPr>
        <w:t>, Kriminalistický ústav</w:t>
      </w:r>
      <w:r w:rsidR="00703679" w:rsidRPr="002B471C">
        <w:rPr>
          <w:rFonts w:ascii="Arial" w:hAnsi="Arial" w:cs="Arial"/>
          <w:b/>
          <w:color w:val="000000"/>
          <w:sz w:val="22"/>
          <w:szCs w:val="22"/>
        </w:rPr>
        <w:t xml:space="preserve"> v Praze</w:t>
      </w:r>
      <w:r w:rsidRPr="002B471C">
        <w:rPr>
          <w:rFonts w:ascii="Arial" w:hAnsi="Arial" w:cs="Arial"/>
          <w:color w:val="000000"/>
          <w:sz w:val="22"/>
          <w:szCs w:val="22"/>
        </w:rPr>
        <w:t xml:space="preserve"> je odpovědný vůči poskytovateli za realizaci celého Projektu, včetně částí realizovaných d</w:t>
      </w:r>
      <w:r w:rsidR="00A502D9" w:rsidRPr="002B471C">
        <w:rPr>
          <w:rFonts w:ascii="Arial" w:hAnsi="Arial" w:cs="Arial"/>
          <w:color w:val="000000"/>
          <w:sz w:val="22"/>
          <w:szCs w:val="22"/>
        </w:rPr>
        <w:t>alším</w:t>
      </w:r>
      <w:r w:rsidRPr="002B471C"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9F3960">
        <w:rPr>
          <w:rFonts w:ascii="Arial" w:hAnsi="Arial" w:cs="Arial"/>
          <w:color w:val="000000"/>
          <w:sz w:val="22"/>
          <w:szCs w:val="22"/>
        </w:rPr>
        <w:t>em</w:t>
      </w:r>
      <w:r w:rsidRPr="002B471C">
        <w:rPr>
          <w:rFonts w:ascii="Arial" w:hAnsi="Arial" w:cs="Arial"/>
          <w:color w:val="000000"/>
          <w:sz w:val="22"/>
          <w:szCs w:val="22"/>
        </w:rPr>
        <w:t xml:space="preserve"> na základě Smlouvy o vzájemných vztazích mezi příjemci, která je nedílnou součástí Smlouvy (příloha č. 2 Smlouvy) a je oprávněn komunikovat s poskytovatelem ve věcech Projektu za příjemce.</w:t>
      </w:r>
      <w:r w:rsidR="002B471C" w:rsidRPr="002B471C">
        <w:rPr>
          <w:rFonts w:ascii="Arial" w:hAnsi="Arial" w:cs="Arial"/>
          <w:color w:val="000000"/>
          <w:sz w:val="22"/>
          <w:szCs w:val="22"/>
        </w:rPr>
        <w:t xml:space="preserve"> Pro příjemce</w:t>
      </w:r>
      <w:r w:rsidR="00703679">
        <w:rPr>
          <w:rFonts w:ascii="Arial" w:hAnsi="Arial" w:cs="Arial"/>
          <w:color w:val="000000"/>
          <w:sz w:val="22"/>
          <w:szCs w:val="22"/>
        </w:rPr>
        <w:t>-koordinátora</w:t>
      </w:r>
      <w:r w:rsidR="002B471C" w:rsidRPr="002B471C">
        <w:rPr>
          <w:rFonts w:ascii="Arial" w:hAnsi="Arial" w:cs="Arial"/>
          <w:color w:val="000000"/>
          <w:sz w:val="22"/>
          <w:szCs w:val="22"/>
        </w:rPr>
        <w:t xml:space="preserve"> </w:t>
      </w:r>
      <w:r w:rsidR="002B471C" w:rsidRPr="002B471C">
        <w:rPr>
          <w:rFonts w:ascii="Arial" w:hAnsi="Arial" w:cs="Arial"/>
          <w:b/>
          <w:color w:val="000000"/>
          <w:sz w:val="22"/>
          <w:szCs w:val="22"/>
        </w:rPr>
        <w:t xml:space="preserve">Ministerstvo vnitra </w:t>
      </w:r>
      <w:r w:rsidR="005E202E">
        <w:rPr>
          <w:rFonts w:ascii="Arial" w:hAnsi="Arial" w:cs="Arial"/>
          <w:b/>
          <w:color w:val="000000"/>
          <w:sz w:val="22"/>
          <w:szCs w:val="22"/>
        </w:rPr>
        <w:t>–</w:t>
      </w:r>
      <w:r w:rsidR="002B471C" w:rsidRPr="002B47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202E">
        <w:rPr>
          <w:rFonts w:ascii="Arial" w:hAnsi="Arial" w:cs="Arial"/>
          <w:b/>
          <w:color w:val="000000"/>
          <w:sz w:val="22"/>
          <w:szCs w:val="22"/>
        </w:rPr>
        <w:t xml:space="preserve">Policie </w:t>
      </w:r>
      <w:r w:rsidR="002B471C" w:rsidRPr="002B471C">
        <w:rPr>
          <w:rFonts w:ascii="Arial" w:hAnsi="Arial" w:cs="Arial"/>
          <w:b/>
          <w:color w:val="000000"/>
          <w:sz w:val="22"/>
          <w:szCs w:val="22"/>
        </w:rPr>
        <w:t>České republiky</w:t>
      </w:r>
      <w:r w:rsidR="005E202E">
        <w:rPr>
          <w:rFonts w:ascii="Arial" w:hAnsi="Arial" w:cs="Arial"/>
          <w:b/>
          <w:color w:val="000000"/>
          <w:sz w:val="22"/>
          <w:szCs w:val="22"/>
        </w:rPr>
        <w:t>, Kriminalistický ústav</w:t>
      </w:r>
      <w:r w:rsidR="002B471C" w:rsidRPr="002B471C">
        <w:rPr>
          <w:rFonts w:ascii="Arial" w:hAnsi="Arial" w:cs="Arial"/>
          <w:b/>
          <w:color w:val="000000"/>
          <w:sz w:val="22"/>
          <w:szCs w:val="22"/>
        </w:rPr>
        <w:t xml:space="preserve"> v Praze</w:t>
      </w:r>
      <w:r w:rsidR="002B471C" w:rsidRPr="002B471C">
        <w:rPr>
          <w:rFonts w:ascii="Arial" w:hAnsi="Arial" w:cs="Arial"/>
          <w:color w:val="000000"/>
          <w:sz w:val="22"/>
          <w:szCs w:val="22"/>
        </w:rPr>
        <w:t xml:space="preserve"> bylo vydáno Rozhodnutí o poskytnutí podpory na řešení výzkumného projektu </w:t>
      </w:r>
      <w:proofErr w:type="gramStart"/>
      <w:r w:rsidR="002B471C" w:rsidRPr="002B471C">
        <w:rPr>
          <w:rFonts w:ascii="Arial" w:hAnsi="Arial" w:cs="Arial"/>
          <w:b/>
          <w:color w:val="000000"/>
          <w:sz w:val="22"/>
          <w:szCs w:val="22"/>
        </w:rPr>
        <w:t>č.j.</w:t>
      </w:r>
      <w:proofErr w:type="gramEnd"/>
      <w:r w:rsidR="002B471C" w:rsidRPr="002B471C">
        <w:rPr>
          <w:rFonts w:ascii="Arial" w:hAnsi="Arial" w:cs="Arial"/>
          <w:b/>
          <w:color w:val="000000"/>
          <w:sz w:val="22"/>
          <w:szCs w:val="22"/>
        </w:rPr>
        <w:t xml:space="preserve"> MV-113</w:t>
      </w:r>
      <w:r w:rsidR="005E202E">
        <w:rPr>
          <w:rFonts w:ascii="Arial" w:hAnsi="Arial" w:cs="Arial"/>
          <w:b/>
          <w:color w:val="000000"/>
          <w:sz w:val="22"/>
          <w:szCs w:val="22"/>
        </w:rPr>
        <w:t>8</w:t>
      </w:r>
      <w:r w:rsidR="00703679">
        <w:rPr>
          <w:rFonts w:ascii="Arial" w:hAnsi="Arial" w:cs="Arial"/>
          <w:b/>
          <w:color w:val="000000"/>
          <w:sz w:val="22"/>
          <w:szCs w:val="22"/>
        </w:rPr>
        <w:t>52</w:t>
      </w:r>
      <w:r w:rsidR="002B471C" w:rsidRPr="002B471C">
        <w:rPr>
          <w:rFonts w:ascii="Arial" w:hAnsi="Arial" w:cs="Arial"/>
          <w:b/>
          <w:color w:val="000000"/>
          <w:sz w:val="22"/>
          <w:szCs w:val="22"/>
        </w:rPr>
        <w:t xml:space="preserve">-   /OBVV-2016. </w:t>
      </w:r>
    </w:p>
    <w:p w:rsidR="00C130F6" w:rsidRPr="001F358E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F358E">
        <w:rPr>
          <w:rFonts w:ascii="Arial" w:hAnsi="Arial" w:cs="Arial"/>
          <w:sz w:val="22"/>
          <w:szCs w:val="22"/>
        </w:rPr>
        <w:lastRenderedPageBreak/>
        <w:t>Příjemce-koordinátor</w:t>
      </w:r>
      <w:r>
        <w:rPr>
          <w:rFonts w:ascii="Arial" w:hAnsi="Arial" w:cs="Arial"/>
          <w:sz w:val="22"/>
          <w:szCs w:val="22"/>
        </w:rPr>
        <w:t xml:space="preserve"> zejména</w:t>
      </w:r>
      <w:r w:rsidRPr="001F358E">
        <w:rPr>
          <w:rFonts w:ascii="Arial" w:hAnsi="Arial" w:cs="Arial"/>
          <w:sz w:val="22"/>
          <w:szCs w:val="22"/>
        </w:rPr>
        <w:t xml:space="preserve"> zajišťuje vědeckou (odbornou), finanční a administrativní koordinaci </w:t>
      </w:r>
      <w:r>
        <w:rPr>
          <w:rFonts w:ascii="Arial" w:hAnsi="Arial" w:cs="Arial"/>
          <w:sz w:val="22"/>
          <w:szCs w:val="22"/>
        </w:rPr>
        <w:t>Projekt</w:t>
      </w:r>
      <w:r w:rsidRPr="001F358E">
        <w:rPr>
          <w:rFonts w:ascii="Arial" w:hAnsi="Arial" w:cs="Arial"/>
          <w:sz w:val="22"/>
          <w:szCs w:val="22"/>
        </w:rPr>
        <w:t xml:space="preserve">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</w:t>
      </w:r>
      <w:r w:rsidR="009F3960">
        <w:rPr>
          <w:rFonts w:ascii="Arial" w:hAnsi="Arial" w:cs="Arial"/>
          <w:color w:val="auto"/>
          <w:sz w:val="22"/>
          <w:szCs w:val="22"/>
        </w:rPr>
        <w:t>ho</w:t>
      </w:r>
      <w:r w:rsidR="00A502D9">
        <w:rPr>
          <w:rFonts w:ascii="Arial" w:hAnsi="Arial" w:cs="Arial"/>
          <w:color w:val="auto"/>
          <w:sz w:val="22"/>
          <w:szCs w:val="22"/>
        </w:rPr>
        <w:t xml:space="preserve">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 xml:space="preserve">Příjemce-koordinátor předává poskytovateli a odpovídá </w:t>
      </w:r>
      <w:proofErr w:type="gramStart"/>
      <w:r w:rsidRPr="00262A90">
        <w:rPr>
          <w:rFonts w:ascii="Arial" w:hAnsi="Arial" w:cs="Arial"/>
          <w:sz w:val="22"/>
          <w:szCs w:val="22"/>
        </w:rPr>
        <w:t>za</w:t>
      </w:r>
      <w:proofErr w:type="gramEnd"/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6A130F">
        <w:rPr>
          <w:rFonts w:ascii="Arial" w:hAnsi="Arial" w:cs="Arial"/>
          <w:color w:val="auto"/>
          <w:sz w:val="22"/>
          <w:szCs w:val="22"/>
        </w:rPr>
        <w:t>podklady, oznámení,</w:t>
      </w:r>
      <w:r w:rsidR="006A130F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C7750" w:rsidRDefault="00CC7750" w:rsidP="002B471C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Neplní-li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příjemce-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koordinátor </w:t>
      </w:r>
      <w:r>
        <w:rPr>
          <w:rFonts w:ascii="Arial" w:hAnsi="Arial" w:cs="Arial"/>
          <w:color w:val="auto"/>
          <w:sz w:val="22"/>
          <w:szCs w:val="22"/>
        </w:rPr>
        <w:t xml:space="preserve">z jakéhokoliv důvodu 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své </w:t>
      </w:r>
      <w:r>
        <w:rPr>
          <w:rFonts w:ascii="Arial" w:hAnsi="Arial" w:cs="Arial"/>
          <w:color w:val="auto"/>
          <w:sz w:val="22"/>
          <w:szCs w:val="22"/>
        </w:rPr>
        <w:t>povinnosti</w:t>
      </w:r>
      <w:r w:rsidRPr="00D707B6">
        <w:rPr>
          <w:rFonts w:ascii="Arial" w:hAnsi="Arial" w:cs="Arial"/>
          <w:color w:val="auto"/>
          <w:sz w:val="22"/>
          <w:szCs w:val="22"/>
        </w:rPr>
        <w:t>, m</w:t>
      </w:r>
      <w:r w:rsidR="005E202E">
        <w:rPr>
          <w:rFonts w:ascii="Arial" w:hAnsi="Arial" w:cs="Arial"/>
          <w:color w:val="auto"/>
          <w:sz w:val="22"/>
          <w:szCs w:val="22"/>
        </w:rPr>
        <w:t>ůže poskytovatel iniciovat změnu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koordinátor</w:t>
      </w:r>
      <w:r w:rsidR="005E202E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C7750" w:rsidRPr="00B070FE" w:rsidRDefault="00CC7750" w:rsidP="00317C0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C130F6" w:rsidRPr="00E250C2" w:rsidRDefault="00C130F6" w:rsidP="00C130F6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jsou povinni zahájit řešení Projektu dnem </w:t>
      </w:r>
      <w:r w:rsidR="009263B2">
        <w:rPr>
          <w:rFonts w:ascii="Arial" w:hAnsi="Arial" w:cs="Arial"/>
          <w:color w:val="auto"/>
          <w:sz w:val="22"/>
          <w:szCs w:val="22"/>
        </w:rPr>
        <w:t>1. 1. 201</w:t>
      </w:r>
      <w:r w:rsidR="009F54E5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Pr="00FC19EA" w:rsidRDefault="00C130F6" w:rsidP="00C130F6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</w:t>
      </w:r>
      <w:r w:rsidRPr="00C553F6">
        <w:rPr>
          <w:rFonts w:cs="Arial"/>
          <w:sz w:val="22"/>
          <w:szCs w:val="22"/>
        </w:rPr>
        <w:t>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ukončit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nejpozději ke dni </w:t>
      </w:r>
      <w:r w:rsidR="006F640D" w:rsidRPr="006F640D">
        <w:rPr>
          <w:rFonts w:cs="Arial"/>
          <w:sz w:val="22"/>
          <w:szCs w:val="22"/>
        </w:rPr>
        <w:t>31.</w:t>
      </w:r>
      <w:r w:rsidR="006F640D">
        <w:rPr>
          <w:rFonts w:cs="Arial"/>
          <w:sz w:val="22"/>
          <w:szCs w:val="22"/>
        </w:rPr>
        <w:t xml:space="preserve"> </w:t>
      </w:r>
      <w:r w:rsidR="005E202E">
        <w:rPr>
          <w:rFonts w:cs="Arial"/>
          <w:sz w:val="22"/>
          <w:szCs w:val="22"/>
        </w:rPr>
        <w:t>12</w:t>
      </w:r>
      <w:r w:rsidR="006F640D" w:rsidRPr="006F640D">
        <w:rPr>
          <w:rFonts w:cs="Arial"/>
          <w:sz w:val="22"/>
          <w:szCs w:val="22"/>
        </w:rPr>
        <w:t>.</w:t>
      </w:r>
      <w:r w:rsidR="006F640D">
        <w:rPr>
          <w:rFonts w:cs="Arial"/>
          <w:sz w:val="22"/>
          <w:szCs w:val="22"/>
        </w:rPr>
        <w:t xml:space="preserve"> </w:t>
      </w:r>
      <w:r w:rsidR="006F640D" w:rsidRPr="006F640D">
        <w:rPr>
          <w:rFonts w:cs="Arial"/>
          <w:sz w:val="22"/>
          <w:szCs w:val="22"/>
        </w:rPr>
        <w:t>2020</w:t>
      </w:r>
      <w:r>
        <w:rPr>
          <w:rFonts w:cs="Arial"/>
          <w:sz w:val="22"/>
          <w:szCs w:val="22"/>
        </w:rPr>
        <w:t>.</w:t>
      </w:r>
    </w:p>
    <w:p w:rsidR="00FC19EA" w:rsidRPr="00C553F6" w:rsidRDefault="00FC19EA" w:rsidP="00FC19EA">
      <w:pPr>
        <w:pStyle w:val="Zkladntext"/>
        <w:widowControl/>
        <w:adjustRightInd/>
        <w:ind w:left="357"/>
        <w:jc w:val="center"/>
        <w:rPr>
          <w:rFonts w:cs="Arial"/>
          <w:i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703679" w:rsidRDefault="00703679" w:rsidP="00703679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001F9">
        <w:rPr>
          <w:rFonts w:ascii="Arial" w:hAnsi="Arial" w:cs="Arial"/>
          <w:sz w:val="22"/>
          <w:szCs w:val="22"/>
        </w:rPr>
        <w:t>Uznané náklady</w:t>
      </w:r>
      <w:r w:rsidRPr="00E001F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001F9">
        <w:rPr>
          <w:rFonts w:ascii="Arial" w:hAnsi="Arial" w:cs="Arial"/>
          <w:sz w:val="22"/>
          <w:szCs w:val="22"/>
        </w:rPr>
        <w:t xml:space="preserve"> na řešení Projektu se stanovují ve výši</w:t>
      </w:r>
      <w:r w:rsidRPr="00703679">
        <w:rPr>
          <w:rFonts w:ascii="Arial" w:hAnsi="Arial" w:cs="Arial"/>
          <w:b/>
          <w:sz w:val="22"/>
          <w:szCs w:val="22"/>
        </w:rPr>
        <w:t xml:space="preserve"> </w:t>
      </w:r>
      <w:r w:rsidRPr="00013700">
        <w:rPr>
          <w:rFonts w:ascii="Arial" w:hAnsi="Arial" w:cs="Arial"/>
          <w:b/>
          <w:sz w:val="22"/>
          <w:szCs w:val="22"/>
        </w:rPr>
        <w:t>25 131 000 Kč</w:t>
      </w:r>
      <w:r w:rsidRPr="00477C75">
        <w:rPr>
          <w:rFonts w:ascii="Arial" w:hAnsi="Arial" w:cs="Arial"/>
          <w:sz w:val="22"/>
          <w:szCs w:val="22"/>
        </w:rPr>
        <w:t xml:space="preserve"> </w:t>
      </w:r>
      <w:r w:rsidRPr="004B2CF4">
        <w:rPr>
          <w:rFonts w:ascii="Arial" w:hAnsi="Arial" w:cs="Arial"/>
          <w:sz w:val="22"/>
          <w:szCs w:val="22"/>
        </w:rPr>
        <w:t>(</w:t>
      </w:r>
      <w:r w:rsidRPr="00477C7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Pr="00477C75">
        <w:rPr>
          <w:rFonts w:ascii="Arial" w:hAnsi="Arial" w:cs="Arial"/>
          <w:sz w:val="22"/>
          <w:szCs w:val="22"/>
        </w:rPr>
        <w:t>dvacetpětmilionůjednostotřicetjedentisíc</w:t>
      </w:r>
      <w:r w:rsidRPr="004B2CF4">
        <w:rPr>
          <w:rFonts w:ascii="Arial" w:hAnsi="Arial" w:cs="Arial"/>
          <w:sz w:val="22"/>
          <w:szCs w:val="22"/>
        </w:rPr>
        <w:t>korunčeských</w:t>
      </w:r>
      <w:proofErr w:type="spellEnd"/>
      <w:r w:rsidRPr="004B2CF4">
        <w:rPr>
          <w:rFonts w:ascii="Arial" w:hAnsi="Arial" w:cs="Arial"/>
          <w:sz w:val="22"/>
          <w:szCs w:val="22"/>
        </w:rPr>
        <w:t>).</w:t>
      </w:r>
      <w:r w:rsidRPr="00477C75">
        <w:rPr>
          <w:rFonts w:ascii="Arial" w:hAnsi="Arial" w:cs="Arial"/>
          <w:sz w:val="22"/>
          <w:szCs w:val="22"/>
        </w:rPr>
        <w:t xml:space="preserve"> </w:t>
      </w:r>
      <w:r w:rsidRPr="004B2CF4">
        <w:rPr>
          <w:rFonts w:ascii="Arial" w:hAnsi="Arial" w:cs="Arial"/>
          <w:sz w:val="22"/>
          <w:szCs w:val="22"/>
        </w:rPr>
        <w:t>T</w:t>
      </w:r>
      <w:r w:rsidRPr="00477C75">
        <w:rPr>
          <w:rFonts w:ascii="Arial" w:hAnsi="Arial" w:cs="Arial"/>
          <w:sz w:val="22"/>
          <w:szCs w:val="22"/>
        </w:rPr>
        <w:t xml:space="preserve">ato částka zahrnuje podporu na výzkum a vývoj ve výši </w:t>
      </w:r>
      <w:r w:rsidRPr="00013700">
        <w:rPr>
          <w:rFonts w:ascii="Arial" w:hAnsi="Arial" w:cs="Arial"/>
          <w:b/>
          <w:sz w:val="22"/>
          <w:szCs w:val="22"/>
        </w:rPr>
        <w:t>25 131 000 Kč</w:t>
      </w:r>
      <w:r w:rsidRPr="00477C7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Pr="00477C75">
        <w:rPr>
          <w:rFonts w:ascii="Arial" w:hAnsi="Arial" w:cs="Arial"/>
          <w:sz w:val="22"/>
          <w:szCs w:val="22"/>
        </w:rPr>
        <w:t>dvacetpětmilionůjednostotřicetjedentisíc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C75">
        <w:rPr>
          <w:rFonts w:ascii="Arial" w:hAnsi="Arial" w:cs="Arial"/>
          <w:sz w:val="22"/>
          <w:szCs w:val="22"/>
        </w:rPr>
        <w:t>korunčeských</w:t>
      </w:r>
      <w:proofErr w:type="spellEnd"/>
      <w:r w:rsidRPr="00477C75">
        <w:rPr>
          <w:rFonts w:ascii="Arial" w:hAnsi="Arial" w:cs="Arial"/>
          <w:sz w:val="22"/>
          <w:szCs w:val="22"/>
        </w:rPr>
        <w:t>). Celá tato částka je podporou z rozpočtové kapitoly Ministerstva vnitra.</w:t>
      </w:r>
      <w:r>
        <w:rPr>
          <w:rFonts w:ascii="Arial" w:hAnsi="Arial" w:cs="Arial"/>
          <w:sz w:val="22"/>
          <w:szCs w:val="22"/>
        </w:rPr>
        <w:t xml:space="preserve"> </w:t>
      </w:r>
      <w:r w:rsidRPr="00477C75">
        <w:rPr>
          <w:rFonts w:ascii="Arial" w:hAnsi="Arial" w:cs="Arial"/>
          <w:sz w:val="22"/>
          <w:szCs w:val="22"/>
        </w:rPr>
        <w:t xml:space="preserve">Uznané náklady na řešení Projektu pro příjemce se stanovují ve výši </w:t>
      </w:r>
      <w:r>
        <w:rPr>
          <w:rFonts w:ascii="Arial" w:hAnsi="Arial" w:cs="Arial"/>
          <w:sz w:val="22"/>
          <w:szCs w:val="22"/>
        </w:rPr>
        <w:br/>
      </w:r>
      <w:r w:rsidRPr="00013700">
        <w:rPr>
          <w:rFonts w:ascii="Arial" w:hAnsi="Arial" w:cs="Arial"/>
          <w:b/>
          <w:sz w:val="22"/>
          <w:szCs w:val="22"/>
        </w:rPr>
        <w:t>10 149 000</w:t>
      </w:r>
      <w:r w:rsidRPr="00477C75">
        <w:rPr>
          <w:rFonts w:ascii="Arial" w:hAnsi="Arial" w:cs="Arial"/>
          <w:sz w:val="22"/>
          <w:szCs w:val="22"/>
        </w:rPr>
        <w:t xml:space="preserve"> </w:t>
      </w:r>
      <w:r w:rsidRPr="00013700">
        <w:rPr>
          <w:rFonts w:ascii="Arial" w:hAnsi="Arial" w:cs="Arial"/>
          <w:b/>
          <w:sz w:val="22"/>
          <w:szCs w:val="22"/>
        </w:rPr>
        <w:t>Kč</w:t>
      </w:r>
      <w:r w:rsidRPr="00477C75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desetmilionůjednostočtyřicetdevět</w:t>
      </w:r>
      <w:r w:rsidRPr="00477C75">
        <w:rPr>
          <w:rFonts w:ascii="Arial" w:hAnsi="Arial" w:cs="Arial"/>
          <w:sz w:val="22"/>
          <w:szCs w:val="22"/>
        </w:rPr>
        <w:t>tisíckorunčeských</w:t>
      </w:r>
      <w:proofErr w:type="spellEnd"/>
      <w:r w:rsidRPr="00477C75">
        <w:rPr>
          <w:rFonts w:ascii="Arial" w:hAnsi="Arial" w:cs="Arial"/>
          <w:sz w:val="22"/>
          <w:szCs w:val="22"/>
        </w:rPr>
        <w:t xml:space="preserve">). </w:t>
      </w:r>
    </w:p>
    <w:p w:rsidR="00317C02" w:rsidRPr="00332EA9" w:rsidRDefault="00C71BCD" w:rsidP="00317C02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 rozpočtu Projektu</w:t>
      </w:r>
      <w:r w:rsidR="00F0139E" w:rsidRPr="00332EA9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>o rozpočtových pravidlech a o změně některých souvisejících zákonů (rozpočtová pravidla), ve znění pozdějších předpisů (dále jen „zákon o rozpočtových pravidlech“) k regulaci čerpání 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lastRenderedPageBreak/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poskytovatel oprávněn 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6F640D" w:rsidRPr="000365FF" w:rsidRDefault="006F640D" w:rsidP="006F640D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Příjemci </w:t>
      </w:r>
      <w:r w:rsidR="009378D5">
        <w:rPr>
          <w:rFonts w:cs="Arial"/>
          <w:sz w:val="22"/>
          <w:szCs w:val="22"/>
        </w:rPr>
        <w:t>b</w:t>
      </w:r>
      <w:r>
        <w:rPr>
          <w:rFonts w:eastAsia="Calibri" w:cs="Arial"/>
          <w:bCs/>
          <w:sz w:val="22"/>
          <w:szCs w:val="22"/>
          <w:lang w:eastAsia="en-US"/>
        </w:rPr>
        <w:t>ude p</w:t>
      </w:r>
      <w:r w:rsidRPr="00324532">
        <w:rPr>
          <w:rFonts w:cs="Arial"/>
          <w:bCs/>
          <w:sz w:val="22"/>
          <w:szCs w:val="22"/>
        </w:rPr>
        <w:t>odpora poskytována v souladu s rozpočtem bezhotovostním převodem z bankovního účtu poskytovatele na běžn</w:t>
      </w:r>
      <w:r w:rsidR="00AB4C06">
        <w:rPr>
          <w:rFonts w:cs="Arial"/>
          <w:bCs/>
          <w:sz w:val="22"/>
          <w:szCs w:val="22"/>
        </w:rPr>
        <w:t>ý</w:t>
      </w:r>
      <w:r w:rsidRPr="00324532">
        <w:rPr>
          <w:rFonts w:cs="Arial"/>
          <w:bCs/>
          <w:sz w:val="22"/>
          <w:szCs w:val="22"/>
        </w:rPr>
        <w:t xml:space="preserve"> korunov</w:t>
      </w:r>
      <w:r w:rsidR="00AB4C06">
        <w:rPr>
          <w:rFonts w:cs="Arial"/>
          <w:bCs/>
          <w:sz w:val="22"/>
          <w:szCs w:val="22"/>
        </w:rPr>
        <w:t>ý</w:t>
      </w:r>
      <w:r w:rsidRPr="00324532">
        <w:rPr>
          <w:rFonts w:cs="Arial"/>
          <w:bCs/>
          <w:sz w:val="22"/>
          <w:szCs w:val="22"/>
        </w:rPr>
        <w:t xml:space="preserve"> bankovní úč</w:t>
      </w:r>
      <w:r w:rsidR="00AB4C06">
        <w:rPr>
          <w:rFonts w:cs="Arial"/>
          <w:bCs/>
          <w:sz w:val="22"/>
          <w:szCs w:val="22"/>
        </w:rPr>
        <w:t>e</w:t>
      </w:r>
      <w:r w:rsidRPr="00324532">
        <w:rPr>
          <w:rFonts w:cs="Arial"/>
          <w:bCs/>
          <w:sz w:val="22"/>
          <w:szCs w:val="22"/>
        </w:rPr>
        <w:t xml:space="preserve">t </w:t>
      </w:r>
      <w:r>
        <w:rPr>
          <w:rFonts w:cs="Arial"/>
          <w:bCs/>
          <w:sz w:val="22"/>
          <w:szCs w:val="22"/>
        </w:rPr>
        <w:t>příjemce.</w:t>
      </w:r>
    </w:p>
    <w:p w:rsidR="00F0139E" w:rsidRPr="00332EA9" w:rsidRDefault="00C130F6" w:rsidP="00F0139E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495501" w:rsidRPr="00F0139E" w:rsidRDefault="00495501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C130F6" w:rsidRDefault="00C130F6" w:rsidP="008D3767">
      <w:pPr>
        <w:pStyle w:val="Zkladntext"/>
        <w:widowControl/>
        <w:numPr>
          <w:ilvl w:val="0"/>
          <w:numId w:val="36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zdůvodněná </w:t>
      </w:r>
      <w:r w:rsidR="00C130F6">
        <w:rPr>
          <w:rFonts w:ascii="Arial" w:hAnsi="Arial" w:cs="Arial"/>
          <w:sz w:val="22"/>
          <w:szCs w:val="22"/>
        </w:rPr>
        <w:t>změna celkové výše rozpočtu</w:t>
      </w:r>
      <w:r w:rsidR="00857C25">
        <w:rPr>
          <w:rFonts w:ascii="Arial" w:hAnsi="Arial" w:cs="Arial"/>
          <w:sz w:val="22"/>
          <w:szCs w:val="22"/>
        </w:rPr>
        <w:t xml:space="preserve"> příjemce-koordinátora či</w:t>
      </w:r>
      <w:r w:rsidR="00C130F6">
        <w:rPr>
          <w:rFonts w:ascii="Arial" w:hAnsi="Arial" w:cs="Arial"/>
          <w:sz w:val="22"/>
          <w:szCs w:val="22"/>
        </w:rPr>
        <w:t xml:space="preserve"> příjemce,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</w:t>
      </w:r>
      <w:r w:rsidR="00857C25">
        <w:rPr>
          <w:rFonts w:ascii="Arial" w:hAnsi="Arial" w:cs="Arial"/>
          <w:sz w:val="22"/>
          <w:szCs w:val="22"/>
        </w:rPr>
        <w:t>-koordinátora či příjemce</w:t>
      </w:r>
      <w:r w:rsidR="00C130F6">
        <w:rPr>
          <w:rFonts w:ascii="Arial" w:hAnsi="Arial" w:cs="Arial"/>
          <w:sz w:val="22"/>
          <w:szCs w:val="22"/>
        </w:rPr>
        <w:t xml:space="preserve">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</w:t>
      </w:r>
      <w:r w:rsidR="00857C25">
        <w:rPr>
          <w:rFonts w:ascii="Arial" w:hAnsi="Arial" w:cs="Arial"/>
          <w:sz w:val="22"/>
          <w:szCs w:val="22"/>
        </w:rPr>
        <w:t>-koordinátora či příjemce</w:t>
      </w:r>
      <w:r w:rsidR="00C130F6">
        <w:rPr>
          <w:rFonts w:ascii="Arial" w:hAnsi="Arial" w:cs="Arial"/>
          <w:sz w:val="22"/>
          <w:szCs w:val="22"/>
        </w:rPr>
        <w:t xml:space="preserve">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měsíci prosinci, oznámí ji příjemce</w:t>
      </w:r>
      <w:r w:rsidR="00857C25">
        <w:rPr>
          <w:rFonts w:ascii="Arial" w:hAnsi="Arial" w:cs="Arial"/>
          <w:bCs/>
          <w:sz w:val="22"/>
          <w:szCs w:val="22"/>
        </w:rPr>
        <w:t>-koordinátor</w:t>
      </w:r>
      <w:r w:rsidR="00F0139E">
        <w:rPr>
          <w:rFonts w:ascii="Arial" w:hAnsi="Arial" w:cs="Arial"/>
          <w:bCs/>
          <w:sz w:val="22"/>
          <w:szCs w:val="22"/>
        </w:rPr>
        <w:t xml:space="preserve">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součet objemu jednotlivých změn rozpočtu příjemce</w:t>
      </w:r>
      <w:r w:rsidR="00857C25">
        <w:rPr>
          <w:rFonts w:ascii="Arial" w:hAnsi="Arial" w:cs="Arial"/>
          <w:bCs/>
          <w:sz w:val="22"/>
          <w:szCs w:val="22"/>
        </w:rPr>
        <w:t>-koordinátora či příjemce</w:t>
      </w:r>
      <w:r>
        <w:rPr>
          <w:rFonts w:ascii="Arial" w:hAnsi="Arial" w:cs="Arial"/>
          <w:bCs/>
          <w:sz w:val="22"/>
          <w:szCs w:val="22"/>
        </w:rPr>
        <w:t xml:space="preserve">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</w:t>
      </w:r>
      <w:r w:rsidR="00857C25">
        <w:rPr>
          <w:rFonts w:ascii="Arial" w:hAnsi="Arial" w:cs="Arial"/>
          <w:bCs/>
          <w:sz w:val="22"/>
          <w:szCs w:val="22"/>
        </w:rPr>
        <w:t>-koordinátora či příjemce</w:t>
      </w:r>
      <w:r>
        <w:rPr>
          <w:rFonts w:ascii="Arial" w:hAnsi="Arial" w:cs="Arial"/>
          <w:bCs/>
          <w:sz w:val="22"/>
          <w:szCs w:val="22"/>
        </w:rPr>
        <w:t xml:space="preserve">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>Pokud příjemce</w:t>
      </w:r>
      <w:r w:rsidR="006F640D">
        <w:rPr>
          <w:rFonts w:ascii="Arial" w:hAnsi="Arial" w:cs="Arial"/>
          <w:bCs/>
          <w:sz w:val="22"/>
          <w:szCs w:val="22"/>
        </w:rPr>
        <w:t>-koordinátor</w:t>
      </w:r>
      <w:r w:rsidRPr="008B43B1">
        <w:rPr>
          <w:rFonts w:ascii="Arial" w:hAnsi="Arial" w:cs="Arial"/>
          <w:bCs/>
          <w:sz w:val="22"/>
          <w:szCs w:val="22"/>
        </w:rPr>
        <w:t xml:space="preserve">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</w:t>
      </w:r>
      <w:r w:rsidR="006F640D">
        <w:rPr>
          <w:rFonts w:ascii="Arial" w:hAnsi="Arial" w:cs="Arial"/>
          <w:bCs/>
          <w:sz w:val="22"/>
          <w:szCs w:val="22"/>
        </w:rPr>
        <w:t>-koordinátora</w:t>
      </w:r>
      <w:r w:rsidRPr="008B43B1">
        <w:rPr>
          <w:rFonts w:ascii="Arial" w:hAnsi="Arial" w:cs="Arial"/>
          <w:bCs/>
          <w:sz w:val="22"/>
          <w:szCs w:val="22"/>
        </w:rPr>
        <w:t xml:space="preserve">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 Žádosti příjemce</w:t>
      </w:r>
      <w:r w:rsidR="006F640D">
        <w:rPr>
          <w:rFonts w:ascii="Arial" w:hAnsi="Arial" w:cs="Arial"/>
          <w:bCs/>
          <w:sz w:val="22"/>
          <w:szCs w:val="22"/>
        </w:rPr>
        <w:t>-koordinátora</w:t>
      </w:r>
      <w:r w:rsidRPr="008B43B1">
        <w:rPr>
          <w:rFonts w:ascii="Arial" w:hAnsi="Arial" w:cs="Arial"/>
          <w:bCs/>
          <w:sz w:val="22"/>
          <w:szCs w:val="22"/>
        </w:rPr>
        <w:t xml:space="preserve">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</w:t>
      </w:r>
      <w:r w:rsidR="006F640D">
        <w:rPr>
          <w:rFonts w:ascii="Arial" w:hAnsi="Arial" w:cs="Arial"/>
          <w:bCs/>
          <w:sz w:val="22"/>
          <w:szCs w:val="22"/>
        </w:rPr>
        <w:t>-koordinátor</w:t>
      </w:r>
      <w:r w:rsidR="00540307">
        <w:rPr>
          <w:rFonts w:ascii="Arial" w:hAnsi="Arial" w:cs="Arial"/>
          <w:bCs/>
          <w:sz w:val="22"/>
          <w:szCs w:val="22"/>
        </w:rPr>
        <w:t xml:space="preserve"> i za dalšího příjemce</w:t>
      </w:r>
      <w:r w:rsidRPr="008B43B1">
        <w:rPr>
          <w:rFonts w:ascii="Arial" w:hAnsi="Arial" w:cs="Arial"/>
          <w:bCs/>
          <w:sz w:val="22"/>
          <w:szCs w:val="22"/>
        </w:rPr>
        <w:t xml:space="preserve"> prostřednictvím formuláře zveřejněného na webových stránkách Ministerstva vnitra včetně nové verze rozpočtu a komentáře popisujícího jeho změny.</w:t>
      </w:r>
    </w:p>
    <w:p w:rsidR="008B43B1" w:rsidRPr="001A0013" w:rsidRDefault="008B43B1" w:rsidP="008B43B1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lastRenderedPageBreak/>
        <w:t>Při postupu příjemc</w:t>
      </w:r>
      <w:r w:rsidR="001625A9">
        <w:rPr>
          <w:rFonts w:ascii="Arial" w:hAnsi="Arial" w:cs="Arial"/>
          <w:bCs/>
          <w:sz w:val="22"/>
          <w:szCs w:val="22"/>
        </w:rPr>
        <w:t>ů</w:t>
      </w:r>
      <w:r w:rsidRPr="008B43B1">
        <w:rPr>
          <w:rFonts w:ascii="Arial" w:hAnsi="Arial" w:cs="Arial"/>
          <w:bCs/>
          <w:sz w:val="22"/>
          <w:szCs w:val="22"/>
        </w:rPr>
        <w:t xml:space="preserve"> v rozporu s tímto Článkem bude postupováno dle </w:t>
      </w:r>
      <w:r w:rsidRPr="001A0013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C71BCD" w:rsidRDefault="00C71BCD" w:rsidP="00C71BC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Mírou podpory se rozumí v procentech vyjádřený podíl výše podpory k uznaným nákladům příjemce</w:t>
      </w:r>
      <w:r w:rsidR="001625A9">
        <w:rPr>
          <w:rFonts w:ascii="Arial" w:hAnsi="Arial" w:cs="Arial"/>
          <w:color w:val="auto"/>
          <w:sz w:val="22"/>
          <w:szCs w:val="22"/>
        </w:rPr>
        <w:t>-koordinátora či příjemce</w:t>
      </w:r>
      <w:r>
        <w:rPr>
          <w:rFonts w:ascii="Arial" w:hAnsi="Arial" w:cs="Arial"/>
          <w:color w:val="auto"/>
          <w:sz w:val="22"/>
          <w:szCs w:val="22"/>
        </w:rPr>
        <w:t xml:space="preserve">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E001F9" w:rsidRDefault="00E001F9" w:rsidP="00E001F9">
      <w:pPr>
        <w:widowControl w:val="0"/>
        <w:autoSpaceDE w:val="0"/>
        <w:autoSpaceDN w:val="0"/>
        <w:adjustRightInd w:val="0"/>
        <w:spacing w:after="60"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130F6" w:rsidRPr="00495501">
        <w:rPr>
          <w:rFonts w:ascii="Arial" w:hAnsi="Arial" w:cs="Arial"/>
          <w:sz w:val="22"/>
          <w:szCs w:val="22"/>
        </w:rPr>
        <w:t xml:space="preserve">u příjemce-koordinátora </w:t>
      </w:r>
      <w:r w:rsidRPr="00E001F9">
        <w:rPr>
          <w:rFonts w:ascii="Arial" w:hAnsi="Arial" w:cs="Arial"/>
          <w:b/>
          <w:sz w:val="22"/>
          <w:szCs w:val="22"/>
        </w:rPr>
        <w:t>Ministerstvo vnitra -</w:t>
      </w:r>
      <w:r w:rsidRPr="00E001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01F9">
        <w:rPr>
          <w:rFonts w:ascii="Arial" w:hAnsi="Arial" w:cs="Arial"/>
          <w:b/>
          <w:sz w:val="22"/>
          <w:szCs w:val="22"/>
        </w:rPr>
        <w:t>Policie České republiky,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01F9">
        <w:rPr>
          <w:rFonts w:ascii="Arial" w:hAnsi="Arial" w:cs="Arial"/>
          <w:b/>
          <w:sz w:val="22"/>
          <w:szCs w:val="22"/>
        </w:rPr>
        <w:t>Kriminalistický ústav Praha 100 %</w:t>
      </w:r>
      <w:r>
        <w:rPr>
          <w:rFonts w:ascii="Arial" w:hAnsi="Arial" w:cs="Arial"/>
          <w:b/>
          <w:sz w:val="22"/>
          <w:szCs w:val="22"/>
        </w:rPr>
        <w:t>,</w:t>
      </w:r>
    </w:p>
    <w:p w:rsidR="00495501" w:rsidRPr="00E001F9" w:rsidRDefault="00DD1A0F" w:rsidP="002B471C">
      <w:pPr>
        <w:pStyle w:val="Zkladntext"/>
        <w:spacing w:before="0" w:after="60"/>
        <w:ind w:left="720"/>
        <w:rPr>
          <w:rFonts w:cs="Arial"/>
          <w:b/>
          <w:sz w:val="22"/>
          <w:szCs w:val="22"/>
        </w:rPr>
      </w:pPr>
      <w:proofErr w:type="gramStart"/>
      <w:r w:rsidRPr="00495501">
        <w:rPr>
          <w:rFonts w:cs="Arial"/>
          <w:sz w:val="22"/>
          <w:szCs w:val="22"/>
        </w:rPr>
        <w:t xml:space="preserve">2. </w:t>
      </w:r>
      <w:r w:rsidR="00E001F9">
        <w:rPr>
          <w:rFonts w:cs="Arial"/>
          <w:sz w:val="22"/>
          <w:szCs w:val="22"/>
        </w:rPr>
        <w:t xml:space="preserve">  </w:t>
      </w:r>
      <w:r w:rsidR="00C130F6" w:rsidRPr="00495501">
        <w:rPr>
          <w:rFonts w:cs="Arial"/>
          <w:sz w:val="22"/>
          <w:szCs w:val="22"/>
        </w:rPr>
        <w:t>u příjemce</w:t>
      </w:r>
      <w:proofErr w:type="gramEnd"/>
      <w:r w:rsidR="00C130F6" w:rsidRPr="00495501">
        <w:rPr>
          <w:rFonts w:cs="Arial"/>
          <w:color w:val="FF0000"/>
          <w:sz w:val="22"/>
          <w:szCs w:val="22"/>
        </w:rPr>
        <w:t xml:space="preserve"> </w:t>
      </w:r>
      <w:r w:rsidR="00E001F9" w:rsidRPr="00E001F9">
        <w:rPr>
          <w:rFonts w:cs="Arial"/>
          <w:b/>
          <w:sz w:val="22"/>
          <w:szCs w:val="22"/>
        </w:rPr>
        <w:t>Národní galerie v Praze 100 %.</w:t>
      </w:r>
    </w:p>
    <w:p w:rsidR="006F640D" w:rsidRPr="00495501" w:rsidRDefault="006F640D" w:rsidP="002B471C">
      <w:pPr>
        <w:pStyle w:val="Zkladntext"/>
        <w:spacing w:before="0"/>
        <w:ind w:left="72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755E7E" w:rsidRDefault="008B43B1" w:rsidP="008D3767">
      <w:pPr>
        <w:pStyle w:val="Default"/>
        <w:numPr>
          <w:ilvl w:val="0"/>
          <w:numId w:val="47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55E7E">
        <w:rPr>
          <w:rFonts w:ascii="Arial" w:hAnsi="Arial" w:cs="Arial"/>
          <w:color w:val="auto"/>
          <w:sz w:val="22"/>
          <w:szCs w:val="22"/>
        </w:rPr>
        <w:t xml:space="preserve">V rámci řešení Projektu </w:t>
      </w:r>
      <w:r w:rsidR="009F54E5">
        <w:rPr>
          <w:rFonts w:ascii="Arial" w:hAnsi="Arial" w:cs="Arial"/>
          <w:color w:val="auto"/>
          <w:sz w:val="22"/>
          <w:szCs w:val="22"/>
        </w:rPr>
        <w:t>ne</w:t>
      </w:r>
      <w:r w:rsidRPr="00755E7E">
        <w:rPr>
          <w:rFonts w:ascii="Arial" w:hAnsi="Arial" w:cs="Arial"/>
          <w:color w:val="auto"/>
          <w:sz w:val="22"/>
          <w:szCs w:val="22"/>
        </w:rPr>
        <w:t>budou realizovány subdodávky</w:t>
      </w:r>
      <w:r w:rsidR="009F54E5">
        <w:rPr>
          <w:rFonts w:ascii="Arial" w:hAnsi="Arial" w:cs="Arial"/>
          <w:color w:val="auto"/>
          <w:sz w:val="22"/>
          <w:szCs w:val="22"/>
        </w:rPr>
        <w:t>.</w:t>
      </w:r>
      <w:r w:rsidRPr="00755E7E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postupují příjemci podle zákona o </w:t>
      </w:r>
      <w:r w:rsidR="00A37C30">
        <w:rPr>
          <w:rFonts w:cs="Arial"/>
          <w:sz w:val="22"/>
          <w:szCs w:val="22"/>
        </w:rPr>
        <w:t xml:space="preserve">zadávání </w:t>
      </w:r>
      <w:r>
        <w:rPr>
          <w:rFonts w:cs="Arial"/>
          <w:sz w:val="22"/>
          <w:szCs w:val="22"/>
        </w:rPr>
        <w:t>veřejných zakáz</w:t>
      </w:r>
      <w:r w:rsidR="00A37C3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4352A1">
        <w:rPr>
          <w:rFonts w:cs="Arial"/>
          <w:sz w:val="22"/>
          <w:szCs w:val="22"/>
        </w:rPr>
        <w:t>příjemce-koordinátora/příjemce.</w:t>
      </w:r>
      <w:r w:rsidRPr="001C78AF">
        <w:rPr>
          <w:rFonts w:cs="Arial"/>
          <w:sz w:val="22"/>
          <w:szCs w:val="22"/>
        </w:rPr>
        <w:t xml:space="preserve">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</w:t>
      </w:r>
      <w:r w:rsidR="001625A9">
        <w:rPr>
          <w:rFonts w:ascii="Arial" w:hAnsi="Arial" w:cs="Arial"/>
          <w:sz w:val="22"/>
          <w:szCs w:val="22"/>
        </w:rPr>
        <w:t>, neuvedené v Projektu,</w:t>
      </w:r>
      <w:r w:rsidRPr="00D83407">
        <w:rPr>
          <w:rFonts w:ascii="Arial" w:hAnsi="Arial" w:cs="Arial"/>
          <w:sz w:val="22"/>
          <w:szCs w:val="22"/>
        </w:rPr>
        <w:t xml:space="preserve">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</w:t>
      </w:r>
      <w:r w:rsidR="001625A9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sz w:val="22"/>
          <w:szCs w:val="22"/>
        </w:rPr>
        <w:t>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Pr="00505E08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C130F6" w:rsidRPr="00130FE9" w:rsidRDefault="00C130F6" w:rsidP="00C130F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8D3767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Nezpůsobilými náklady projektu jsou zejména: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lastRenderedPageBreak/>
        <w:t>jiné daně (silniční daň, daň z nemovitosti, daň darovací, dědická, apod.),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správní poplatky,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C130F6" w:rsidRDefault="00C130F6" w:rsidP="008D376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Default="00C130F6" w:rsidP="008D376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9C2C40" w:rsidRPr="00AA58B2" w:rsidRDefault="009C2C40" w:rsidP="002B471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58B2">
        <w:rPr>
          <w:rFonts w:ascii="Arial" w:hAnsi="Arial" w:cs="Arial"/>
          <w:sz w:val="22"/>
          <w:szCs w:val="22"/>
        </w:rPr>
        <w:t xml:space="preserve">příjemce-koordinátor </w:t>
      </w:r>
      <w:r w:rsidR="00E001F9" w:rsidRPr="00AA58B2">
        <w:rPr>
          <w:rFonts w:ascii="Arial" w:hAnsi="Arial" w:cs="Arial"/>
          <w:b/>
          <w:sz w:val="22"/>
          <w:szCs w:val="22"/>
        </w:rPr>
        <w:t xml:space="preserve">Ministerstvo vnitra - Policie České republiky, Kriminalistický ústav Praha </w:t>
      </w:r>
      <w:r w:rsidR="00E001F9" w:rsidRPr="00AA58B2">
        <w:rPr>
          <w:rFonts w:ascii="Arial" w:hAnsi="Arial" w:cs="Arial"/>
          <w:sz w:val="22"/>
          <w:szCs w:val="22"/>
        </w:rPr>
        <w:t>nebude účtovat o doplňkových nákladech</w:t>
      </w:r>
      <w:r w:rsidR="00A44240">
        <w:rPr>
          <w:rFonts w:ascii="Arial" w:hAnsi="Arial" w:cs="Arial"/>
          <w:b/>
          <w:sz w:val="22"/>
          <w:szCs w:val="22"/>
        </w:rPr>
        <w:t>,</w:t>
      </w:r>
    </w:p>
    <w:p w:rsidR="00E001F9" w:rsidRPr="00E001F9" w:rsidRDefault="009C2C40" w:rsidP="00E001F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b/>
          <w:sz w:val="22"/>
          <w:szCs w:val="22"/>
        </w:rPr>
      </w:pPr>
      <w:r w:rsidRPr="00AA58B2">
        <w:rPr>
          <w:rFonts w:ascii="Arial" w:hAnsi="Arial" w:cs="Arial"/>
          <w:sz w:val="22"/>
          <w:szCs w:val="22"/>
        </w:rPr>
        <w:t>příjemce</w:t>
      </w:r>
      <w:r w:rsidR="00E001F9">
        <w:rPr>
          <w:rFonts w:ascii="Arial" w:hAnsi="Arial" w:cs="Arial"/>
          <w:sz w:val="22"/>
          <w:szCs w:val="22"/>
        </w:rPr>
        <w:t xml:space="preserve"> </w:t>
      </w:r>
      <w:r w:rsidR="00E001F9" w:rsidRPr="00E001F9">
        <w:rPr>
          <w:rFonts w:ascii="Arial" w:hAnsi="Arial" w:cs="Arial"/>
          <w:b/>
          <w:sz w:val="22"/>
          <w:szCs w:val="22"/>
        </w:rPr>
        <w:t>Národní galerie v Praze</w:t>
      </w:r>
      <w:r w:rsidR="00E001F9" w:rsidRPr="00E001F9">
        <w:rPr>
          <w:rFonts w:ascii="Arial" w:hAnsi="Arial" w:cs="Arial"/>
          <w:sz w:val="22"/>
          <w:szCs w:val="22"/>
        </w:rPr>
        <w:t xml:space="preserve"> metodou kalkulace doplňkových nákladů </w:t>
      </w:r>
      <w:r w:rsidR="00E001F9" w:rsidRPr="00E001F9">
        <w:rPr>
          <w:rFonts w:ascii="Arial" w:hAnsi="Arial" w:cs="Arial"/>
          <w:b/>
          <w:sz w:val="22"/>
          <w:szCs w:val="22"/>
        </w:rPr>
        <w:t xml:space="preserve">(AC – </w:t>
      </w:r>
      <w:proofErr w:type="spellStart"/>
      <w:r w:rsidR="00E001F9" w:rsidRPr="00E001F9">
        <w:rPr>
          <w:rFonts w:ascii="Arial" w:hAnsi="Arial" w:cs="Arial"/>
          <w:b/>
          <w:sz w:val="22"/>
          <w:szCs w:val="22"/>
        </w:rPr>
        <w:t>Additional</w:t>
      </w:r>
      <w:proofErr w:type="spellEnd"/>
      <w:r w:rsidR="00E001F9" w:rsidRPr="00E001F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001F9" w:rsidRPr="00E001F9">
        <w:rPr>
          <w:rFonts w:ascii="Arial" w:hAnsi="Arial" w:cs="Arial"/>
          <w:b/>
          <w:sz w:val="22"/>
          <w:szCs w:val="22"/>
        </w:rPr>
        <w:t>Costs</w:t>
      </w:r>
      <w:proofErr w:type="spellEnd"/>
      <w:r w:rsidR="00E001F9" w:rsidRPr="00E001F9">
        <w:rPr>
          <w:rFonts w:ascii="Arial" w:hAnsi="Arial" w:cs="Arial"/>
          <w:b/>
          <w:sz w:val="22"/>
          <w:szCs w:val="22"/>
        </w:rPr>
        <w:t>).</w:t>
      </w:r>
    </w:p>
    <w:p w:rsidR="006C5B97" w:rsidRDefault="0053168A" w:rsidP="006C5B9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rFonts w:cs="Arial"/>
          <w:sz w:val="22"/>
          <w:szCs w:val="22"/>
        </w:rPr>
        <w:t xml:space="preserve">Výše celkových doplňkových nákladů Projektu účtovaných metodou kalkulace doplňkových nákladů (AC - </w:t>
      </w:r>
      <w:proofErr w:type="spellStart"/>
      <w:r w:rsidRPr="006C5B97">
        <w:rPr>
          <w:rFonts w:cs="Arial"/>
          <w:sz w:val="22"/>
          <w:szCs w:val="22"/>
        </w:rPr>
        <w:t>Additional</w:t>
      </w:r>
      <w:proofErr w:type="spellEnd"/>
      <w:r w:rsidRPr="006C5B97">
        <w:rPr>
          <w:rFonts w:cs="Arial"/>
          <w:sz w:val="22"/>
          <w:szCs w:val="22"/>
        </w:rPr>
        <w:t xml:space="preserve"> </w:t>
      </w:r>
      <w:proofErr w:type="spellStart"/>
      <w:r w:rsidRPr="006C5B97">
        <w:rPr>
          <w:rFonts w:cs="Arial"/>
          <w:sz w:val="22"/>
          <w:szCs w:val="22"/>
        </w:rPr>
        <w:t>Costs</w:t>
      </w:r>
      <w:proofErr w:type="spellEnd"/>
      <w:r w:rsidRPr="006C5B97">
        <w:rPr>
          <w:rFonts w:cs="Arial"/>
          <w:sz w:val="22"/>
          <w:szCs w:val="22"/>
        </w:rPr>
        <w:t xml:space="preserve">) nesmí po celou dobu řešení Projektu překročit 10% celkových uznaných přímých nákladů příjemce. </w:t>
      </w:r>
    </w:p>
    <w:p w:rsidR="006C5B97" w:rsidRDefault="00C130F6" w:rsidP="006C5B9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sz w:val="22"/>
          <w:szCs w:val="22"/>
        </w:rPr>
        <w:t xml:space="preserve">Příjemci mohou finanční prostředky daného kalendářního roku, u kterých předpokládají jejich nevyčerpání, převést nejpozději do konce listopadu daného kalendářního roku na bankovní účet poskytovatele číslo </w:t>
      </w:r>
      <w:r w:rsidRPr="006C5B97">
        <w:rPr>
          <w:b/>
          <w:sz w:val="22"/>
          <w:szCs w:val="22"/>
        </w:rPr>
        <w:t>3605881/0710</w:t>
      </w:r>
      <w:r w:rsidRPr="006C5B97"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B046F3" w:rsidRPr="006C5B97">
        <w:rPr>
          <w:sz w:val="22"/>
          <w:szCs w:val="22"/>
        </w:rPr>
        <w:t xml:space="preserve"> příjemce</w:t>
      </w:r>
      <w:r w:rsidRPr="006C5B97">
        <w:rPr>
          <w:sz w:val="22"/>
          <w:szCs w:val="22"/>
        </w:rPr>
        <w:t>). Poskytovatel převede nevyčerpané finanční prostředky do nespotřebovaných nároků rozpočtu, aby mohly být použity ke stejnému účelu v dalším kalendářním roce. V případě, že</w:t>
      </w:r>
      <w:r w:rsidRPr="006C5B97">
        <w:rPr>
          <w:rFonts w:cs="Arial"/>
          <w:sz w:val="22"/>
          <w:szCs w:val="22"/>
        </w:rPr>
        <w:t xml:space="preserve"> v dalším kalendářním roce dojde ke snížení nároků z nespotřebovaných výdajů na základě rozhodnutí vlády </w:t>
      </w:r>
      <w:r w:rsidR="0065308F" w:rsidRPr="006C5B97">
        <w:rPr>
          <w:rFonts w:cs="Arial"/>
          <w:sz w:val="22"/>
          <w:szCs w:val="22"/>
        </w:rPr>
        <w:br/>
      </w:r>
      <w:r w:rsidRPr="006C5B97">
        <w:rPr>
          <w:rFonts w:cs="Arial"/>
          <w:sz w:val="22"/>
          <w:szCs w:val="22"/>
        </w:rPr>
        <w:t>dle</w:t>
      </w:r>
      <w:r w:rsidR="0065308F" w:rsidRPr="006C5B97">
        <w:rPr>
          <w:rFonts w:cs="Arial"/>
          <w:sz w:val="22"/>
          <w:szCs w:val="22"/>
        </w:rPr>
        <w:t xml:space="preserve"> </w:t>
      </w:r>
      <w:r w:rsidRPr="006C5B97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6C5B97" w:rsidRDefault="00A502D9" w:rsidP="006C5B9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sz w:val="22"/>
          <w:szCs w:val="22"/>
        </w:rPr>
        <w:t>Příjemce, který je</w:t>
      </w:r>
      <w:r w:rsidR="00C130F6" w:rsidRPr="006C5B97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</w:t>
      </w:r>
      <w:r w:rsidR="00C130F6" w:rsidRPr="006C5B97">
        <w:rPr>
          <w:sz w:val="22"/>
          <w:szCs w:val="22"/>
        </w:rPr>
        <w:lastRenderedPageBreak/>
        <w:t>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6C5B97">
        <w:rPr>
          <w:sz w:val="22"/>
          <w:szCs w:val="22"/>
        </w:rPr>
        <w:t xml:space="preserve">. Převod musí příjemce písemně oznámit poskytovateli a odůvodnit. </w:t>
      </w:r>
    </w:p>
    <w:p w:rsidR="00C130F6" w:rsidRPr="006C5B97" w:rsidRDefault="00C130F6" w:rsidP="006C5B9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sz w:val="22"/>
          <w:szCs w:val="22"/>
        </w:rPr>
        <w:t xml:space="preserve">Jestliže některý z příjemců převede finanční prostředky z rozpočtu daného kalendářního roku do dalšího kalendářního roku ve svém účetnictví, s výjimkou odst. </w:t>
      </w:r>
      <w:r w:rsidR="004352A1">
        <w:rPr>
          <w:sz w:val="22"/>
          <w:szCs w:val="22"/>
        </w:rPr>
        <w:t>7</w:t>
      </w:r>
      <w:r w:rsidR="00170FD6" w:rsidRPr="006C5B97">
        <w:rPr>
          <w:sz w:val="22"/>
          <w:szCs w:val="22"/>
        </w:rPr>
        <w:t xml:space="preserve"> </w:t>
      </w:r>
      <w:r w:rsidRPr="006C5B97"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6C5B97">
        <w:rPr>
          <w:b/>
          <w:sz w:val="22"/>
          <w:szCs w:val="22"/>
        </w:rPr>
        <w:t>6015-3605881/0710</w:t>
      </w:r>
      <w:r w:rsidRPr="006C5B97"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686D6B" w:rsidRPr="006C5B97">
        <w:rPr>
          <w:sz w:val="22"/>
          <w:szCs w:val="22"/>
        </w:rPr>
        <w:t xml:space="preserve"> příjemce</w:t>
      </w:r>
      <w:r w:rsidRPr="006C5B97">
        <w:rPr>
          <w:sz w:val="22"/>
          <w:szCs w:val="22"/>
        </w:rPr>
        <w:t>). Tyto prostředky budou poskytovatelem odvedeny do státního rozpočtu. Pokud některý z příjemců uplatňuje rozdílný hospodářský rok, provádí vyúčtování nákladů na Projekt a poskytnuté podpory k  31. 12. daného kalendářního roku a při uzávěrce hospodářského roku provede kontrolu tohoto vyúčtování a o výsledku písemně informuje poskytovatele.</w:t>
      </w:r>
    </w:p>
    <w:p w:rsidR="002B471C" w:rsidRPr="00C553F6" w:rsidRDefault="002B471C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 w:rsidR="00342905">
        <w:rPr>
          <w:rFonts w:ascii="Arial" w:hAnsi="Arial" w:cs="Arial"/>
          <w:b/>
          <w:sz w:val="22"/>
          <w:szCs w:val="22"/>
        </w:rPr>
        <w:t>e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použít podporu v souladu s podmínkami, účelem a způsobem stanovenými Smlouvou. Použije-li </w:t>
      </w:r>
      <w:r w:rsidR="00342905">
        <w:rPr>
          <w:rFonts w:cs="Arial"/>
          <w:sz w:val="22"/>
          <w:szCs w:val="22"/>
        </w:rPr>
        <w:t>příjemce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</w:t>
      </w:r>
      <w:r w:rsidR="00342905">
        <w:rPr>
          <w:rFonts w:cs="Arial"/>
          <w:sz w:val="22"/>
          <w:szCs w:val="22"/>
        </w:rPr>
        <w:t>e</w:t>
      </w:r>
      <w:r w:rsidRPr="00C0556A">
        <w:rPr>
          <w:rFonts w:cs="Arial"/>
          <w:sz w:val="22"/>
          <w:szCs w:val="22"/>
        </w:rPr>
        <w:t xml:space="preserve"> j</w:t>
      </w:r>
      <w:r w:rsidR="00342905">
        <w:rPr>
          <w:rFonts w:cs="Arial"/>
          <w:sz w:val="22"/>
          <w:szCs w:val="22"/>
        </w:rPr>
        <w:t>e</w:t>
      </w:r>
      <w:r w:rsidRPr="00C0556A">
        <w:rPr>
          <w:rFonts w:cs="Arial"/>
          <w:sz w:val="22"/>
          <w:szCs w:val="22"/>
        </w:rPr>
        <w:t xml:space="preserve"> povin</w:t>
      </w:r>
      <w:r w:rsidR="00342905">
        <w:rPr>
          <w:rFonts w:cs="Arial"/>
          <w:sz w:val="22"/>
          <w:szCs w:val="22"/>
        </w:rPr>
        <w:t>e</w:t>
      </w:r>
      <w:r w:rsidRPr="00C0556A">
        <w:rPr>
          <w:rFonts w:cs="Arial"/>
          <w:sz w:val="22"/>
          <w:szCs w:val="22"/>
        </w:rPr>
        <w:t>n dodržovat podmínky uvedené v</w:t>
      </w:r>
      <w:r w:rsidR="008F310D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8F310D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 w:rsidR="0034290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Podstatnou změnou, pro jejíž provedení </w:t>
      </w:r>
      <w:proofErr w:type="gramStart"/>
      <w:r w:rsidRPr="00FC3B54">
        <w:rPr>
          <w:rFonts w:ascii="Arial" w:hAnsi="Arial" w:cs="Arial"/>
          <w:sz w:val="22"/>
          <w:szCs w:val="22"/>
        </w:rPr>
        <w:t>je</w:t>
      </w:r>
      <w:proofErr w:type="gramEnd"/>
      <w:r w:rsidRPr="00FC3B54">
        <w:rPr>
          <w:rFonts w:ascii="Arial" w:hAnsi="Arial" w:cs="Arial"/>
          <w:sz w:val="22"/>
          <w:szCs w:val="22"/>
        </w:rPr>
        <w:t xml:space="preserve"> nutný předchozí souhlas poskytovatele je změna harmonogramu projektu, změna výsledků projektu, změna data ukončení řešení projektu, změna manažera Projektu, změna hlavního řešitele Projektu a změna řešitelů Projektu. Pokud příjemc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</w:t>
      </w:r>
      <w:r w:rsidR="00342905">
        <w:rPr>
          <w:rFonts w:ascii="Arial" w:hAnsi="Arial" w:cs="Arial"/>
          <w:sz w:val="22"/>
          <w:szCs w:val="22"/>
        </w:rPr>
        <w:t>em</w:t>
      </w:r>
      <w:r w:rsidRPr="00FC3B54">
        <w:rPr>
          <w:rFonts w:ascii="Arial" w:hAnsi="Arial" w:cs="Arial"/>
          <w:sz w:val="22"/>
          <w:szCs w:val="22"/>
        </w:rPr>
        <w:t xml:space="preserve"> dle tohoto ustanovení je zveřejněn na webových stránkách Ministerstva vnitra. Při postupu příjemc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AA586F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lastRenderedPageBreak/>
        <w:t>O ostatních změnách informuj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příjemc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poskytovatele průběžně, nejpozději v roční zprávě dle Článku 1</w:t>
      </w:r>
      <w:r w:rsidR="006A130F">
        <w:rPr>
          <w:rFonts w:ascii="Arial" w:hAnsi="Arial" w:cs="Arial"/>
          <w:sz w:val="22"/>
          <w:szCs w:val="22"/>
        </w:rPr>
        <w:t>3</w:t>
      </w:r>
      <w:r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Příjemc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j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povin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>n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příjemc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povin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n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</w:t>
      </w:r>
      <w:r w:rsidR="00342905">
        <w:rPr>
          <w:rFonts w:ascii="Arial" w:hAnsi="Arial" w:cs="Arial"/>
          <w:sz w:val="22"/>
          <w:szCs w:val="22"/>
        </w:rPr>
        <w:t>á</w:t>
      </w:r>
      <w:r w:rsidRPr="00FC3B54">
        <w:rPr>
          <w:rFonts w:ascii="Arial" w:hAnsi="Arial" w:cs="Arial"/>
          <w:sz w:val="22"/>
          <w:szCs w:val="22"/>
        </w:rPr>
        <w:t xml:space="preserve"> příjemc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prostřednictvím příjemce-koordinátora formou a ve lhůtách, které jsou uvedeny ve Smlouvě.</w:t>
      </w:r>
    </w:p>
    <w:p w:rsidR="00AA586F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Příjemc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j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 povin</w:t>
      </w:r>
      <w:r w:rsidR="00342905">
        <w:rPr>
          <w:rFonts w:ascii="Arial" w:hAnsi="Arial" w:cs="Arial"/>
          <w:sz w:val="22"/>
          <w:szCs w:val="22"/>
        </w:rPr>
        <w:t>e</w:t>
      </w:r>
      <w:r w:rsidRPr="00FC3B54">
        <w:rPr>
          <w:rFonts w:ascii="Arial" w:hAnsi="Arial" w:cs="Arial"/>
          <w:sz w:val="22"/>
          <w:szCs w:val="22"/>
        </w:rPr>
        <w:t xml:space="preserve">n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2B471C" w:rsidRPr="00FC3B54" w:rsidRDefault="002B471C" w:rsidP="009378D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2F4206">
        <w:rPr>
          <w:rFonts w:cs="Arial"/>
          <w:sz w:val="22"/>
          <w:szCs w:val="22"/>
        </w:rPr>
        <w:t>3</w:t>
      </w:r>
      <w:r w:rsidRPr="00E568F7">
        <w:rPr>
          <w:rFonts w:cs="Arial"/>
          <w:sz w:val="22"/>
          <w:szCs w:val="22"/>
        </w:rPr>
        <w:t xml:space="preserve"> Smlouvy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a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a poskytnout mu při nich potřebnou součinnost, zejména poskytnout na 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E568F7" w:rsidRPr="00C553F6" w:rsidRDefault="00E568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8D3767">
      <w:pPr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 pořízen</w:t>
      </w:r>
      <w:r w:rsidR="0062733A">
        <w:rPr>
          <w:rFonts w:ascii="Arial" w:hAnsi="Arial" w:cs="Arial"/>
          <w:b/>
          <w:sz w:val="22"/>
          <w:szCs w:val="22"/>
        </w:rPr>
        <w:t>ého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E001F9" w:rsidRPr="00E001F9" w:rsidRDefault="00E001F9" w:rsidP="00E001F9">
      <w:pPr>
        <w:pStyle w:val="Zkladntext"/>
        <w:widowControl/>
        <w:numPr>
          <w:ilvl w:val="1"/>
          <w:numId w:val="31"/>
        </w:numPr>
        <w:tabs>
          <w:tab w:val="clear" w:pos="144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bookmarkStart w:id="0" w:name="_GoBack"/>
      <w:r w:rsidRPr="00856BE4">
        <w:rPr>
          <w:rFonts w:cs="Arial"/>
          <w:sz w:val="22"/>
          <w:szCs w:val="22"/>
        </w:rPr>
        <w:t>V rámci řešení Projektu bud</w:t>
      </w:r>
      <w:r w:rsidR="00342905">
        <w:rPr>
          <w:rFonts w:cs="Arial"/>
          <w:sz w:val="22"/>
          <w:szCs w:val="22"/>
        </w:rPr>
        <w:t xml:space="preserve">e pořízena sestava pro </w:t>
      </w:r>
      <w:proofErr w:type="spellStart"/>
      <w:r w:rsidR="00342905">
        <w:rPr>
          <w:rFonts w:cs="Arial"/>
          <w:sz w:val="22"/>
          <w:szCs w:val="22"/>
        </w:rPr>
        <w:t>Ramanovu</w:t>
      </w:r>
      <w:proofErr w:type="spellEnd"/>
      <w:r w:rsidR="00342905">
        <w:rPr>
          <w:rFonts w:cs="Arial"/>
          <w:sz w:val="22"/>
          <w:szCs w:val="22"/>
        </w:rPr>
        <w:t xml:space="preserve"> mikroskopii resp. spektroskopii pro kriminalisticko-technickou laboratorní činnost, která byla specifikována</w:t>
      </w:r>
      <w:r w:rsidRPr="00856BE4">
        <w:rPr>
          <w:rFonts w:cs="Arial"/>
          <w:sz w:val="22"/>
          <w:szCs w:val="22"/>
        </w:rPr>
        <w:t xml:space="preserve"> dle § 8 odst. 4 zákona č. 130/2002 Sb</w:t>
      </w:r>
      <w:r>
        <w:rPr>
          <w:rFonts w:cs="Arial"/>
          <w:sz w:val="22"/>
          <w:szCs w:val="22"/>
        </w:rPr>
        <w:t>.</w:t>
      </w:r>
      <w:r w:rsidRPr="00856BE4">
        <w:rPr>
          <w:rFonts w:cs="Arial"/>
          <w:sz w:val="22"/>
          <w:szCs w:val="22"/>
        </w:rPr>
        <w:t xml:space="preserve"> a uveden</w:t>
      </w:r>
      <w:r w:rsidR="00342905">
        <w:rPr>
          <w:rFonts w:cs="Arial"/>
          <w:sz w:val="22"/>
          <w:szCs w:val="22"/>
        </w:rPr>
        <w:t>a</w:t>
      </w:r>
      <w:r w:rsidRPr="00856BE4">
        <w:rPr>
          <w:rFonts w:cs="Arial"/>
          <w:sz w:val="22"/>
          <w:szCs w:val="22"/>
        </w:rPr>
        <w:t xml:space="preserve"> ve Specifikaci majetku a služeb, která je přílohou č. 4 </w:t>
      </w:r>
      <w:r w:rsidR="00342905">
        <w:rPr>
          <w:rFonts w:cs="Arial"/>
          <w:sz w:val="22"/>
          <w:szCs w:val="22"/>
        </w:rPr>
        <w:t>Smlouvy</w:t>
      </w:r>
      <w:r w:rsidRPr="00856BE4">
        <w:rPr>
          <w:rFonts w:cs="Arial"/>
          <w:sz w:val="22"/>
          <w:szCs w:val="22"/>
        </w:rPr>
        <w:t>.</w:t>
      </w:r>
    </w:p>
    <w:bookmarkEnd w:id="0"/>
    <w:p w:rsidR="00E001F9" w:rsidRPr="00856BE4" w:rsidRDefault="00E001F9" w:rsidP="00E001F9">
      <w:pPr>
        <w:pStyle w:val="Zkladntext"/>
        <w:widowControl/>
        <w:numPr>
          <w:ilvl w:val="1"/>
          <w:numId w:val="31"/>
        </w:numPr>
        <w:tabs>
          <w:tab w:val="clear" w:pos="144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856BE4">
        <w:rPr>
          <w:rFonts w:cs="Arial"/>
          <w:sz w:val="22"/>
          <w:szCs w:val="22"/>
        </w:rPr>
        <w:t xml:space="preserve">Hmotný a nehmotný majetek a služby, </w:t>
      </w:r>
      <w:r w:rsidR="00342905">
        <w:rPr>
          <w:rFonts w:cs="Arial"/>
          <w:sz w:val="22"/>
          <w:szCs w:val="22"/>
        </w:rPr>
        <w:t xml:space="preserve">které jsou </w:t>
      </w:r>
      <w:r w:rsidRPr="00856BE4">
        <w:rPr>
          <w:rFonts w:cs="Arial"/>
          <w:sz w:val="22"/>
          <w:szCs w:val="22"/>
        </w:rPr>
        <w:t>uvedené v Projektu, ale nespecifikovan</w:t>
      </w:r>
      <w:r w:rsidR="00342905">
        <w:rPr>
          <w:rFonts w:cs="Arial"/>
          <w:sz w:val="22"/>
          <w:szCs w:val="22"/>
        </w:rPr>
        <w:t>é</w:t>
      </w:r>
      <w:r w:rsidRPr="00856BE4">
        <w:rPr>
          <w:rFonts w:cs="Arial"/>
          <w:sz w:val="22"/>
          <w:szCs w:val="22"/>
        </w:rPr>
        <w:t xml:space="preserve"> podle § 8 odst. 4 zákona č. 130/2002 Sb., jsou příjemci povinni pořizovat postupem podle zákona o </w:t>
      </w:r>
      <w:r>
        <w:rPr>
          <w:rFonts w:cs="Arial"/>
          <w:sz w:val="22"/>
          <w:szCs w:val="22"/>
        </w:rPr>
        <w:t xml:space="preserve">zadávání </w:t>
      </w:r>
      <w:r w:rsidRPr="00856BE4">
        <w:rPr>
          <w:rFonts w:cs="Arial"/>
          <w:sz w:val="22"/>
          <w:szCs w:val="22"/>
        </w:rPr>
        <w:t>veřejných zakáz</w:t>
      </w:r>
      <w:r>
        <w:rPr>
          <w:rFonts w:cs="Arial"/>
          <w:sz w:val="22"/>
          <w:szCs w:val="22"/>
        </w:rPr>
        <w:t>e</w:t>
      </w:r>
      <w:r w:rsidRPr="00856BE4">
        <w:rPr>
          <w:rFonts w:cs="Arial"/>
          <w:sz w:val="22"/>
          <w:szCs w:val="22"/>
        </w:rPr>
        <w:t>k.</w:t>
      </w:r>
    </w:p>
    <w:p w:rsidR="00E001F9" w:rsidRDefault="00E001F9" w:rsidP="00E001F9">
      <w:pPr>
        <w:pStyle w:val="Zkladntext"/>
        <w:widowControl/>
        <w:numPr>
          <w:ilvl w:val="1"/>
          <w:numId w:val="31"/>
        </w:numPr>
        <w:tabs>
          <w:tab w:val="clear" w:pos="144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se v průběhu řešení Projektu vyskytne potřeba pořídit hmotný a nehmotný majetek, který nebyl uveden v Projektu, postupuje se podle zákona o zadávání v</w:t>
      </w:r>
      <w:r w:rsidRPr="004B5839">
        <w:rPr>
          <w:rFonts w:cs="Arial"/>
          <w:sz w:val="22"/>
          <w:szCs w:val="22"/>
        </w:rPr>
        <w:t>eřejných zakáz</w:t>
      </w:r>
      <w:r>
        <w:rPr>
          <w:rFonts w:cs="Arial"/>
          <w:sz w:val="22"/>
          <w:szCs w:val="22"/>
        </w:rPr>
        <w:t>e</w:t>
      </w:r>
      <w:r w:rsidRPr="004B5839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 xml:space="preserve">. </w:t>
      </w:r>
    </w:p>
    <w:p w:rsidR="00E001F9" w:rsidRDefault="00C130F6" w:rsidP="00E001F9">
      <w:pPr>
        <w:pStyle w:val="Zkladntext"/>
        <w:widowControl/>
        <w:numPr>
          <w:ilvl w:val="1"/>
          <w:numId w:val="31"/>
        </w:numPr>
        <w:tabs>
          <w:tab w:val="clear" w:pos="144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E001F9">
        <w:rPr>
          <w:rFonts w:cs="Arial"/>
          <w:sz w:val="22"/>
          <w:szCs w:val="22"/>
        </w:rPr>
        <w:t>Vlastníkem majetku, pořízeného z poskytnuté podpory je ve smyslu ustanovení § 15 odst. 1 zákona č. 130/2002 Sb. příjemce.</w:t>
      </w:r>
    </w:p>
    <w:p w:rsidR="00E001F9" w:rsidRDefault="00C130F6" w:rsidP="00E001F9">
      <w:pPr>
        <w:pStyle w:val="Zkladntext"/>
        <w:widowControl/>
        <w:numPr>
          <w:ilvl w:val="1"/>
          <w:numId w:val="31"/>
        </w:numPr>
        <w:tabs>
          <w:tab w:val="clear" w:pos="144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E001F9">
        <w:rPr>
          <w:rFonts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jinak.</w:t>
      </w:r>
    </w:p>
    <w:p w:rsidR="00E001F9" w:rsidRDefault="00C130F6" w:rsidP="00E001F9">
      <w:pPr>
        <w:pStyle w:val="Zkladntext"/>
        <w:widowControl/>
        <w:numPr>
          <w:ilvl w:val="1"/>
          <w:numId w:val="31"/>
        </w:numPr>
        <w:tabs>
          <w:tab w:val="clear" w:pos="144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E001F9">
        <w:rPr>
          <w:rFonts w:cs="Arial"/>
          <w:sz w:val="22"/>
          <w:szCs w:val="22"/>
        </w:rPr>
        <w:t xml:space="preserve">Je-li některým z příjemců organizační složka státu, je vlastníkem hmotného majetku nutného k řešení Projektu a pořízeného z poskytnuté podpory Česká republika. </w:t>
      </w:r>
    </w:p>
    <w:p w:rsidR="009A04F6" w:rsidRPr="00E001F9" w:rsidRDefault="009A04F6" w:rsidP="00E001F9">
      <w:pPr>
        <w:pStyle w:val="Zkladntext"/>
        <w:widowControl/>
        <w:numPr>
          <w:ilvl w:val="1"/>
          <w:numId w:val="31"/>
        </w:numPr>
        <w:tabs>
          <w:tab w:val="clear" w:pos="144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E001F9">
        <w:rPr>
          <w:rFonts w:cs="Arial"/>
          <w:sz w:val="22"/>
          <w:szCs w:val="22"/>
        </w:rPr>
        <w:t>Při pořízení majetku v rozporu s tímto Článkem bude postupováno dle Článku 21 Smlouvy.</w:t>
      </w:r>
    </w:p>
    <w:p w:rsidR="00C130F6" w:rsidRPr="00E16BDD" w:rsidRDefault="00C130F6" w:rsidP="008D3767">
      <w:pPr>
        <w:pStyle w:val="Default"/>
        <w:numPr>
          <w:ilvl w:val="0"/>
          <w:numId w:val="3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8D3767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8D3767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4352A1" w:rsidRDefault="00C130F6" w:rsidP="00A44240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4352A1" w:rsidRPr="00BE0BD8" w:rsidRDefault="004352A1" w:rsidP="009378D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A44240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3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C130F6" w:rsidRDefault="00C130F6" w:rsidP="00A44240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A44240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A44240">
      <w:pPr>
        <w:pStyle w:val="Zkladntext"/>
        <w:widowControl/>
        <w:numPr>
          <w:ilvl w:val="0"/>
          <w:numId w:val="23"/>
        </w:numPr>
        <w:adjustRightInd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1A0013" w:rsidRDefault="001A0013" w:rsidP="00A44240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8D3767">
      <w:pPr>
        <w:pStyle w:val="Zkladntext"/>
        <w:widowControl/>
        <w:numPr>
          <w:ilvl w:val="0"/>
          <w:numId w:val="34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proofErr w:type="gramStart"/>
      <w:r w:rsidRPr="00C553F6">
        <w:rPr>
          <w:rFonts w:cs="Arial"/>
          <w:sz w:val="22"/>
          <w:szCs w:val="22"/>
        </w:rPr>
        <w:t>uvedl</w:t>
      </w:r>
      <w:proofErr w:type="gramEnd"/>
      <w:r w:rsidRPr="00C553F6">
        <w:rPr>
          <w:rFonts w:cs="Arial"/>
          <w:sz w:val="22"/>
          <w:szCs w:val="22"/>
        </w:rPr>
        <w:t xml:space="preserve">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vstoupil do likvidace nebo na něho byla vyhlášena nucená správa, vůči jeho majetku probíhá insolvenční řízení, v němž bylo vydáno rozhodnutí o úpadku nebo insolvenční návrh nebyl zamítnut proto, že majetek nepostačuje k úhradě nákladů insolvenčního řízení, nebo nebyl konkurs zrušen proto, že majetek byl zcela nepostačující, byla povolena reorganizace nebo byl nařízen výkon 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druhému</w:t>
      </w:r>
      <w:r w:rsidRPr="00AF0EED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i.</w:t>
      </w:r>
      <w:r w:rsidRPr="00AF0EED">
        <w:rPr>
          <w:rFonts w:cs="Arial"/>
          <w:sz w:val="22"/>
          <w:szCs w:val="22"/>
        </w:rPr>
        <w:t xml:space="preserve"> </w:t>
      </w:r>
    </w:p>
    <w:p w:rsidR="009378D5" w:rsidRDefault="009378D5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v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n vrátit poskytnutou podporu poskytovateli v plné výši. </w:t>
      </w:r>
      <w:r w:rsidRPr="00C553F6">
        <w:rPr>
          <w:rFonts w:ascii="Arial" w:hAnsi="Arial" w:cs="Arial"/>
          <w:sz w:val="22"/>
          <w:szCs w:val="22"/>
        </w:rPr>
        <w:lastRenderedPageBreak/>
        <w:t>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v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v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v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v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v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>
        <w:rPr>
          <w:rFonts w:cs="Arial"/>
          <w:sz w:val="22"/>
          <w:szCs w:val="22"/>
        </w:rPr>
        <w:t xml:space="preserve">zákona č. 130/2002 Sb.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zaplatit smluvní pokutu ve výši 0,1 % </w:t>
      </w:r>
      <w:r w:rsidRPr="00C553F6">
        <w:rPr>
          <w:rStyle w:val="Zv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vraznn"/>
          <w:rFonts w:cs="Arial"/>
          <w:i w:val="0"/>
          <w:sz w:val="22"/>
          <w:szCs w:val="22"/>
        </w:rPr>
        <w:t>e</w:t>
      </w:r>
      <w:r w:rsidRPr="00C553F6">
        <w:rPr>
          <w:rStyle w:val="Zvraznn"/>
          <w:rFonts w:cs="Arial"/>
          <w:i w:val="0"/>
          <w:sz w:val="22"/>
          <w:szCs w:val="22"/>
        </w:rPr>
        <w:t>t příjemc</w:t>
      </w:r>
      <w:r>
        <w:rPr>
          <w:rStyle w:val="Zvraznn"/>
          <w:rFonts w:cs="Arial"/>
          <w:i w:val="0"/>
          <w:sz w:val="22"/>
          <w:szCs w:val="22"/>
        </w:rPr>
        <w:t>e</w:t>
      </w:r>
      <w:r w:rsidRPr="00C553F6">
        <w:rPr>
          <w:rStyle w:val="Zv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7F1B75" w:rsidRDefault="007F1B75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4240" w:rsidRDefault="00A44240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4240" w:rsidRPr="00C553F6" w:rsidRDefault="00A44240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proofErr w:type="gramStart"/>
      <w:r w:rsidRPr="00C553F6">
        <w:rPr>
          <w:rFonts w:cs="Arial"/>
          <w:sz w:val="22"/>
          <w:szCs w:val="22"/>
        </w:rPr>
        <w:t>písm. b) a  c) Smlouvy</w:t>
      </w:r>
      <w:proofErr w:type="gramEnd"/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Pr="0059149F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nabytí účinnosti dohody smluvních stran o ukončení Smlouvy.</w:t>
      </w:r>
    </w:p>
    <w:p w:rsidR="00C130F6" w:rsidRPr="00932FD0" w:rsidRDefault="00C130F6" w:rsidP="008D3767">
      <w:pPr>
        <w:numPr>
          <w:ilvl w:val="0"/>
          <w:numId w:val="4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>s § 16 zákona č. 130/2002 Sb., Plánem využití výsledků, Smlouvou o vz</w:t>
      </w:r>
      <w:r w:rsidR="004352A1">
        <w:rPr>
          <w:rFonts w:ascii="Arial" w:hAnsi="Arial" w:cs="Arial"/>
          <w:sz w:val="22"/>
          <w:szCs w:val="22"/>
        </w:rPr>
        <w:t>ájemných vztazích mezi příjemci</w:t>
      </w:r>
      <w:r w:rsidRPr="008304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96379C" w:rsidRDefault="0096379C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8D3767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8D3767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Pr="00D16DAC" w:rsidRDefault="00C130F6" w:rsidP="008D3767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A44240" w:rsidRDefault="00A44240" w:rsidP="0004047D">
      <w:pPr>
        <w:pStyle w:val="Zkladntext"/>
        <w:widowControl/>
        <w:adjustRightInd/>
        <w:spacing w:before="0"/>
        <w:ind w:left="357"/>
        <w:jc w:val="center"/>
        <w:rPr>
          <w:rFonts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1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C130F6" w:rsidP="00C130F6">
      <w:pPr>
        <w:pStyle w:val="Zkladntext"/>
        <w:widowControl/>
        <w:tabs>
          <w:tab w:val="left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Spory smluvních stran vznikající ze Smlouvy nebo v souvislosti s ní, budou řešeny 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uvedeným v 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</w:p>
    <w:p w:rsidR="00C130F6" w:rsidRPr="001D036A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A44240" w:rsidRDefault="002F1990" w:rsidP="00407A2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</w:t>
      </w:r>
      <w:r w:rsidR="0096379C">
        <w:rPr>
          <w:rFonts w:cs="Arial"/>
          <w:sz w:val="22"/>
          <w:szCs w:val="22"/>
        </w:rPr>
        <w:t>3</w:t>
      </w:r>
      <w:r w:rsidRPr="001D036A">
        <w:rPr>
          <w:rFonts w:cs="Arial"/>
          <w:sz w:val="22"/>
          <w:szCs w:val="22"/>
        </w:rPr>
        <w:t xml:space="preserve"> </w:t>
      </w:r>
      <w:r w:rsidR="000046DE">
        <w:rPr>
          <w:rFonts w:cs="Arial"/>
          <w:sz w:val="22"/>
          <w:szCs w:val="22"/>
        </w:rPr>
        <w:t xml:space="preserve">- </w:t>
      </w:r>
      <w:r w:rsidR="000046DE" w:rsidRPr="001D036A">
        <w:rPr>
          <w:rFonts w:cs="Arial"/>
          <w:sz w:val="22"/>
          <w:szCs w:val="22"/>
        </w:rPr>
        <w:t>Popis výsledků</w:t>
      </w:r>
      <w:r w:rsidR="0096379C">
        <w:rPr>
          <w:rFonts w:cs="Arial"/>
          <w:sz w:val="22"/>
          <w:szCs w:val="22"/>
        </w:rPr>
        <w:t xml:space="preserve"> projektu a plán jejich využití</w:t>
      </w:r>
    </w:p>
    <w:p w:rsidR="002F1990" w:rsidRPr="00407A26" w:rsidRDefault="00A44240" w:rsidP="00407A2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4 – Specifikace majetku a služeb</w:t>
      </w:r>
      <w:r w:rsidR="0096379C" w:rsidRPr="00407A2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vyhotovuje v</w:t>
      </w:r>
      <w:r w:rsidR="001D036A">
        <w:rPr>
          <w:rFonts w:cs="Arial"/>
          <w:sz w:val="22"/>
          <w:szCs w:val="22"/>
        </w:rPr>
        <w:t xml:space="preserve">e </w:t>
      </w:r>
      <w:r w:rsidR="00A05BC7">
        <w:rPr>
          <w:rFonts w:cs="Arial"/>
          <w:sz w:val="22"/>
          <w:szCs w:val="22"/>
        </w:rPr>
        <w:t>dvou</w:t>
      </w:r>
      <w:r w:rsidRPr="00C553F6">
        <w:rPr>
          <w:rFonts w:cs="Arial"/>
          <w:sz w:val="22"/>
          <w:szCs w:val="22"/>
        </w:rPr>
        <w:t xml:space="preserve"> stejnopisech, z nichž poskytovatel </w:t>
      </w:r>
      <w:r w:rsidR="00A44240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 příjemc</w:t>
      </w:r>
      <w:r w:rsidR="00A4424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obdrží po jejich podpisu </w:t>
      </w:r>
      <w:r>
        <w:rPr>
          <w:rFonts w:cs="Arial"/>
          <w:sz w:val="22"/>
          <w:szCs w:val="22"/>
        </w:rPr>
        <w:t>jedno</w:t>
      </w:r>
      <w:r w:rsidRPr="00C553F6">
        <w:rPr>
          <w:rFonts w:cs="Arial"/>
          <w:sz w:val="22"/>
          <w:szCs w:val="22"/>
        </w:rPr>
        <w:t xml:space="preserve"> vyhotovení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 a podpisem Smlouvy stvrzují, že jimi uvedené údaje, na jejichž základě je uzavřena Smlouva a poskytnuta podpora poskytovatelem, jsou správné, úplné </w:t>
      </w:r>
      <w:r w:rsidRPr="00C553F6">
        <w:rPr>
          <w:rFonts w:cs="Arial"/>
          <w:sz w:val="22"/>
          <w:szCs w:val="22"/>
        </w:rPr>
        <w:br/>
        <w:t xml:space="preserve">a pravdivé.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A44240" w:rsidRDefault="00A44240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8D3767">
      <w:pPr>
        <w:numPr>
          <w:ilvl w:val="1"/>
          <w:numId w:val="38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>1. 1. 201</w:t>
      </w:r>
      <w:r w:rsidR="0096379C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1D036A" w:rsidRDefault="00C130F6" w:rsidP="008D3767">
      <w:pPr>
        <w:numPr>
          <w:ilvl w:val="1"/>
          <w:numId w:val="3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Smlouva je ukončena dnem</w:t>
      </w:r>
      <w:r>
        <w:rPr>
          <w:rFonts w:ascii="Arial" w:hAnsi="Arial" w:cs="Arial"/>
          <w:sz w:val="22"/>
          <w:szCs w:val="22"/>
        </w:rPr>
        <w:t xml:space="preserve"> </w:t>
      </w:r>
      <w:r w:rsidR="00407A26">
        <w:rPr>
          <w:rFonts w:ascii="Arial" w:hAnsi="Arial" w:cs="Arial"/>
          <w:sz w:val="22"/>
          <w:szCs w:val="22"/>
        </w:rPr>
        <w:t>2</w:t>
      </w:r>
      <w:r w:rsidR="009378D5">
        <w:rPr>
          <w:rFonts w:ascii="Arial" w:hAnsi="Arial" w:cs="Arial"/>
          <w:sz w:val="22"/>
          <w:szCs w:val="22"/>
        </w:rPr>
        <w:t>9</w:t>
      </w:r>
      <w:r w:rsidR="00407A26">
        <w:rPr>
          <w:rFonts w:ascii="Arial" w:hAnsi="Arial" w:cs="Arial"/>
          <w:sz w:val="22"/>
          <w:szCs w:val="22"/>
        </w:rPr>
        <w:t xml:space="preserve">. </w:t>
      </w:r>
      <w:r w:rsidR="009378D5">
        <w:rPr>
          <w:rFonts w:ascii="Arial" w:hAnsi="Arial" w:cs="Arial"/>
          <w:sz w:val="22"/>
          <w:szCs w:val="22"/>
        </w:rPr>
        <w:t>6</w:t>
      </w:r>
      <w:r w:rsidR="00407A26">
        <w:rPr>
          <w:rFonts w:ascii="Arial" w:hAnsi="Arial" w:cs="Arial"/>
          <w:sz w:val="22"/>
          <w:szCs w:val="22"/>
        </w:rPr>
        <w:t>. 202</w:t>
      </w:r>
      <w:r w:rsidR="009378D5">
        <w:rPr>
          <w:rFonts w:ascii="Arial" w:hAnsi="Arial" w:cs="Arial"/>
          <w:sz w:val="22"/>
          <w:szCs w:val="22"/>
        </w:rPr>
        <w:t>1</w:t>
      </w:r>
      <w:r w:rsidRPr="001D036A">
        <w:rPr>
          <w:rFonts w:ascii="Arial" w:hAnsi="Arial" w:cs="Arial"/>
          <w:sz w:val="22"/>
          <w:szCs w:val="22"/>
        </w:rPr>
        <w:t>.</w:t>
      </w:r>
    </w:p>
    <w:p w:rsidR="00C130F6" w:rsidRPr="00C553F6" w:rsidRDefault="00C130F6" w:rsidP="008D3767">
      <w:pPr>
        <w:pStyle w:val="Zkladntext"/>
        <w:widowControl/>
        <w:numPr>
          <w:ilvl w:val="1"/>
          <w:numId w:val="38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C130F6" w:rsidRPr="00C553F6" w:rsidRDefault="00C130F6" w:rsidP="00C130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130F6" w:rsidRPr="003B19FF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 w:rsidR="002B471C">
        <w:rPr>
          <w:rFonts w:ascii="Arial" w:hAnsi="Arial" w:cs="Arial"/>
          <w:bCs/>
          <w:sz w:val="22"/>
          <w:szCs w:val="22"/>
        </w:rPr>
        <w:tab/>
      </w:r>
      <w:r w:rsidR="002B471C">
        <w:rPr>
          <w:rFonts w:ascii="Arial" w:hAnsi="Arial" w:cs="Arial"/>
          <w:bCs/>
          <w:sz w:val="22"/>
          <w:szCs w:val="22"/>
        </w:rPr>
        <w:tab/>
      </w:r>
      <w:r w:rsidR="002B471C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3B19FF">
        <w:rPr>
          <w:rFonts w:ascii="Arial" w:hAnsi="Arial" w:cs="Arial"/>
          <w:sz w:val="22"/>
          <w:szCs w:val="22"/>
        </w:rPr>
        <w:t>Za příjemce-koordinátora: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32EF" w:rsidRDefault="004D32EF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30F6" w:rsidRPr="005F76AB" w:rsidRDefault="0004047D" w:rsidP="0096379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C130F6">
        <w:rPr>
          <w:rFonts w:ascii="Arial" w:hAnsi="Arial" w:cs="Arial"/>
          <w:sz w:val="22"/>
          <w:szCs w:val="22"/>
        </w:rPr>
        <w:t xml:space="preserve"> 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A44240">
        <w:rPr>
          <w:rFonts w:ascii="Arial" w:hAnsi="Arial" w:cs="Arial"/>
          <w:sz w:val="22"/>
          <w:szCs w:val="22"/>
        </w:rPr>
        <w:t xml:space="preserve">   </w:t>
      </w:r>
      <w:r w:rsidR="00A44240" w:rsidRPr="00703679">
        <w:rPr>
          <w:rFonts w:ascii="Arial" w:hAnsi="Arial" w:cs="Arial"/>
          <w:sz w:val="22"/>
          <w:szCs w:val="22"/>
          <w:lang w:eastAsia="x-none"/>
        </w:rPr>
        <w:t>Doc. Dr. et Ing. Jiří Fajt, Ph.D.</w:t>
      </w:r>
    </w:p>
    <w:p w:rsidR="00C130F6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 w:rsidR="002B471C">
        <w:rPr>
          <w:rFonts w:ascii="Arial" w:hAnsi="Arial" w:cs="Arial"/>
          <w:sz w:val="22"/>
          <w:szCs w:val="22"/>
        </w:rPr>
        <w:tab/>
      </w:r>
      <w:r w:rsidR="002B471C">
        <w:rPr>
          <w:rFonts w:ascii="Arial" w:hAnsi="Arial" w:cs="Arial"/>
          <w:sz w:val="22"/>
          <w:szCs w:val="22"/>
        </w:rPr>
        <w:tab/>
      </w:r>
      <w:r w:rsidR="002B471C">
        <w:rPr>
          <w:rFonts w:ascii="Arial" w:hAnsi="Arial" w:cs="Arial"/>
          <w:sz w:val="22"/>
          <w:szCs w:val="22"/>
        </w:rPr>
        <w:tab/>
      </w:r>
      <w:r w:rsidR="002B471C">
        <w:rPr>
          <w:rFonts w:ascii="Arial" w:hAnsi="Arial" w:cs="Arial"/>
          <w:sz w:val="22"/>
          <w:szCs w:val="22"/>
        </w:rPr>
        <w:tab/>
      </w:r>
      <w:r w:rsidR="002B471C">
        <w:rPr>
          <w:rFonts w:ascii="Arial" w:hAnsi="Arial" w:cs="Arial"/>
          <w:sz w:val="22"/>
          <w:szCs w:val="22"/>
        </w:rPr>
        <w:tab/>
        <w:t xml:space="preserve">   </w:t>
      </w:r>
      <w:r w:rsidRPr="003B19F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gramStart"/>
      <w:r w:rsidRPr="003B19FF">
        <w:rPr>
          <w:rFonts w:ascii="Arial" w:hAnsi="Arial" w:cs="Arial"/>
          <w:sz w:val="22"/>
          <w:szCs w:val="22"/>
        </w:rPr>
        <w:t>dne</w:t>
      </w:r>
      <w:proofErr w:type="gramEnd"/>
    </w:p>
    <w:p w:rsidR="00CD41AF" w:rsidRPr="00CD41AF" w:rsidRDefault="00C130F6" w:rsidP="009378D5">
      <w:pPr>
        <w:pStyle w:val="Zkladntext"/>
        <w:spacing w:before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C7C7B">
        <w:rPr>
          <w:rFonts w:cs="Arial"/>
          <w:sz w:val="22"/>
          <w:szCs w:val="22"/>
        </w:rPr>
        <w:t xml:space="preserve"> </w:t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2B471C">
        <w:rPr>
          <w:rFonts w:cs="Arial"/>
          <w:sz w:val="22"/>
          <w:szCs w:val="22"/>
        </w:rPr>
        <w:t xml:space="preserve">   </w:t>
      </w:r>
    </w:p>
    <w:sectPr w:rsidR="00CD41AF" w:rsidRPr="00CD41AF" w:rsidSect="00317C02">
      <w:headerReference w:type="default" r:id="rId9"/>
      <w:footerReference w:type="even" r:id="rId10"/>
      <w:footerReference w:type="default" r:id="rId11"/>
      <w:pgSz w:w="12240" w:h="15840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22" w:rsidRDefault="00112A22">
      <w:r>
        <w:separator/>
      </w:r>
    </w:p>
  </w:endnote>
  <w:endnote w:type="continuationSeparator" w:id="0">
    <w:p w:rsidR="00112A22" w:rsidRDefault="0011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97" w:rsidRDefault="006C5B97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5B97" w:rsidRDefault="006C5B97" w:rsidP="004F5D0F">
    <w:pPr>
      <w:pStyle w:val="Zpat"/>
      <w:ind w:right="360"/>
    </w:pPr>
  </w:p>
  <w:p w:rsidR="006C5B97" w:rsidRDefault="006C5B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97" w:rsidRPr="004A2068" w:rsidRDefault="006C5B97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BC5760">
      <w:rPr>
        <w:rStyle w:val="slostrnky"/>
        <w:i w:val="0"/>
        <w:noProof/>
      </w:rPr>
      <w:t>11</w:t>
    </w:r>
    <w:r w:rsidRPr="004A2068">
      <w:rPr>
        <w:rStyle w:val="slostrnky"/>
        <w:i w:val="0"/>
      </w:rPr>
      <w:fldChar w:fldCharType="end"/>
    </w:r>
  </w:p>
  <w:p w:rsidR="006C5B97" w:rsidRPr="000E6A3A" w:rsidRDefault="006C5B97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6C5B97" w:rsidRPr="000E6A3A" w:rsidRDefault="006C5B97" w:rsidP="004F5D0F">
    <w:pPr>
      <w:pStyle w:val="Zpat"/>
      <w:ind w:right="360"/>
    </w:pPr>
  </w:p>
  <w:p w:rsidR="006C5B97" w:rsidRDefault="006C5B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22" w:rsidRDefault="00112A22">
      <w:r>
        <w:separator/>
      </w:r>
    </w:p>
  </w:footnote>
  <w:footnote w:type="continuationSeparator" w:id="0">
    <w:p w:rsidR="00112A22" w:rsidRDefault="00112A22">
      <w:r>
        <w:continuationSeparator/>
      </w:r>
    </w:p>
  </w:footnote>
  <w:footnote w:id="1">
    <w:p w:rsidR="00703679" w:rsidRPr="00ED169D" w:rsidRDefault="00703679" w:rsidP="00703679">
      <w:pPr>
        <w:pStyle w:val="Textpoznpodarou"/>
      </w:pPr>
      <w:r w:rsidRPr="00ED169D">
        <w:rPr>
          <w:rStyle w:val="Znakapoznpodarou"/>
        </w:rPr>
        <w:footnoteRef/>
      </w:r>
      <w:r w:rsidRPr="00ED169D">
        <w:t xml:space="preserve"> </w:t>
      </w:r>
      <w:r w:rsidRPr="00ED169D">
        <w:rPr>
          <w:rFonts w:ascii="Arial" w:hAnsi="Arial" w:cs="Arial"/>
        </w:rPr>
        <w:t>Uznané náklady jsou takové způsobilé náklady, které poskytovatel schválil a které jsou zdůvodněné.</w:t>
      </w:r>
    </w:p>
  </w:footnote>
  <w:footnote w:id="2">
    <w:p w:rsidR="006C5B97" w:rsidRPr="00360B44" w:rsidRDefault="006C5B97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2 písm. </w:t>
      </w:r>
      <w:r w:rsidR="00A37C30">
        <w:rPr>
          <w:rFonts w:ascii="Arial" w:hAnsi="Arial" w:cs="Arial"/>
          <w:sz w:val="18"/>
          <w:szCs w:val="18"/>
        </w:rPr>
        <w:t>k</w:t>
      </w:r>
      <w:r w:rsidRPr="00360B44">
        <w:rPr>
          <w:rFonts w:ascii="Arial" w:hAnsi="Arial" w:cs="Arial"/>
          <w:sz w:val="18"/>
          <w:szCs w:val="18"/>
        </w:rPr>
        <w:t>) zákona č. 130/2002 Sb.</w:t>
      </w:r>
    </w:p>
    <w:p w:rsidR="006C5B97" w:rsidRDefault="006C5B97" w:rsidP="00C130F6">
      <w:pPr>
        <w:pStyle w:val="Textpoznpodarou"/>
      </w:pPr>
    </w:p>
  </w:footnote>
  <w:footnote w:id="3">
    <w:p w:rsidR="006C5B97" w:rsidRPr="000E1DA0" w:rsidRDefault="006C5B97" w:rsidP="00551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37C30">
        <w:rPr>
          <w:rFonts w:ascii="Arial" w:hAnsi="Arial" w:cs="Arial"/>
          <w:sz w:val="18"/>
          <w:szCs w:val="18"/>
        </w:rPr>
        <w:t>Zákon č. 218/2000 Sb., o rozpočtových pravidlech a o změně některých souvisejících zákonů</w:t>
      </w:r>
    </w:p>
  </w:footnote>
  <w:footnote w:id="4">
    <w:p w:rsidR="006C5B97" w:rsidRDefault="006C5B97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10 a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6C5B97" w:rsidRPr="00C72C66" w:rsidRDefault="006C5B97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97" w:rsidRPr="00CE4D0E" w:rsidRDefault="006C5B97" w:rsidP="004F5D0F">
    <w:pPr>
      <w:pStyle w:val="Zhlav"/>
      <w:jc w:val="center"/>
      <w:rPr>
        <w:color w:val="808080"/>
        <w:sz w:val="22"/>
        <w:szCs w:val="22"/>
      </w:rPr>
    </w:pPr>
  </w:p>
  <w:p w:rsidR="006C5B97" w:rsidRPr="00CE4D0E" w:rsidRDefault="006C5B97" w:rsidP="004F5D0F">
    <w:pPr>
      <w:pStyle w:val="Zhlav"/>
      <w:rPr>
        <w:color w:val="808080"/>
        <w:szCs w:val="20"/>
      </w:rPr>
    </w:pPr>
  </w:p>
  <w:p w:rsidR="006C5B97" w:rsidRDefault="006C5B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7547B"/>
    <w:multiLevelType w:val="hybridMultilevel"/>
    <w:tmpl w:val="B3BE296E"/>
    <w:lvl w:ilvl="0" w:tplc="B1FA48D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C6CD2"/>
    <w:multiLevelType w:val="hybridMultilevel"/>
    <w:tmpl w:val="FA82E798"/>
    <w:lvl w:ilvl="0" w:tplc="B4E4FC5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E13367"/>
    <w:multiLevelType w:val="hybridMultilevel"/>
    <w:tmpl w:val="57885E48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E303A4"/>
    <w:multiLevelType w:val="hybridMultilevel"/>
    <w:tmpl w:val="3D32005E"/>
    <w:lvl w:ilvl="0" w:tplc="36E68A0C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85E4F3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38777F55"/>
    <w:multiLevelType w:val="hybridMultilevel"/>
    <w:tmpl w:val="6E28571A"/>
    <w:lvl w:ilvl="0" w:tplc="35C673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26F99"/>
    <w:multiLevelType w:val="hybridMultilevel"/>
    <w:tmpl w:val="7D269A18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575BDA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C672D7"/>
    <w:multiLevelType w:val="hybridMultilevel"/>
    <w:tmpl w:val="CEB2FC70"/>
    <w:lvl w:ilvl="0" w:tplc="08EC8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CF4058"/>
    <w:multiLevelType w:val="hybridMultilevel"/>
    <w:tmpl w:val="DD3E4B54"/>
    <w:lvl w:ilvl="0" w:tplc="7584A7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6DD31443"/>
    <w:multiLevelType w:val="hybridMultilevel"/>
    <w:tmpl w:val="FF923E90"/>
    <w:lvl w:ilvl="0" w:tplc="A9E40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4"/>
  </w:num>
  <w:num w:numId="2">
    <w:abstractNumId w:val="23"/>
  </w:num>
  <w:num w:numId="3">
    <w:abstractNumId w:val="49"/>
  </w:num>
  <w:num w:numId="4">
    <w:abstractNumId w:val="46"/>
  </w:num>
  <w:num w:numId="5">
    <w:abstractNumId w:val="6"/>
  </w:num>
  <w:num w:numId="6">
    <w:abstractNumId w:val="3"/>
  </w:num>
  <w:num w:numId="7">
    <w:abstractNumId w:val="8"/>
  </w:num>
  <w:num w:numId="8">
    <w:abstractNumId w:val="25"/>
  </w:num>
  <w:num w:numId="9">
    <w:abstractNumId w:val="28"/>
  </w:num>
  <w:num w:numId="10">
    <w:abstractNumId w:val="45"/>
  </w:num>
  <w:num w:numId="11">
    <w:abstractNumId w:val="37"/>
  </w:num>
  <w:num w:numId="12">
    <w:abstractNumId w:val="52"/>
  </w:num>
  <w:num w:numId="13">
    <w:abstractNumId w:val="21"/>
  </w:num>
  <w:num w:numId="14">
    <w:abstractNumId w:val="40"/>
  </w:num>
  <w:num w:numId="15">
    <w:abstractNumId w:val="24"/>
  </w:num>
  <w:num w:numId="16">
    <w:abstractNumId w:val="32"/>
  </w:num>
  <w:num w:numId="17">
    <w:abstractNumId w:val="50"/>
  </w:num>
  <w:num w:numId="18">
    <w:abstractNumId w:val="34"/>
  </w:num>
  <w:num w:numId="19">
    <w:abstractNumId w:val="10"/>
  </w:num>
  <w:num w:numId="20">
    <w:abstractNumId w:val="36"/>
  </w:num>
  <w:num w:numId="21">
    <w:abstractNumId w:val="47"/>
  </w:num>
  <w:num w:numId="22">
    <w:abstractNumId w:val="0"/>
  </w:num>
  <w:num w:numId="23">
    <w:abstractNumId w:val="19"/>
  </w:num>
  <w:num w:numId="24">
    <w:abstractNumId w:val="14"/>
  </w:num>
  <w:num w:numId="25">
    <w:abstractNumId w:val="41"/>
  </w:num>
  <w:num w:numId="26">
    <w:abstractNumId w:val="51"/>
  </w:num>
  <w:num w:numId="27">
    <w:abstractNumId w:val="20"/>
  </w:num>
  <w:num w:numId="28">
    <w:abstractNumId w:val="18"/>
  </w:num>
  <w:num w:numId="29">
    <w:abstractNumId w:val="30"/>
  </w:num>
  <w:num w:numId="30">
    <w:abstractNumId w:val="39"/>
  </w:num>
  <w:num w:numId="31">
    <w:abstractNumId w:val="11"/>
  </w:num>
  <w:num w:numId="32">
    <w:abstractNumId w:val="15"/>
  </w:num>
  <w:num w:numId="33">
    <w:abstractNumId w:val="27"/>
  </w:num>
  <w:num w:numId="34">
    <w:abstractNumId w:val="17"/>
  </w:num>
  <w:num w:numId="35">
    <w:abstractNumId w:val="4"/>
  </w:num>
  <w:num w:numId="36">
    <w:abstractNumId w:val="12"/>
  </w:num>
  <w:num w:numId="37">
    <w:abstractNumId w:val="33"/>
  </w:num>
  <w:num w:numId="38">
    <w:abstractNumId w:val="7"/>
  </w:num>
  <w:num w:numId="39">
    <w:abstractNumId w:val="43"/>
  </w:num>
  <w:num w:numId="40">
    <w:abstractNumId w:val="22"/>
  </w:num>
  <w:num w:numId="41">
    <w:abstractNumId w:val="31"/>
  </w:num>
  <w:num w:numId="42">
    <w:abstractNumId w:val="26"/>
  </w:num>
  <w:num w:numId="43">
    <w:abstractNumId w:val="35"/>
  </w:num>
  <w:num w:numId="44">
    <w:abstractNumId w:val="38"/>
  </w:num>
  <w:num w:numId="45">
    <w:abstractNumId w:val="9"/>
  </w:num>
  <w:num w:numId="46">
    <w:abstractNumId w:val="1"/>
  </w:num>
  <w:num w:numId="47">
    <w:abstractNumId w:val="13"/>
  </w:num>
  <w:num w:numId="48">
    <w:abstractNumId w:val="16"/>
  </w:num>
  <w:num w:numId="49">
    <w:abstractNumId w:val="2"/>
  </w:num>
  <w:num w:numId="50">
    <w:abstractNumId w:val="48"/>
  </w:num>
  <w:num w:numId="51">
    <w:abstractNumId w:val="42"/>
  </w:num>
  <w:num w:numId="52">
    <w:abstractNumId w:val="5"/>
  </w:num>
  <w:num w:numId="5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F6"/>
    <w:rsid w:val="000046DE"/>
    <w:rsid w:val="000218DB"/>
    <w:rsid w:val="00023967"/>
    <w:rsid w:val="000310DB"/>
    <w:rsid w:val="0004047D"/>
    <w:rsid w:val="0004213D"/>
    <w:rsid w:val="0009180D"/>
    <w:rsid w:val="000A1770"/>
    <w:rsid w:val="000A2F73"/>
    <w:rsid w:val="000D65C9"/>
    <w:rsid w:val="000E445E"/>
    <w:rsid w:val="00105E10"/>
    <w:rsid w:val="00112A22"/>
    <w:rsid w:val="00133F19"/>
    <w:rsid w:val="00151AEC"/>
    <w:rsid w:val="001625A9"/>
    <w:rsid w:val="00170FD6"/>
    <w:rsid w:val="00181E09"/>
    <w:rsid w:val="00184C4E"/>
    <w:rsid w:val="00196F98"/>
    <w:rsid w:val="001A0013"/>
    <w:rsid w:val="001A5D42"/>
    <w:rsid w:val="001B4518"/>
    <w:rsid w:val="001C01B3"/>
    <w:rsid w:val="001D033D"/>
    <w:rsid w:val="001D036A"/>
    <w:rsid w:val="001F1576"/>
    <w:rsid w:val="00203C38"/>
    <w:rsid w:val="002169AF"/>
    <w:rsid w:val="002222A9"/>
    <w:rsid w:val="00237968"/>
    <w:rsid w:val="002B281E"/>
    <w:rsid w:val="002B471C"/>
    <w:rsid w:val="002D22E3"/>
    <w:rsid w:val="002D6FC5"/>
    <w:rsid w:val="002D78D0"/>
    <w:rsid w:val="002E39BF"/>
    <w:rsid w:val="002F1990"/>
    <w:rsid w:val="002F4206"/>
    <w:rsid w:val="00317C02"/>
    <w:rsid w:val="00332EA9"/>
    <w:rsid w:val="00342905"/>
    <w:rsid w:val="00347449"/>
    <w:rsid w:val="00352F5E"/>
    <w:rsid w:val="00372D0F"/>
    <w:rsid w:val="00374E8D"/>
    <w:rsid w:val="00387723"/>
    <w:rsid w:val="00394256"/>
    <w:rsid w:val="00397515"/>
    <w:rsid w:val="003B7E53"/>
    <w:rsid w:val="003C07AE"/>
    <w:rsid w:val="003C18CC"/>
    <w:rsid w:val="003C782F"/>
    <w:rsid w:val="003D2F00"/>
    <w:rsid w:val="003D6532"/>
    <w:rsid w:val="00407A26"/>
    <w:rsid w:val="00417A12"/>
    <w:rsid w:val="004352A1"/>
    <w:rsid w:val="004430BB"/>
    <w:rsid w:val="00495501"/>
    <w:rsid w:val="004976B8"/>
    <w:rsid w:val="004A0AC5"/>
    <w:rsid w:val="004A1146"/>
    <w:rsid w:val="004B77B5"/>
    <w:rsid w:val="004C14BC"/>
    <w:rsid w:val="004C4BCF"/>
    <w:rsid w:val="004C5B17"/>
    <w:rsid w:val="004D32EF"/>
    <w:rsid w:val="004D5A90"/>
    <w:rsid w:val="004F012B"/>
    <w:rsid w:val="004F5D0F"/>
    <w:rsid w:val="00505E08"/>
    <w:rsid w:val="005135E1"/>
    <w:rsid w:val="0053168A"/>
    <w:rsid w:val="005322AD"/>
    <w:rsid w:val="0053590F"/>
    <w:rsid w:val="00540307"/>
    <w:rsid w:val="00551845"/>
    <w:rsid w:val="00553868"/>
    <w:rsid w:val="00577133"/>
    <w:rsid w:val="0058163A"/>
    <w:rsid w:val="005B2BF2"/>
    <w:rsid w:val="005B3306"/>
    <w:rsid w:val="005E202E"/>
    <w:rsid w:val="005E28B1"/>
    <w:rsid w:val="005E6293"/>
    <w:rsid w:val="005F667A"/>
    <w:rsid w:val="006039E4"/>
    <w:rsid w:val="0061524D"/>
    <w:rsid w:val="0062733A"/>
    <w:rsid w:val="00636F21"/>
    <w:rsid w:val="0065308F"/>
    <w:rsid w:val="00663E95"/>
    <w:rsid w:val="0066539F"/>
    <w:rsid w:val="00667B28"/>
    <w:rsid w:val="00677599"/>
    <w:rsid w:val="00682A39"/>
    <w:rsid w:val="00686D6B"/>
    <w:rsid w:val="006A130F"/>
    <w:rsid w:val="006A4116"/>
    <w:rsid w:val="006B117A"/>
    <w:rsid w:val="006B4548"/>
    <w:rsid w:val="006C5B97"/>
    <w:rsid w:val="006E22CE"/>
    <w:rsid w:val="006E787D"/>
    <w:rsid w:val="006F640D"/>
    <w:rsid w:val="00703679"/>
    <w:rsid w:val="007047D3"/>
    <w:rsid w:val="00752CAF"/>
    <w:rsid w:val="00754BB4"/>
    <w:rsid w:val="00755E7E"/>
    <w:rsid w:val="00763FB4"/>
    <w:rsid w:val="00774396"/>
    <w:rsid w:val="00776D1C"/>
    <w:rsid w:val="00785FA0"/>
    <w:rsid w:val="007B7958"/>
    <w:rsid w:val="007F0ED4"/>
    <w:rsid w:val="007F1B75"/>
    <w:rsid w:val="00800227"/>
    <w:rsid w:val="00805146"/>
    <w:rsid w:val="00857C25"/>
    <w:rsid w:val="008656EC"/>
    <w:rsid w:val="00880AF7"/>
    <w:rsid w:val="008905DB"/>
    <w:rsid w:val="008B43B1"/>
    <w:rsid w:val="008D3767"/>
    <w:rsid w:val="008E1881"/>
    <w:rsid w:val="008E33F3"/>
    <w:rsid w:val="008E6559"/>
    <w:rsid w:val="008F310D"/>
    <w:rsid w:val="008F4143"/>
    <w:rsid w:val="00910DE1"/>
    <w:rsid w:val="009263B2"/>
    <w:rsid w:val="009378D5"/>
    <w:rsid w:val="009471B9"/>
    <w:rsid w:val="0096006F"/>
    <w:rsid w:val="0096379C"/>
    <w:rsid w:val="009852F6"/>
    <w:rsid w:val="009A04F6"/>
    <w:rsid w:val="009A218E"/>
    <w:rsid w:val="009A3A63"/>
    <w:rsid w:val="009B4ABC"/>
    <w:rsid w:val="009B6C27"/>
    <w:rsid w:val="009B78D4"/>
    <w:rsid w:val="009C2C40"/>
    <w:rsid w:val="009C6BC7"/>
    <w:rsid w:val="009F24F3"/>
    <w:rsid w:val="009F3960"/>
    <w:rsid w:val="009F54E5"/>
    <w:rsid w:val="00A01084"/>
    <w:rsid w:val="00A05BC7"/>
    <w:rsid w:val="00A10E81"/>
    <w:rsid w:val="00A37C30"/>
    <w:rsid w:val="00A44240"/>
    <w:rsid w:val="00A502D9"/>
    <w:rsid w:val="00A54BF8"/>
    <w:rsid w:val="00A9124F"/>
    <w:rsid w:val="00AA56FE"/>
    <w:rsid w:val="00AA586F"/>
    <w:rsid w:val="00AA58B2"/>
    <w:rsid w:val="00AB404F"/>
    <w:rsid w:val="00AB4C06"/>
    <w:rsid w:val="00AC327E"/>
    <w:rsid w:val="00AE076A"/>
    <w:rsid w:val="00AF7596"/>
    <w:rsid w:val="00B0083C"/>
    <w:rsid w:val="00B046F3"/>
    <w:rsid w:val="00B10968"/>
    <w:rsid w:val="00B32DBC"/>
    <w:rsid w:val="00B4755F"/>
    <w:rsid w:val="00B5057F"/>
    <w:rsid w:val="00B541D1"/>
    <w:rsid w:val="00B70E3E"/>
    <w:rsid w:val="00B80CBA"/>
    <w:rsid w:val="00BC5760"/>
    <w:rsid w:val="00C130F6"/>
    <w:rsid w:val="00C13225"/>
    <w:rsid w:val="00C14A48"/>
    <w:rsid w:val="00C32FAB"/>
    <w:rsid w:val="00C4230A"/>
    <w:rsid w:val="00C43B13"/>
    <w:rsid w:val="00C71BCD"/>
    <w:rsid w:val="00C72DA8"/>
    <w:rsid w:val="00C9065F"/>
    <w:rsid w:val="00CA18C4"/>
    <w:rsid w:val="00CA61AE"/>
    <w:rsid w:val="00CC0995"/>
    <w:rsid w:val="00CC4B4B"/>
    <w:rsid w:val="00CC7750"/>
    <w:rsid w:val="00CD38CF"/>
    <w:rsid w:val="00CD41AF"/>
    <w:rsid w:val="00CE05D6"/>
    <w:rsid w:val="00CE38DE"/>
    <w:rsid w:val="00D550FC"/>
    <w:rsid w:val="00D93B41"/>
    <w:rsid w:val="00DA2F00"/>
    <w:rsid w:val="00DA32AD"/>
    <w:rsid w:val="00DC47DD"/>
    <w:rsid w:val="00DD1A0F"/>
    <w:rsid w:val="00DD2776"/>
    <w:rsid w:val="00DF7656"/>
    <w:rsid w:val="00E001F9"/>
    <w:rsid w:val="00E07265"/>
    <w:rsid w:val="00E07A0D"/>
    <w:rsid w:val="00E17ED8"/>
    <w:rsid w:val="00E45CD0"/>
    <w:rsid w:val="00E568F7"/>
    <w:rsid w:val="00E657A4"/>
    <w:rsid w:val="00EB3FC4"/>
    <w:rsid w:val="00EC5046"/>
    <w:rsid w:val="00ED004E"/>
    <w:rsid w:val="00EE4B15"/>
    <w:rsid w:val="00F0139E"/>
    <w:rsid w:val="00F25BB1"/>
    <w:rsid w:val="00F273D0"/>
    <w:rsid w:val="00F643A8"/>
    <w:rsid w:val="00F74206"/>
    <w:rsid w:val="00F77E6B"/>
    <w:rsid w:val="00FA148C"/>
    <w:rsid w:val="00FC19EA"/>
    <w:rsid w:val="00FC271F"/>
    <w:rsid w:val="00FC349C"/>
    <w:rsid w:val="00FC3B54"/>
    <w:rsid w:val="00FC7101"/>
    <w:rsid w:val="00FE081B"/>
    <w:rsid w:val="00FE25FC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30F6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v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265"/>
    <w:pPr>
      <w:ind w:left="720"/>
      <w:contextualSpacing/>
    </w:pPr>
  </w:style>
  <w:style w:type="character" w:customStyle="1" w:styleId="NzevChar">
    <w:name w:val="Název Char"/>
    <w:link w:val="Nzev"/>
    <w:rsid w:val="00703679"/>
    <w:rPr>
      <w:rFonts w:ascii="ElegaGarmnd CE" w:hAnsi="ElegaGarmnd CE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FB26-81C1-4A8E-89CC-3B39D9CD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5374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MVCR</cp:lastModifiedBy>
  <cp:revision>4</cp:revision>
  <cp:lastPrinted>2016-09-19T05:33:00Z</cp:lastPrinted>
  <dcterms:created xsi:type="dcterms:W3CDTF">2016-11-18T08:30:00Z</dcterms:created>
  <dcterms:modified xsi:type="dcterms:W3CDTF">2016-11-22T13:28:00Z</dcterms:modified>
</cp:coreProperties>
</file>