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C9" w:rsidRDefault="00534868">
      <w:pPr>
        <w:tabs>
          <w:tab w:val="left" w:pos="4518"/>
          <w:tab w:val="right" w:pos="9828"/>
        </w:tabs>
        <w:spacing w:after="36"/>
        <w:ind w:left="720"/>
        <w:rPr>
          <w:rFonts w:ascii="Times New Roman" w:hAnsi="Times New Roman"/>
          <w:color w:val="000000"/>
          <w:spacing w:val="-7"/>
          <w:sz w:val="18"/>
          <w:lang w:val="cs-CZ"/>
        </w:rPr>
      </w:pPr>
      <w:r>
        <w:pict>
          <v:line id="_x0000_s1027" style="position:absolute;left:0;text-align:left;z-index:251657216;mso-position-horizontal-relative:text;mso-position-vertical-relative:text" from="37.8pt,1.05pt" to="492.2pt,1.05pt" strokecolor="#7c7d7d" strokeweight=".55pt"/>
        </w:pict>
      </w:r>
      <w:r w:rsidR="00D27698">
        <w:rPr>
          <w:rFonts w:ascii="Times New Roman" w:hAnsi="Times New Roman"/>
          <w:color w:val="000000"/>
          <w:spacing w:val="-7"/>
          <w:sz w:val="18"/>
          <w:lang w:val="cs-CZ"/>
        </w:rPr>
        <w:t>Pojistná smlouva č.: 4482170288</w:t>
      </w:r>
      <w:r w:rsidR="00D27698">
        <w:rPr>
          <w:rFonts w:ascii="Times New Roman" w:hAnsi="Times New Roman"/>
          <w:color w:val="000000"/>
          <w:spacing w:val="-7"/>
          <w:sz w:val="18"/>
          <w:lang w:val="cs-CZ"/>
        </w:rPr>
        <w:tab/>
      </w:r>
      <w:r w:rsidR="00D27698">
        <w:rPr>
          <w:rFonts w:ascii="Times New Roman" w:hAnsi="Times New Roman"/>
          <w:color w:val="000000"/>
          <w:spacing w:val="-6"/>
          <w:sz w:val="18"/>
          <w:lang w:val="cs-CZ"/>
        </w:rPr>
        <w:t>Stav k datu: 7. 1. 2020</w:t>
      </w:r>
      <w:r w:rsidR="00D27698"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 w:rsidR="00D27698">
        <w:rPr>
          <w:rFonts w:ascii="Times New Roman" w:hAnsi="Times New Roman"/>
          <w:color w:val="000000"/>
          <w:spacing w:val="-2"/>
          <w:sz w:val="18"/>
          <w:lang w:val="cs-CZ"/>
        </w:rPr>
        <w:t>Strana: 2/4</w:t>
      </w:r>
    </w:p>
    <w:p w:rsidR="004D52C9" w:rsidRDefault="00534868">
      <w:pPr>
        <w:spacing w:before="144"/>
        <w:ind w:left="720"/>
        <w:rPr>
          <w:rFonts w:ascii="Times New Roman" w:hAnsi="Times New Roman"/>
          <w:b/>
          <w:color w:val="000000"/>
          <w:spacing w:val="-9"/>
          <w:sz w:val="19"/>
          <w:lang w:val="cs-CZ"/>
        </w:rPr>
      </w:pPr>
      <w:r>
        <w:pict>
          <v:line id="_x0000_s1026" style="position:absolute;left:0;text-align:left;z-index:251658240;mso-position-horizontal-relative:text;mso-position-vertical-relative:text" from="37.8pt,.35pt" to="491.85pt,.35pt" strokecolor="#707071" strokeweight=".55pt"/>
        </w:pict>
      </w:r>
      <w:r w:rsidR="00D27698">
        <w:rPr>
          <w:rFonts w:ascii="Times New Roman" w:hAnsi="Times New Roman"/>
          <w:b/>
          <w:color w:val="000000"/>
          <w:spacing w:val="-9"/>
          <w:sz w:val="19"/>
          <w:lang w:val="cs-CZ"/>
        </w:rPr>
        <w:t xml:space="preserve">4.2. Havarijní pojištění vozidla ve variantě </w:t>
      </w:r>
      <w:proofErr w:type="spellStart"/>
      <w:r w:rsidR="00D27698">
        <w:rPr>
          <w:rFonts w:ascii="Times New Roman" w:hAnsi="Times New Roman"/>
          <w:b/>
          <w:color w:val="000000"/>
          <w:spacing w:val="-9"/>
          <w:w w:val="165"/>
          <w:sz w:val="19"/>
          <w:vertAlign w:val="subscript"/>
          <w:lang w:val="cs-CZ"/>
        </w:rPr>
        <w:t>n</w:t>
      </w:r>
      <w:r w:rsidR="00D27698">
        <w:rPr>
          <w:rFonts w:ascii="Times New Roman" w:hAnsi="Times New Roman"/>
          <w:b/>
          <w:color w:val="000000"/>
          <w:spacing w:val="-9"/>
          <w:sz w:val="19"/>
          <w:lang w:val="cs-CZ"/>
        </w:rPr>
        <w:t>All</w:t>
      </w:r>
      <w:proofErr w:type="spellEnd"/>
      <w:r w:rsidR="00D27698">
        <w:rPr>
          <w:rFonts w:ascii="Times New Roman" w:hAnsi="Times New Roman"/>
          <w:b/>
          <w:color w:val="000000"/>
          <w:spacing w:val="-9"/>
          <w:sz w:val="19"/>
          <w:lang w:val="cs-CZ"/>
        </w:rPr>
        <w:t xml:space="preserve"> Risk"</w:t>
      </w:r>
    </w:p>
    <w:p w:rsidR="004D52C9" w:rsidRDefault="00D27698">
      <w:pPr>
        <w:tabs>
          <w:tab w:val="right" w:pos="8093"/>
        </w:tabs>
        <w:ind w:left="720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Pojistná částka: 423 912 Kč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Spoluúčast: </w:t>
      </w:r>
      <w:proofErr w:type="gramStart"/>
      <w:r>
        <w:rPr>
          <w:rFonts w:ascii="Times New Roman" w:hAnsi="Times New Roman"/>
          <w:color w:val="000000"/>
          <w:sz w:val="18"/>
          <w:lang w:val="cs-CZ"/>
        </w:rPr>
        <w:t>5%</w:t>
      </w:r>
      <w:proofErr w:type="gramEnd"/>
      <w:r>
        <w:rPr>
          <w:rFonts w:ascii="Times New Roman" w:hAnsi="Times New Roman"/>
          <w:color w:val="000000"/>
          <w:sz w:val="18"/>
          <w:lang w:val="cs-CZ"/>
        </w:rPr>
        <w:t>, min. 5 000 Kč</w:t>
      </w:r>
    </w:p>
    <w:p w:rsidR="004D52C9" w:rsidRDefault="00D27698">
      <w:pPr>
        <w:tabs>
          <w:tab w:val="right" w:pos="9432"/>
        </w:tabs>
        <w:spacing w:line="283" w:lineRule="auto"/>
        <w:ind w:left="72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Územní platnost: Evropa (mimo vybrané země dle VPP)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Zohlednění předchozího škodního průběhu: ANO</w:t>
      </w:r>
    </w:p>
    <w:p w:rsidR="004D52C9" w:rsidRDefault="00D27698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Pojištěno včetně DPII: ANO</w:t>
      </w:r>
    </w:p>
    <w:p w:rsidR="004D52C9" w:rsidRDefault="00D27698">
      <w:pPr>
        <w:tabs>
          <w:tab w:val="right" w:pos="9072"/>
        </w:tabs>
        <w:spacing w:before="36" w:line="266" w:lineRule="auto"/>
        <w:ind w:left="72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Akceptace doporučené opravny: ANO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Sleva za akceptaci doporučené opravny: 4 %</w:t>
      </w:r>
    </w:p>
    <w:p w:rsidR="004D52C9" w:rsidRDefault="00D27698">
      <w:pPr>
        <w:tabs>
          <w:tab w:val="right" w:pos="7863"/>
        </w:tabs>
        <w:ind w:left="72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Sleva za zabezpečení: O %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Koeficient užití vozidla: 1,0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Roční pojistné se zohledněním slevy za frekvenci placení 10 %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22 293 Kč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Obchodní sleva: trvalá 20,0000 %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-4 459 Kč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Osobní sleva: 6,0 %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- 535 Kč</w:t>
      </w:r>
    </w:p>
    <w:p w:rsidR="004D52C9" w:rsidRDefault="00D27698">
      <w:pPr>
        <w:spacing w:before="108"/>
        <w:ind w:left="720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4.3. Pojištěni POHODA Bez povinností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O Kč</w:t>
      </w:r>
    </w:p>
    <w:p w:rsidR="004D52C9" w:rsidRDefault="00D27698">
      <w:pPr>
        <w:spacing w:before="72"/>
        <w:ind w:left="720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4.4. Pojištění Všech skel</w:t>
      </w:r>
    </w:p>
    <w:p w:rsidR="004D52C9" w:rsidRDefault="00D27698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Limit plnění: 12 000 Kč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1 800 Kč</w:t>
      </w:r>
    </w:p>
    <w:p w:rsidR="004D52C9" w:rsidRDefault="00D27698">
      <w:pPr>
        <w:spacing w:before="108"/>
        <w:ind w:left="720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4.5. Pojištění Poškození vozidla zvířetem</w:t>
      </w:r>
    </w:p>
    <w:p w:rsidR="004D52C9" w:rsidRDefault="00D27698">
      <w:pPr>
        <w:spacing w:line="266" w:lineRule="auto"/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Limit plnění: 30 000 Kč je určen na celé pojistné období bez ohledu na počet pojistných událostí</w:t>
      </w:r>
    </w:p>
    <w:p w:rsidR="004D52C9" w:rsidRDefault="00D27698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Spoluúčast: 1 000 Kč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80 Kč</w:t>
      </w:r>
    </w:p>
    <w:p w:rsidR="004D52C9" w:rsidRDefault="00D27698">
      <w:pPr>
        <w:spacing w:before="72"/>
        <w:ind w:left="720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4.6. Pojištění Asistence POHODA </w:t>
      </w:r>
      <w:proofErr w:type="spellStart"/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Special</w:t>
      </w:r>
      <w:proofErr w:type="spellEnd"/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0 Kč</w:t>
      </w:r>
    </w:p>
    <w:p w:rsidR="004D52C9" w:rsidRDefault="00D27698">
      <w:pPr>
        <w:spacing w:before="36" w:line="283" w:lineRule="auto"/>
        <w:ind w:left="720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4.7. Úrazově pojištění řidiče</w:t>
      </w:r>
    </w:p>
    <w:p w:rsidR="004D52C9" w:rsidRDefault="00D27698">
      <w:pPr>
        <w:tabs>
          <w:tab w:val="left" w:pos="2319"/>
          <w:tab w:val="right" w:pos="7733"/>
        </w:tabs>
        <w:spacing w:line="266" w:lineRule="auto"/>
        <w:ind w:left="720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Pojistná částka za: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smrt následkem úrazu: 100 000 Kč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trvalé následky úrazu: 200 000 Kč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0 Kč</w:t>
      </w:r>
    </w:p>
    <w:p w:rsidR="004D52C9" w:rsidRDefault="00D27698">
      <w:pPr>
        <w:spacing w:before="36" w:line="288" w:lineRule="auto"/>
        <w:ind w:left="720"/>
        <w:rPr>
          <w:rFonts w:ascii="Times New Roman" w:hAnsi="Times New Roman"/>
          <w:b/>
          <w:color w:val="000000"/>
          <w:spacing w:val="-9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9"/>
          <w:sz w:val="19"/>
          <w:lang w:val="cs-CZ"/>
        </w:rPr>
        <w:t>4.8. Úrazové pojištění — omezený rozsah</w:t>
      </w:r>
    </w:p>
    <w:p w:rsidR="004D52C9" w:rsidRDefault="00D27698">
      <w:pPr>
        <w:tabs>
          <w:tab w:val="left" w:pos="2319"/>
          <w:tab w:val="right" w:pos="7726"/>
        </w:tabs>
        <w:spacing w:line="264" w:lineRule="auto"/>
        <w:ind w:left="720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Pojistná částka za: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smrt následkem úrazu: 100 000 Kč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trvalé následky úrazu: 200 000 Kč</w:t>
      </w:r>
    </w:p>
    <w:p w:rsidR="004D52C9" w:rsidRDefault="00D27698">
      <w:pPr>
        <w:tabs>
          <w:tab w:val="right" w:pos="9821"/>
        </w:tabs>
        <w:ind w:left="72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0 Kč</w:t>
      </w:r>
    </w:p>
    <w:p w:rsidR="004D52C9" w:rsidRDefault="00D27698">
      <w:pPr>
        <w:numPr>
          <w:ilvl w:val="0"/>
          <w:numId w:val="1"/>
        </w:numPr>
        <w:tabs>
          <w:tab w:val="clear" w:pos="216"/>
          <w:tab w:val="decimal" w:pos="936"/>
        </w:tabs>
        <w:spacing w:before="72" w:line="292" w:lineRule="auto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 xml:space="preserve">Úpravy pojistného </w:t>
      </w:r>
      <w:r>
        <w:rPr>
          <w:rFonts w:ascii="Times New Roman" w:hAnsi="Times New Roman"/>
          <w:b/>
          <w:color w:val="000000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z w:val="19"/>
          <w:lang w:val="cs-CZ"/>
        </w:rPr>
        <w:t>zohlednění předchozího škodního průběhu</w:t>
      </w:r>
    </w:p>
    <w:p w:rsidR="004D52C9" w:rsidRDefault="00D27698">
      <w:pPr>
        <w:ind w:left="720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Přehled slev (včetně bonusů) / přirážek (včetně malusů) pro pojištění odpovědnosti za újmu způsobenou provozem vozidla</w:t>
      </w:r>
    </w:p>
    <w:p w:rsidR="004D52C9" w:rsidRDefault="00D27698">
      <w:pPr>
        <w:spacing w:line="216" w:lineRule="auto"/>
        <w:ind w:left="720"/>
        <w:rPr>
          <w:rFonts w:ascii="Times New Roman" w:hAnsi="Times New Roman"/>
          <w:color w:val="000000"/>
          <w:spacing w:val="1"/>
          <w:sz w:val="18"/>
          <w:u w:val="single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u w:val="single"/>
          <w:lang w:val="cs-CZ"/>
        </w:rPr>
        <w:t>(dále jen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POV) a havarijní pojištění vozidla (dále jen HAV) ke dni 7. 1. 2020 včetně přidaných zápočtů od jiných pojistitelů:</w:t>
      </w: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271"/>
        <w:gridCol w:w="1707"/>
        <w:gridCol w:w="1702"/>
        <w:gridCol w:w="1718"/>
      </w:tblGrid>
      <w:tr w:rsidR="004D52C9">
        <w:trPr>
          <w:trHeight w:hRule="exact" w:val="45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Pojištění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spacing w:before="36"/>
              <w:ind w:left="1692" w:right="36" w:firstLine="108"/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  <w:t xml:space="preserve">Počet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  <w:t>měsíců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spacing w:before="36"/>
              <w:ind w:left="648" w:right="72" w:hanging="252"/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 xml:space="preserve">Počet pojistných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cs-CZ"/>
              </w:rPr>
              <w:t>událostí (PIJ)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432" w:right="72" w:firstLine="324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Nepřetržitá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>doba v měsících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spacing w:before="36" w:line="175" w:lineRule="exact"/>
              <w:ind w:right="6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 / Malus</w:t>
            </w:r>
          </w:p>
          <w:p w:rsidR="004D52C9" w:rsidRDefault="00D27698">
            <w:pPr>
              <w:spacing w:before="72" w:line="200" w:lineRule="exact"/>
              <w:ind w:right="6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  <w:r>
              <w:rPr>
                <w:rFonts w:ascii="Times New Roman" w:hAnsi="Times New Roman"/>
                <w:b/>
                <w:color w:val="000000"/>
                <w:w w:val="60"/>
                <w:sz w:val="18"/>
                <w:vertAlign w:val="superscript"/>
                <w:lang w:val="cs-CZ"/>
              </w:rPr>
              <w:t>11</w:t>
            </w:r>
          </w:p>
        </w:tc>
      </w:tr>
      <w:tr w:rsidR="004D52C9">
        <w:trPr>
          <w:trHeight w:hRule="exact" w:val="22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POV celkem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</w:tr>
      <w:tr w:rsidR="004D52C9">
        <w:trPr>
          <w:trHeight w:hRule="exact" w:val="227"/>
        </w:trPr>
        <w:tc>
          <w:tcPr>
            <w:tcW w:w="20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pojistník dle ČKP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</w:tr>
      <w:tr w:rsidR="004D52C9">
        <w:trPr>
          <w:trHeight w:hRule="exact" w:val="22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 celkem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</w:tr>
      <w:tr w:rsidR="004D52C9">
        <w:trPr>
          <w:trHeight w:hRule="exact" w:val="248"/>
        </w:trPr>
        <w:tc>
          <w:tcPr>
            <w:tcW w:w="20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převod z POV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</w:tr>
    </w:tbl>
    <w:p w:rsidR="004D52C9" w:rsidRDefault="00D27698">
      <w:pPr>
        <w:spacing w:line="179" w:lineRule="exact"/>
        <w:ind w:left="79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Bonus — v tabulce uveden se znaménkem minus</w:t>
      </w:r>
    </w:p>
    <w:p w:rsidR="004D52C9" w:rsidRDefault="00D27698">
      <w:pPr>
        <w:numPr>
          <w:ilvl w:val="0"/>
          <w:numId w:val="2"/>
        </w:numPr>
        <w:tabs>
          <w:tab w:val="clear" w:pos="216"/>
          <w:tab w:val="decimal" w:pos="936"/>
        </w:tabs>
        <w:spacing w:before="72" w:line="209" w:lineRule="exact"/>
        <w:ind w:left="648" w:right="5976" w:firstLine="72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Přehled sjednaných pojištěni a způsob úhrady 6.1. Přehled sjednaných pojištění</w:t>
      </w: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1026"/>
        <w:gridCol w:w="738"/>
        <w:gridCol w:w="914"/>
        <w:gridCol w:w="764"/>
        <w:gridCol w:w="774"/>
        <w:gridCol w:w="741"/>
        <w:gridCol w:w="904"/>
        <w:gridCol w:w="1206"/>
      </w:tblGrid>
      <w:tr w:rsidR="004D52C9">
        <w:trPr>
          <w:trHeight w:hRule="exact" w:val="234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D52C9" w:rsidRDefault="00D27698">
            <w:pPr>
              <w:ind w:left="194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Sjednané pojištění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D52C9" w:rsidRDefault="00D27698" w:rsidP="0053486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Roční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pojistné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v K</w:t>
            </w:r>
            <w:r w:rsidR="00534868"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č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10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Obchodní sleva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116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Osobní sleva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10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malus'i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D52C9" w:rsidRDefault="00D2769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pojistné v Kč</w:t>
            </w:r>
          </w:p>
        </w:tc>
      </w:tr>
      <w:tr w:rsidR="004D52C9">
        <w:trPr>
          <w:trHeight w:hRule="exact" w:val="436"/>
        </w:trPr>
        <w:tc>
          <w:tcPr>
            <w:tcW w:w="241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/>
        </w:tc>
        <w:tc>
          <w:tcPr>
            <w:tcW w:w="102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122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10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vK</w:t>
            </w:r>
            <w:r w:rsidR="00534868"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č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12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116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vKč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130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10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120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/>
        </w:tc>
      </w:tr>
      <w:tr w:rsidR="004D52C9">
        <w:trPr>
          <w:trHeight w:hRule="exact" w:val="43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left="72" w:right="540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Pojištění Odpovědnosti z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provozu vozidla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6 746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20,0000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1 349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6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6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-2 968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2 429</w:t>
            </w:r>
          </w:p>
        </w:tc>
      </w:tr>
      <w:tr w:rsidR="004D52C9">
        <w:trPr>
          <w:trHeight w:hRule="exact" w:val="21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8"/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 xml:space="preserve">Havarijní pojištění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8"/>
                <w:lang w:val="cs-CZ"/>
              </w:rPr>
              <w:t>„All Risk"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22 293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2Q0000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4 459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6,0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535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-8 917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8 382</w:t>
            </w:r>
          </w:p>
        </w:tc>
      </w:tr>
      <w:tr w:rsidR="004D52C9">
        <w:trPr>
          <w:trHeight w:hRule="exact" w:val="42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left="72" w:right="576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 xml:space="preserve">Pojištění POHODA Bez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povinností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4D52C9">
        <w:trPr>
          <w:trHeight w:hRule="exact" w:val="21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Všech skel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</w:tr>
      <w:tr w:rsidR="004D52C9">
        <w:trPr>
          <w:trHeight w:hRule="exact" w:val="4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left="72" w:right="360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Pojištění Poškození vozidla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zvířetem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</w:tr>
      <w:tr w:rsidR="004D52C9">
        <w:trPr>
          <w:trHeight w:hRule="exact" w:val="4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left="72" w:right="180"/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 xml:space="preserve">Pojištění Asistence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 xml:space="preserve">POHODA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Special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</w:tr>
      <w:tr w:rsidR="004D52C9">
        <w:trPr>
          <w:trHeight w:hRule="exact" w:val="21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Úrazové pojištění řidiče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4D52C9">
        <w:trPr>
          <w:trHeight w:hRule="exact" w:val="4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left="72" w:right="252"/>
              <w:rPr>
                <w:rFonts w:ascii="Times New Roman" w:hAnsi="Times New Roman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sz w:val="18"/>
                <w:lang w:val="cs-CZ"/>
              </w:rPr>
              <w:t xml:space="preserve">Úrazové pojištění — omezený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rozsah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4D52C9">
        <w:trPr>
          <w:trHeight w:hRule="exact" w:val="21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Celkem v Kč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30 919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5 808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535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C9" w:rsidRDefault="004D52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6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-11 885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12 691</w:t>
            </w:r>
          </w:p>
        </w:tc>
      </w:tr>
      <w:tr w:rsidR="004D52C9">
        <w:trPr>
          <w:trHeight w:hRule="exact" w:val="230"/>
        </w:trPr>
        <w:tc>
          <w:tcPr>
            <w:tcW w:w="8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left="68"/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  <w:t>Celkem pojistné za pojistnou smlouvu upravené na dělitelnost počtem splátek v Kč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C9" w:rsidRDefault="00D27698">
            <w:pPr>
              <w:ind w:right="72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12 691</w:t>
            </w:r>
          </w:p>
        </w:tc>
      </w:tr>
    </w:tbl>
    <w:p w:rsidR="004D52C9" w:rsidRDefault="00D27698">
      <w:pPr>
        <w:spacing w:line="213" w:lineRule="auto"/>
        <w:ind w:left="648"/>
        <w:rPr>
          <w:rFonts w:ascii="Times New Roman" w:hAnsi="Times New Roman"/>
          <w:color w:val="000000"/>
          <w:spacing w:val="-2"/>
          <w:sz w:val="10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2"/>
          <w:sz w:val="10"/>
          <w:vertAlign w:val="superscript"/>
          <w:lang w:val="cs-CZ"/>
        </w:rPr>
        <w:t>1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) Bonus — v tabulce uveden se znaménkem minus</w:t>
      </w:r>
    </w:p>
    <w:p w:rsidR="004D52C9" w:rsidRDefault="00D27698">
      <w:pPr>
        <w:spacing w:after="1116" w:line="273" w:lineRule="auto"/>
        <w:ind w:left="648"/>
        <w:rPr>
          <w:rFonts w:ascii="Times New Roman" w:hAnsi="Times New Roman"/>
          <w:color w:val="000000"/>
          <w:spacing w:val="1"/>
          <w:sz w:val="10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1"/>
          <w:sz w:val="10"/>
          <w:vertAlign w:val="superscript"/>
          <w:lang w:val="cs-CZ"/>
        </w:rPr>
        <w:t>2)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v pojistném u některých pojištění je již zohledněna sleva za frekvenci placení</w:t>
      </w:r>
      <w:bookmarkStart w:id="0" w:name="_GoBack"/>
      <w:bookmarkEnd w:id="0"/>
    </w:p>
    <w:sectPr w:rsidR="004D52C9">
      <w:pgSz w:w="11918" w:h="16854"/>
      <w:pgMar w:top="1562" w:right="525" w:bottom="16" w:left="8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E28"/>
    <w:multiLevelType w:val="multilevel"/>
    <w:tmpl w:val="913C12A2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723F9"/>
    <w:multiLevelType w:val="multilevel"/>
    <w:tmpl w:val="8620FF2E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C9"/>
    <w:rsid w:val="004D52C9"/>
    <w:rsid w:val="00534868"/>
    <w:rsid w:val="00D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7F9A15"/>
  <w15:docId w15:val="{7CB8DE17-C7FE-4CEB-8BCC-2B225C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2020-01-07T10:59:00Z</dcterms:created>
  <dcterms:modified xsi:type="dcterms:W3CDTF">2020-01-07T11:26:00Z</dcterms:modified>
</cp:coreProperties>
</file>