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14386"/>
        <w:gridCol w:w="154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4386" w:type="dxa"/>
            <w:tcBorders>
              <w:top w:val="single" w:sz="4" w:space="0" w:color="auto"/>
            </w:tcBorders>
            <w:shd w:val="clear" w:color="auto" w:fill="5A9BD5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FFFFFF"/>
                <w:sz w:val="50"/>
                <w:szCs w:val="50"/>
              </w:rPr>
              <w:t xml:space="preserve">Úvodní list s instrukcemi </w:t>
            </w:r>
            <w:r>
              <w:rPr>
                <w:rFonts w:ascii="Arial" w:eastAsia="Arial" w:hAnsi="Arial" w:cs="Arial"/>
                <w:i w:val="0"/>
                <w:iCs w:val="0"/>
                <w:color w:val="FFFFFF"/>
                <w:sz w:val="28"/>
                <w:szCs w:val="28"/>
              </w:rPr>
              <w:t>(tento úvodní list se nepřikládá k návrhu projektu)</w:t>
            </w: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01"/>
          <w:jc w:val="center"/>
        </w:trPr>
        <w:tc>
          <w:tcPr>
            <w:tcW w:w="1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spacing w:after="120"/>
              <w:rPr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Funkce tabulky</w:t>
            </w:r>
          </w:p>
          <w:p w:rsidR="00092AB3" w:rsidRDefault="00F2165F">
            <w:pPr>
              <w:pStyle w:val="Jin0"/>
              <w:shd w:val="clear" w:color="auto" w:fill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i w:val="0"/>
                <w:i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možnost výběru podprogramu;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74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6.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upozornění na nesoulad mezi podporou MŠMT a uznanými náklady;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automatické přenesení do koncového listu (do tohoto listu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nelze zasahovat);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74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7.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v případě vyšších uznaných nákladů je nutné vyplnit další zdroje financování;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3.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uzamčení buňek a tím pádem zabránění výskytu nesourodých údajů;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74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8.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možností výběru nepřímých nákladů;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4.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upozornění na překročení 10% u subdodávek (svítí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šedě);</w:t>
            </w:r>
          </w:p>
          <w:p w:rsidR="00092AB3" w:rsidRDefault="00F2165F">
            <w:pPr>
              <w:pStyle w:val="Jin0"/>
              <w:shd w:val="clear" w:color="auto" w:fill="auto"/>
              <w:spacing w:line="180" w:lineRule="auto"/>
              <w:ind w:left="74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9.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nepřímé náklady se automaticky zaokrouhlují dolů.</w:t>
            </w:r>
          </w:p>
          <w:p w:rsidR="00092AB3" w:rsidRDefault="00F2165F">
            <w:pPr>
              <w:pStyle w:val="Jin0"/>
              <w:shd w:val="clear" w:color="auto" w:fill="auto"/>
              <w:spacing w:after="120" w:line="18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nastavení oblasti tisku;</w:t>
            </w:r>
          </w:p>
          <w:p w:rsidR="00092AB3" w:rsidRDefault="00F2165F">
            <w:pPr>
              <w:pStyle w:val="Jin0"/>
              <w:shd w:val="clear" w:color="auto" w:fill="auto"/>
              <w:spacing w:after="80"/>
              <w:rPr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Pokyny pro vyplňování</w:t>
            </w:r>
          </w:p>
          <w:p w:rsidR="00092AB3" w:rsidRDefault="00F2165F">
            <w:pPr>
              <w:pStyle w:val="Jin0"/>
              <w:shd w:val="clear" w:color="auto" w:fill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na listu "Příjemce podpory" doplňte název příjemce a název projektu, dále vyberte z rozbalovacího seznamu příslušný podprogram;</w:t>
            </w:r>
          </w:p>
          <w:p w:rsidR="00092AB3" w:rsidRDefault="00F2165F">
            <w:pPr>
              <w:pStyle w:val="Jin0"/>
              <w:shd w:val="clear" w:color="auto" w:fill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vyplňujte do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příslušných políček u jednotlivých položek pouze číselné hodnoty (celá čísla) - některá pole jsou zautomatizovaná a nejsou Vám zpřístupněna;</w:t>
            </w:r>
          </w:p>
          <w:p w:rsidR="00092AB3" w:rsidRDefault="00F2165F">
            <w:pPr>
              <w:pStyle w:val="Jin0"/>
              <w:shd w:val="clear" w:color="auto" w:fill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3.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v případě zapojení více účastníků do projektu, vyplňujte pro každý subjekt zvláštní list (další účastník projek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tu...);</w:t>
            </w:r>
          </w:p>
          <w:p w:rsidR="00092AB3" w:rsidRDefault="00F2165F">
            <w:pPr>
              <w:pStyle w:val="Jin0"/>
              <w:shd w:val="clear" w:color="auto" w:fill="auto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4. 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list "Finance za projekt" není určený k vyplňování, zkontrolujte prosím, zda souhlasí celkové součty za všechny účastníky projektu;</w:t>
            </w:r>
          </w:p>
          <w:p w:rsidR="00092AB3" w:rsidRDefault="00F2165F">
            <w:pPr>
              <w:pStyle w:val="Jin0"/>
              <w:shd w:val="clear" w:color="auto" w:fill="auto"/>
              <w:spacing w:after="40"/>
              <w:ind w:left="240"/>
              <w:jc w:val="left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5. položka "Členský poplatek" se týká pouze podprogramu INTER-TRANSFER - u ostatních podprogramů se tato položka </w:t>
            </w:r>
            <w:r>
              <w:rPr>
                <w:i w:val="0"/>
                <w:iCs w:val="0"/>
                <w:sz w:val="20"/>
                <w:szCs w:val="20"/>
              </w:rPr>
              <w:t>nevyplňuje.</w:t>
            </w:r>
          </w:p>
        </w:tc>
      </w:tr>
    </w:tbl>
    <w:p w:rsidR="00092AB3" w:rsidRDefault="00092AB3">
      <w:pPr>
        <w:sectPr w:rsidR="00092AB3">
          <w:pgSz w:w="16840" w:h="11900" w:orient="landscape"/>
          <w:pgMar w:top="1596" w:right="1057" w:bottom="1353" w:left="352" w:header="0" w:footer="3" w:gutter="0"/>
          <w:cols w:space="720"/>
          <w:noEndnote/>
          <w:docGrid w:linePitch="360"/>
        </w:sectPr>
      </w:pPr>
    </w:p>
    <w:p w:rsidR="00092AB3" w:rsidRDefault="00F2165F">
      <w:pPr>
        <w:pStyle w:val="Zkladntext1"/>
        <w:shd w:val="clear" w:color="auto" w:fill="auto"/>
        <w:ind w:left="640"/>
      </w:pPr>
      <w:r>
        <w:lastRenderedPageBreak/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7633335</wp:posOffset>
            </wp:positionH>
            <wp:positionV relativeFrom="margin">
              <wp:posOffset>0</wp:posOffset>
            </wp:positionV>
            <wp:extent cx="3060065" cy="8045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0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 xml:space="preserve">z toho podpora MŠMT (v tis. </w:t>
            </w:r>
            <w:r>
              <w:t>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t>z toho podpora MŠMT (v tis. 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1 627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1 627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210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340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25.0%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173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542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867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967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767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2 719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2 719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118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867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967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767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2 719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Neveřejné 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118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867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967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767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2 719</w:t>
            </w:r>
          </w:p>
        </w:tc>
      </w:tr>
    </w:tbl>
    <w:p w:rsidR="00092AB3" w:rsidRDefault="00F2165F">
      <w:pPr>
        <w:spacing w:line="1" w:lineRule="exact"/>
        <w:rPr>
          <w:sz w:val="2"/>
          <w:szCs w:val="2"/>
        </w:rPr>
      </w:pPr>
      <w:r>
        <w:br w:type="page"/>
      </w:r>
    </w:p>
    <w:p w:rsidR="00092AB3" w:rsidRDefault="00F2165F">
      <w:pPr>
        <w:pStyle w:val="Zkladntext1"/>
        <w:shd w:val="clear" w:color="auto" w:fill="auto"/>
        <w:ind w:left="640"/>
      </w:pPr>
      <w:r>
        <w:lastRenderedPageBreak/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7633335</wp:posOffset>
            </wp:positionH>
            <wp:positionV relativeFrom="margin">
              <wp:posOffset>0</wp:posOffset>
            </wp:positionV>
            <wp:extent cx="3060065" cy="80454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1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 xml:space="preserve">z toho </w:t>
            </w:r>
            <w:r>
              <w:t>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t>z toho podpora MŠMT (v tis.</w:t>
            </w:r>
            <w:r>
              <w:t xml:space="preserve"> 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2 217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2 217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210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420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25.0%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711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1 225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1 225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975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3 558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3 558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158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1 225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1 200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975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3 558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 xml:space="preserve">Ostatní </w:t>
            </w: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158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1 225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1 200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975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3 558</w:t>
            </w:r>
          </w:p>
        </w:tc>
      </w:tr>
    </w:tbl>
    <w:p w:rsidR="00092AB3" w:rsidRDefault="00092AB3">
      <w:pPr>
        <w:spacing w:line="14" w:lineRule="exact"/>
        <w:sectPr w:rsidR="00092AB3">
          <w:headerReference w:type="default" r:id="rId8"/>
          <w:headerReference w:type="first" r:id="rId9"/>
          <w:pgSz w:w="16840" w:h="11900" w:orient="landscape"/>
          <w:pgMar w:top="1596" w:right="1057" w:bottom="1353" w:left="352" w:header="0" w:footer="3" w:gutter="0"/>
          <w:cols w:space="720"/>
          <w:noEndnote/>
          <w:titlePg/>
          <w:docGrid w:linePitch="360"/>
        </w:sectPr>
      </w:pPr>
    </w:p>
    <w:p w:rsidR="00092AB3" w:rsidRDefault="00F2165F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7632700</wp:posOffset>
            </wp:positionH>
            <wp:positionV relativeFrom="paragraph">
              <wp:posOffset>203200</wp:posOffset>
            </wp:positionV>
            <wp:extent cx="3060065" cy="80454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bookmark2"/>
      <w:r>
        <w:t xml:space="preserve">Tabulka uznaných nákladů </w:t>
      </w:r>
      <w:r>
        <w:rPr>
          <w:i/>
          <w:iCs/>
        </w:rPr>
        <w:t>Plemdat, s.r.o</w:t>
      </w:r>
      <w:bookmarkEnd w:id="3"/>
    </w:p>
    <w:p w:rsidR="00092AB3" w:rsidRDefault="00F2165F">
      <w:pPr>
        <w:pStyle w:val="Zkladntext1"/>
        <w:shd w:val="clear" w:color="auto" w:fill="auto"/>
        <w:ind w:left="640"/>
      </w:pPr>
      <w:r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  <w:spacing w:after="420"/>
      </w:pPr>
      <w:bookmarkStart w:id="4" w:name="bookmark3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 xml:space="preserve">z toho podpora </w:t>
            </w:r>
            <w:r>
              <w:t>MŠMT (v tis. 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60"/>
              <w:jc w:val="both"/>
            </w:pPr>
            <w:r>
              <w:t>z toho podpora MŠMT (v tis.Kč)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2 276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1 138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149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125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20.0%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282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552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1 080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540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1 056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528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3 388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1 694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552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540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528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1 694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552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540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528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1 694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148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1 104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1 080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1 056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3 388</w:t>
            </w:r>
          </w:p>
        </w:tc>
      </w:tr>
    </w:tbl>
    <w:p w:rsidR="00092AB3" w:rsidRDefault="00092AB3">
      <w:pPr>
        <w:spacing w:line="14" w:lineRule="exact"/>
        <w:sectPr w:rsidR="00092AB3">
          <w:pgSz w:w="16840" w:h="11900" w:orient="landscape"/>
          <w:pgMar w:top="1392" w:right="1057" w:bottom="1014" w:left="351" w:header="0" w:footer="3" w:gutter="0"/>
          <w:cols w:space="720"/>
          <w:noEndnote/>
          <w:docGrid w:linePitch="360"/>
        </w:sectPr>
      </w:pPr>
    </w:p>
    <w:p w:rsidR="00092AB3" w:rsidRDefault="00F2165F">
      <w:pPr>
        <w:pStyle w:val="Zkladntext1"/>
        <w:shd w:val="clear" w:color="auto" w:fill="auto"/>
        <w:ind w:left="640"/>
      </w:pPr>
      <w:r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7632700</wp:posOffset>
            </wp:positionH>
            <wp:positionV relativeFrom="margin">
              <wp:posOffset>-277495</wp:posOffset>
            </wp:positionV>
            <wp:extent cx="3060065" cy="80454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bookmark5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</w:t>
            </w:r>
            <w:r>
              <w:t xml:space="preserve">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60"/>
              <w:jc w:val="both"/>
            </w:pPr>
            <w:r>
              <w:t>z toho podpora MŠMT (v tis.Kč)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25.0%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</w:tbl>
    <w:p w:rsidR="00092AB3" w:rsidRDefault="00F2165F">
      <w:pPr>
        <w:spacing w:line="1" w:lineRule="exact"/>
        <w:rPr>
          <w:sz w:val="2"/>
          <w:szCs w:val="2"/>
        </w:rPr>
      </w:pPr>
      <w:r>
        <w:br w:type="page"/>
      </w:r>
    </w:p>
    <w:p w:rsidR="00092AB3" w:rsidRDefault="00F2165F">
      <w:pPr>
        <w:pStyle w:val="Zkladntext1"/>
        <w:shd w:val="clear" w:color="auto" w:fill="auto"/>
        <w:ind w:left="640"/>
      </w:pPr>
      <w:r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7632700</wp:posOffset>
            </wp:positionH>
            <wp:positionV relativeFrom="margin">
              <wp:posOffset>-277495</wp:posOffset>
            </wp:positionV>
            <wp:extent cx="3060065" cy="80454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6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60"/>
              <w:jc w:val="both"/>
            </w:pPr>
            <w:r>
              <w:t>z toho podpora MŠMT (v tis.Kč)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25.0%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</w:tbl>
    <w:p w:rsidR="00092AB3" w:rsidRDefault="00F2165F">
      <w:pPr>
        <w:spacing w:line="1" w:lineRule="exact"/>
        <w:rPr>
          <w:sz w:val="2"/>
          <w:szCs w:val="2"/>
        </w:rPr>
      </w:pPr>
      <w:r>
        <w:br w:type="page"/>
      </w:r>
    </w:p>
    <w:p w:rsidR="00092AB3" w:rsidRDefault="00F2165F">
      <w:pPr>
        <w:pStyle w:val="Zkladntext1"/>
        <w:shd w:val="clear" w:color="auto" w:fill="auto"/>
        <w:ind w:left="640"/>
      </w:pPr>
      <w:r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7632700</wp:posOffset>
            </wp:positionH>
            <wp:positionV relativeFrom="margin">
              <wp:posOffset>-277495</wp:posOffset>
            </wp:positionV>
            <wp:extent cx="3060065" cy="80454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bookmark7"/>
      <w:r>
        <w:rPr>
          <w:b w:val="0"/>
          <w:bCs w:val="0"/>
        </w:rPr>
        <w:t xml:space="preserve">Název projektu: </w:t>
      </w:r>
      <w:r>
        <w:t>Ověřování genomických postupů v malých populacích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</w:t>
            </w:r>
            <w:r>
              <w:t xml:space="preserve">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60"/>
              <w:jc w:val="both"/>
            </w:pPr>
            <w:r>
              <w:t>z toho podpora MŠMT (v tis.Kč)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Subdodávky 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Nepřímé náklady </w:t>
            </w:r>
            <w:r>
              <w:rPr>
                <w:sz w:val="18"/>
                <w:szCs w:val="18"/>
              </w:rPr>
              <w:t>25.0%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</w:tbl>
    <w:p w:rsidR="00092AB3" w:rsidRDefault="00092AB3">
      <w:pPr>
        <w:sectPr w:rsidR="00092AB3">
          <w:headerReference w:type="even" r:id="rId10"/>
          <w:headerReference w:type="default" r:id="rId11"/>
          <w:headerReference w:type="first" r:id="rId12"/>
          <w:pgSz w:w="16840" w:h="11900" w:orient="landscape"/>
          <w:pgMar w:top="2170" w:right="1057" w:bottom="1215" w:left="351" w:header="0" w:footer="3" w:gutter="0"/>
          <w:pgNumType w:start="3"/>
          <w:cols w:space="720"/>
          <w:noEndnote/>
          <w:docGrid w:linePitch="360"/>
        </w:sectPr>
      </w:pPr>
    </w:p>
    <w:p w:rsidR="00092AB3" w:rsidRDefault="00F2165F">
      <w:pPr>
        <w:pStyle w:val="Zkladntext1"/>
        <w:shd w:val="clear" w:color="auto" w:fill="auto"/>
        <w:ind w:left="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margin">
                  <wp:posOffset>-524510</wp:posOffset>
                </wp:positionV>
                <wp:extent cx="3544570" cy="3079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2AB3" w:rsidRDefault="00F2165F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4"/>
                            <w:r>
                              <w:t>Tabulka uznaných nákladů za projekt</w:t>
                            </w:r>
                            <w:bookmarkEnd w:id="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left:0;text-align:left;margin-left:19.95pt;margin-top:-41.3pt;width:279.1pt;height:24.2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" filled="f" stroked="f">
                <v:textbox style="mso-fit-shape-to-text:t" inset="0,0,0,0">
                  <w:txbxContent>
                    <w:p w:rsidR="00092AB3" w:rsidRDefault="00F2165F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>
                        <w:t>Tabulka uznaných nákladů za projekt</w:t>
                      </w:r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Program: </w:t>
      </w:r>
      <w:r>
        <w:rPr>
          <w:b/>
          <w:bCs/>
          <w:sz w:val="24"/>
          <w:szCs w:val="24"/>
        </w:rPr>
        <w:t xml:space="preserve">INTER-EXCELLENCE </w:t>
      </w:r>
      <w:r>
        <w:t xml:space="preserve">Podprogram: </w:t>
      </w:r>
      <w:r>
        <w:rPr>
          <w:b/>
          <w:bCs/>
        </w:rPr>
        <w:t>INTER-ACTION</w:t>
      </w:r>
    </w:p>
    <w:p w:rsidR="00092AB3" w:rsidRDefault="00F2165F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7632700</wp:posOffset>
            </wp:positionH>
            <wp:positionV relativeFrom="margin">
              <wp:posOffset>-277495</wp:posOffset>
            </wp:positionV>
            <wp:extent cx="3060065" cy="804545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bookmark8"/>
      <w:r>
        <w:rPr>
          <w:b w:val="0"/>
          <w:bCs w:val="0"/>
        </w:rPr>
        <w:t xml:space="preserve">Název projektu: </w:t>
      </w:r>
      <w:r>
        <w:t xml:space="preserve">Ověřování genomických </w:t>
      </w:r>
      <w:r>
        <w:t>postupů v malých populacích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286"/>
        <w:gridCol w:w="1339"/>
        <w:gridCol w:w="1286"/>
        <w:gridCol w:w="1291"/>
        <w:gridCol w:w="1286"/>
        <w:gridCol w:w="1291"/>
        <w:gridCol w:w="1286"/>
        <w:gridCol w:w="1291"/>
        <w:gridCol w:w="1320"/>
        <w:gridCol w:w="1349"/>
      </w:tblGrid>
      <w:tr w:rsidR="00092AB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1035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Náklady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2AB3" w:rsidRDefault="00092AB3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 Kč)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 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 xml:space="preserve">Uznané </w:t>
            </w:r>
            <w:r>
              <w:rPr>
                <w:b w:val="0"/>
                <w:bCs w:val="0"/>
              </w:rPr>
              <w:t>náklady (v tis.Kč)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jc w:val="both"/>
            </w:pPr>
            <w:r>
              <w:t>z toho podpora MŠMT (v tis.Kč)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</w:pPr>
            <w:r>
              <w:rPr>
                <w:b w:val="0"/>
                <w:bCs w:val="0"/>
              </w:rPr>
              <w:t>Uznané náklady (v tis.Kč)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spacing w:line="262" w:lineRule="auto"/>
              <w:ind w:right="160"/>
              <w:jc w:val="both"/>
            </w:pPr>
            <w:r>
              <w:t>z toho podpora MŠMT (v tis.Kč)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Osobní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1 914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1 564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1 934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1 574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1 954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1 584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6 120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4 982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Ostatní zboží a služby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569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Subdodávky </w:t>
            </w:r>
            <w:r>
              <w:rPr>
                <w:i w:val="0"/>
                <w:iCs w:val="0"/>
                <w:sz w:val="18"/>
                <w:szCs w:val="18"/>
              </w:rPr>
              <w:t>(max. 10%)*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Členský poplatek*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Odpisy DHM a DNM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Cestovné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1 010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885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Nepřímé náklady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523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436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1 817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1 535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Náklady celkem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3 196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2 644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3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2 707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2 798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9 665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7 971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2AB3" w:rsidRDefault="00092AB3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F2165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AB3" w:rsidRDefault="00092AB3"/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Podpora MŠMT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350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2 644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2 707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color w:val="4472C4"/>
                <w:sz w:val="22"/>
                <w:szCs w:val="22"/>
              </w:rPr>
              <w:t>2 270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7 971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Ostatní 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 w:val="0"/>
                <w:bCs w:val="0"/>
                <w:i w:val="0"/>
                <w:iCs w:val="0"/>
                <w:sz w:val="18"/>
                <w:szCs w:val="18"/>
              </w:rPr>
              <w:t>Neveřejné zdroje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552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540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528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1 694</w:t>
            </w:r>
          </w:p>
        </w:tc>
      </w:tr>
      <w:tr w:rsidR="00092AB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Zdroje celkem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424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3 196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3 247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2 798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AB3" w:rsidRDefault="00F2165F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color w:val="4472C4"/>
                <w:sz w:val="22"/>
                <w:szCs w:val="22"/>
              </w:rPr>
              <w:t>9 665</w:t>
            </w:r>
          </w:p>
        </w:tc>
      </w:tr>
    </w:tbl>
    <w:p w:rsidR="00092AB3" w:rsidRDefault="00092AB3">
      <w:pPr>
        <w:spacing w:line="14" w:lineRule="exact"/>
      </w:pPr>
    </w:p>
    <w:sectPr w:rsidR="00092AB3">
      <w:headerReference w:type="even" r:id="rId13"/>
      <w:headerReference w:type="default" r:id="rId14"/>
      <w:pgSz w:w="16840" w:h="11900" w:orient="landscape"/>
      <w:pgMar w:top="2170" w:right="1057" w:bottom="1215" w:left="351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165F">
      <w:r>
        <w:separator/>
      </w:r>
    </w:p>
  </w:endnote>
  <w:endnote w:type="continuationSeparator" w:id="0">
    <w:p w:rsidR="00000000" w:rsidRDefault="00F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B3" w:rsidRDefault="00092AB3"/>
  </w:footnote>
  <w:footnote w:type="continuationSeparator" w:id="0">
    <w:p w:rsidR="00092AB3" w:rsidRDefault="00092A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F2165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848360</wp:posOffset>
              </wp:positionV>
              <wp:extent cx="5020310" cy="1765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AB3" w:rsidRDefault="00F2165F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Tabulka uznaných nákladů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Výzkumný ústav živočišné výroby, v.v.i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3.2pt;margin-top:66.8pt;width:395.3pt;height:1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" filled="f" stroked="f">
              <v:textbox style="mso-fit-shape-to-text:t" inset="0,0,0,0">
                <w:txbxContent>
                  <w:p w:rsidR="00092AB3" w:rsidRDefault="00F2165F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Tabulka uznaných nákladů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Výzkumný ústav živočišné výroby, v.v.i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F2165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848360</wp:posOffset>
              </wp:positionV>
              <wp:extent cx="4861560" cy="1765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156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AB3" w:rsidRDefault="00F2165F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Tabulka uznaných nákladů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Česká zemědělská univerzita v Praze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3.2pt;margin-top:66.8pt;width:382.8pt;height:13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" filled="f" stroked="f">
              <v:textbox style="mso-fit-shape-to-text:t" inset="0,0,0,0">
                <w:txbxContent>
                  <w:p w:rsidR="00092AB3" w:rsidRDefault="00F2165F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Tabulka uznaných nákladů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Česká zemědělská univerzita v Praze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F2165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935990</wp:posOffset>
              </wp:positionV>
              <wp:extent cx="4998720" cy="1765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AB3" w:rsidRDefault="00F2165F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Tabulka uznaných nákladů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(Doplňte dalšího účastníka projektu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165F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3.15pt;margin-top:73.7pt;width:393.6pt;height:13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" filled="f" stroked="f">
              <v:textbox style="mso-fit-shape-to-text:t" inset="0,0,0,0">
                <w:txbxContent>
                  <w:p w:rsidR="00092AB3" w:rsidRDefault="00F2165F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Tabulka uznaných nákladů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(Doplňte dalšího účastníka projektu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165F"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F2165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935990</wp:posOffset>
              </wp:positionV>
              <wp:extent cx="4998720" cy="1765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AB3" w:rsidRDefault="00F2165F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Tabulka uznaných nákladů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(Doplňte dalšího účastníka projektu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165F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33.15pt;margin-top:73.7pt;width:393.6pt;height:13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" filled="f" stroked="f">
              <v:textbox style="mso-fit-shape-to-text:t" inset="0,0,0,0">
                <w:txbxContent>
                  <w:p w:rsidR="00092AB3" w:rsidRDefault="00F2165F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Tabulka uznaných nákladů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(Doplňte dalšího účastníka projektu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165F"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092AB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092AB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B3" w:rsidRDefault="00092A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2AB3"/>
    <w:rsid w:val="00092AB3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0"/>
      <w:ind w:left="9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ind w:left="30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0"/>
      <w:ind w:left="9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ind w:left="30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7122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Nemcova Dana</cp:lastModifiedBy>
  <cp:revision>2</cp:revision>
  <dcterms:created xsi:type="dcterms:W3CDTF">2020-01-03T08:55:00Z</dcterms:created>
  <dcterms:modified xsi:type="dcterms:W3CDTF">2020-01-03T08:55:00Z</dcterms:modified>
</cp:coreProperties>
</file>