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8F" w:rsidRPr="00D44D8F" w:rsidRDefault="00D44D8F" w:rsidP="00D44D8F">
      <w:pPr>
        <w:pStyle w:val="Zkladntext21"/>
        <w:rPr>
          <w:rFonts w:asciiTheme="minorHAnsi" w:hAnsiTheme="minorHAnsi" w:cs="Arial"/>
          <w:b/>
          <w:bCs/>
          <w:sz w:val="22"/>
          <w:szCs w:val="22"/>
        </w:rPr>
      </w:pPr>
      <w:r w:rsidRPr="00D44D8F">
        <w:rPr>
          <w:rFonts w:asciiTheme="minorHAnsi" w:hAnsiTheme="minorHAnsi" w:cs="Arial"/>
          <w:b/>
          <w:bCs/>
          <w:sz w:val="22"/>
          <w:szCs w:val="22"/>
        </w:rPr>
        <w:t xml:space="preserve">Národní památkový ústav, </w:t>
      </w:r>
      <w:r w:rsidRPr="00D05E97">
        <w:rPr>
          <w:rFonts w:asciiTheme="minorHAnsi" w:hAnsiTheme="minorHAnsi" w:cs="Arial"/>
          <w:bCs/>
          <w:sz w:val="22"/>
          <w:szCs w:val="22"/>
        </w:rPr>
        <w:t>státní příspěvková organizace</w:t>
      </w:r>
    </w:p>
    <w:p w:rsidR="00D44D8F" w:rsidRPr="00D44D8F" w:rsidRDefault="00D44D8F" w:rsidP="00D44D8F">
      <w:pPr>
        <w:pStyle w:val="Zkladntext21"/>
        <w:rPr>
          <w:rFonts w:asciiTheme="minorHAnsi" w:hAnsiTheme="minorHAnsi" w:cs="Arial"/>
          <w:bCs/>
          <w:sz w:val="22"/>
          <w:szCs w:val="22"/>
        </w:rPr>
      </w:pPr>
      <w:r w:rsidRPr="00D44D8F">
        <w:rPr>
          <w:rFonts w:asciiTheme="minorHAnsi" w:hAnsiTheme="minorHAnsi" w:cs="Arial"/>
          <w:bCs/>
          <w:sz w:val="22"/>
          <w:szCs w:val="22"/>
        </w:rPr>
        <w:t>IČ: 75032333   DIČ: CZ75032333</w:t>
      </w:r>
    </w:p>
    <w:p w:rsidR="00D44D8F" w:rsidRPr="00D44D8F" w:rsidRDefault="00D44D8F" w:rsidP="00D44D8F">
      <w:pPr>
        <w:pStyle w:val="Zkladntext21"/>
        <w:rPr>
          <w:rFonts w:asciiTheme="minorHAnsi" w:hAnsiTheme="minorHAnsi" w:cs="Arial"/>
          <w:bCs/>
          <w:sz w:val="22"/>
          <w:szCs w:val="22"/>
        </w:rPr>
      </w:pPr>
      <w:r w:rsidRPr="00D44D8F">
        <w:rPr>
          <w:rFonts w:asciiTheme="minorHAnsi" w:hAnsiTheme="minorHAnsi" w:cs="Arial"/>
          <w:bCs/>
          <w:sz w:val="22"/>
          <w:szCs w:val="22"/>
        </w:rPr>
        <w:t>se sídlem Valdštejnské náměstí  162/3, 118 01 Praha 1 - Malá Strana</w:t>
      </w:r>
    </w:p>
    <w:p w:rsidR="00D05E97" w:rsidRPr="00D44D8F" w:rsidRDefault="00D05E97" w:rsidP="00D05E97">
      <w:pPr>
        <w:pStyle w:val="Zkladntext2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zastoupen: </w:t>
      </w:r>
      <w:r w:rsidR="00F21CD2">
        <w:rPr>
          <w:rFonts w:asciiTheme="minorHAnsi" w:hAnsiTheme="minorHAnsi" w:cs="Arial"/>
          <w:b/>
          <w:bCs/>
          <w:sz w:val="22"/>
          <w:szCs w:val="22"/>
        </w:rPr>
        <w:t>xxxxxxxxxxxxxxxxxxxxxxxxx</w:t>
      </w:r>
    </w:p>
    <w:p w:rsidR="00D05E97" w:rsidRPr="00D44D8F" w:rsidRDefault="00D05E97" w:rsidP="00D05E97">
      <w:pPr>
        <w:pStyle w:val="Zkladntext21"/>
        <w:rPr>
          <w:rFonts w:asciiTheme="minorHAnsi" w:hAnsiTheme="minorHAnsi" w:cs="Arial"/>
          <w:bCs/>
          <w:sz w:val="22"/>
          <w:szCs w:val="22"/>
        </w:rPr>
      </w:pPr>
      <w:r w:rsidRPr="00D44D8F">
        <w:rPr>
          <w:rFonts w:asciiTheme="minorHAnsi" w:hAnsiTheme="minorHAnsi" w:cs="Arial"/>
          <w:bCs/>
          <w:sz w:val="22"/>
          <w:szCs w:val="22"/>
        </w:rPr>
        <w:t>Bankovní spojení: Česká národní banka, Na Příkopě 28, 115 03 Praha</w:t>
      </w:r>
    </w:p>
    <w:p w:rsidR="00D05E97" w:rsidRPr="00D44D8F" w:rsidRDefault="00D05E97" w:rsidP="00D05E97">
      <w:pPr>
        <w:pStyle w:val="Zkladntext21"/>
        <w:rPr>
          <w:rFonts w:asciiTheme="minorHAnsi" w:hAnsiTheme="minorHAnsi" w:cs="Arial"/>
          <w:bCs/>
          <w:sz w:val="22"/>
          <w:szCs w:val="22"/>
        </w:rPr>
      </w:pPr>
      <w:r w:rsidRPr="00D44D8F">
        <w:rPr>
          <w:rFonts w:asciiTheme="minorHAnsi" w:hAnsiTheme="minorHAnsi" w:cs="Arial"/>
          <w:bCs/>
          <w:sz w:val="22"/>
          <w:szCs w:val="22"/>
        </w:rPr>
        <w:t>Č. účtu: 500005-60039011/0710</w:t>
      </w:r>
    </w:p>
    <w:p w:rsidR="00D05E97" w:rsidRDefault="00D05E97" w:rsidP="00D44D8F">
      <w:pPr>
        <w:pStyle w:val="Zkladntext21"/>
        <w:rPr>
          <w:rFonts w:asciiTheme="minorHAnsi" w:hAnsiTheme="minorHAnsi" w:cs="Arial"/>
          <w:sz w:val="22"/>
          <w:szCs w:val="22"/>
        </w:rPr>
      </w:pPr>
    </w:p>
    <w:p w:rsidR="00D05E97" w:rsidRDefault="00D05E97" w:rsidP="00D44D8F">
      <w:pPr>
        <w:pStyle w:val="Zkladntext2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Doručovací adresa:</w:t>
      </w:r>
    </w:p>
    <w:p w:rsidR="00D05E97" w:rsidRPr="00D05E97" w:rsidRDefault="00D05E97" w:rsidP="00D44D8F">
      <w:pPr>
        <w:pStyle w:val="Zkladntext21"/>
        <w:rPr>
          <w:rFonts w:asciiTheme="minorHAnsi" w:hAnsiTheme="minorHAnsi" w:cs="Arial"/>
          <w:b/>
          <w:sz w:val="22"/>
          <w:szCs w:val="22"/>
        </w:rPr>
      </w:pPr>
      <w:r w:rsidRPr="00D05E97">
        <w:rPr>
          <w:rFonts w:asciiTheme="minorHAnsi" w:hAnsiTheme="minorHAnsi" w:cs="Arial"/>
          <w:b/>
          <w:sz w:val="22"/>
          <w:szCs w:val="22"/>
        </w:rPr>
        <w:t>Důl Michal</w:t>
      </w:r>
    </w:p>
    <w:p w:rsidR="00D44D8F" w:rsidRPr="00D44D8F" w:rsidRDefault="00D05E97" w:rsidP="00D44D8F">
      <w:pPr>
        <w:pStyle w:val="Zkladntext21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Čs. armády</w:t>
      </w:r>
      <w:r w:rsidR="00D44D8F" w:rsidRPr="00D44D8F">
        <w:rPr>
          <w:rFonts w:asciiTheme="minorHAnsi" w:hAnsiTheme="minorHAnsi" w:cs="Arial"/>
          <w:sz w:val="22"/>
          <w:szCs w:val="22"/>
        </w:rPr>
        <w:t xml:space="preserve"> 413/95, 715 00  Ostrava - Michálkovice</w:t>
      </w:r>
    </w:p>
    <w:p w:rsidR="00B107CB" w:rsidRPr="00B107CB" w:rsidRDefault="00B107CB" w:rsidP="001E2D03">
      <w:pPr>
        <w:rPr>
          <w:rFonts w:ascii="Calibri" w:hAnsi="Calibri" w:cs="Calibri"/>
          <w:szCs w:val="22"/>
        </w:rPr>
      </w:pPr>
      <w:r w:rsidRPr="00B107CB">
        <w:rPr>
          <w:rFonts w:ascii="Calibri" w:hAnsi="Calibri" w:cs="Calibri"/>
          <w:szCs w:val="22"/>
        </w:rPr>
        <w:t>(dále jen „</w:t>
      </w:r>
      <w:r w:rsidR="00566E70">
        <w:rPr>
          <w:rFonts w:ascii="Calibri" w:hAnsi="Calibri" w:cs="Calibri"/>
          <w:b/>
          <w:szCs w:val="22"/>
        </w:rPr>
        <w:t>NPU</w:t>
      </w:r>
      <w:r w:rsidRPr="00B107CB">
        <w:rPr>
          <w:rFonts w:ascii="Calibri" w:hAnsi="Calibri" w:cs="Calibri"/>
          <w:szCs w:val="22"/>
        </w:rPr>
        <w:t>“)</w:t>
      </w:r>
    </w:p>
    <w:p w:rsidR="00D43565" w:rsidRPr="00D944CB" w:rsidRDefault="00D43565" w:rsidP="00D43565">
      <w:pPr>
        <w:rPr>
          <w:rFonts w:ascii="Calibri" w:hAnsi="Calibri"/>
        </w:rPr>
      </w:pPr>
    </w:p>
    <w:p w:rsidR="00D43565" w:rsidRPr="00D944CB" w:rsidRDefault="00D43565" w:rsidP="00D43565">
      <w:pPr>
        <w:rPr>
          <w:rFonts w:ascii="Calibri" w:hAnsi="Calibri"/>
        </w:rPr>
      </w:pPr>
      <w:r w:rsidRPr="00D944CB">
        <w:rPr>
          <w:rFonts w:ascii="Calibri" w:hAnsi="Calibri"/>
        </w:rPr>
        <w:t>a</w:t>
      </w:r>
    </w:p>
    <w:p w:rsidR="00D43565" w:rsidRPr="00D944CB" w:rsidRDefault="00D43565" w:rsidP="00D43565">
      <w:pPr>
        <w:rPr>
          <w:rFonts w:ascii="Calibri" w:hAnsi="Calibri"/>
        </w:rPr>
      </w:pPr>
    </w:p>
    <w:p w:rsidR="00D43565" w:rsidRPr="00D944CB" w:rsidRDefault="00885BD7" w:rsidP="00D43565">
      <w:pPr>
        <w:rPr>
          <w:rFonts w:ascii="Calibri" w:hAnsi="Calibri"/>
          <w:b/>
        </w:rPr>
      </w:pPr>
      <w:r>
        <w:rPr>
          <w:rFonts w:ascii="Calibri" w:hAnsi="Calibri"/>
          <w:b/>
        </w:rPr>
        <w:t>TeamCity s.r.o.</w:t>
      </w:r>
    </w:p>
    <w:p w:rsidR="001E2D03" w:rsidRPr="00D944CB" w:rsidRDefault="001E2D03" w:rsidP="001E2D03">
      <w:pPr>
        <w:rPr>
          <w:rFonts w:ascii="Calibri" w:hAnsi="Calibri"/>
        </w:rPr>
      </w:pPr>
      <w:r w:rsidRPr="00D944CB">
        <w:rPr>
          <w:rFonts w:ascii="Calibri" w:hAnsi="Calibri"/>
        </w:rPr>
        <w:t xml:space="preserve">se sídlem: </w:t>
      </w:r>
      <w:r w:rsidR="00885BD7">
        <w:rPr>
          <w:rFonts w:ascii="Calibri" w:hAnsi="Calibri"/>
        </w:rPr>
        <w:t>Čihalíkova 9/9</w:t>
      </w:r>
      <w:r w:rsidR="00B107CB">
        <w:rPr>
          <w:rFonts w:ascii="Calibri" w:hAnsi="Calibri"/>
        </w:rPr>
        <w:t>, 7</w:t>
      </w:r>
      <w:r w:rsidR="00885BD7">
        <w:rPr>
          <w:rFonts w:ascii="Calibri" w:hAnsi="Calibri"/>
        </w:rPr>
        <w:t>15</w:t>
      </w:r>
      <w:r w:rsidR="00B107CB">
        <w:rPr>
          <w:rFonts w:ascii="Calibri" w:hAnsi="Calibri"/>
        </w:rPr>
        <w:t xml:space="preserve"> 00 Ostrava</w:t>
      </w:r>
      <w:r w:rsidR="00885BD7">
        <w:rPr>
          <w:rFonts w:ascii="Calibri" w:hAnsi="Calibri"/>
        </w:rPr>
        <w:t xml:space="preserve"> - Michálkovice</w:t>
      </w:r>
    </w:p>
    <w:p w:rsidR="001E2D03" w:rsidRPr="00D944CB" w:rsidRDefault="001E2D03" w:rsidP="001E2D03">
      <w:pPr>
        <w:rPr>
          <w:rFonts w:ascii="Calibri" w:hAnsi="Calibri"/>
        </w:rPr>
      </w:pPr>
      <w:r w:rsidRPr="00D944CB">
        <w:rPr>
          <w:rFonts w:ascii="Calibri" w:hAnsi="Calibri"/>
        </w:rPr>
        <w:t xml:space="preserve">IČ: </w:t>
      </w:r>
      <w:r w:rsidR="00885BD7">
        <w:rPr>
          <w:rFonts w:ascii="Calibri" w:hAnsi="Calibri"/>
        </w:rPr>
        <w:t>29451132</w:t>
      </w:r>
      <w:r w:rsidRPr="00BF0C5F">
        <w:rPr>
          <w:rFonts w:ascii="Calibri" w:hAnsi="Calibri"/>
        </w:rPr>
        <w:t>, DIČ:</w:t>
      </w:r>
      <w:r w:rsidR="00B107CB">
        <w:rPr>
          <w:rFonts w:ascii="Calibri" w:hAnsi="Calibri"/>
        </w:rPr>
        <w:t xml:space="preserve"> CZ</w:t>
      </w:r>
      <w:r w:rsidR="00885BD7">
        <w:rPr>
          <w:rFonts w:ascii="Calibri" w:hAnsi="Calibri"/>
        </w:rPr>
        <w:t>29451132</w:t>
      </w:r>
    </w:p>
    <w:p w:rsidR="001E2D03" w:rsidRPr="00D944CB" w:rsidRDefault="001E2D03" w:rsidP="001E2D03">
      <w:pPr>
        <w:rPr>
          <w:rFonts w:ascii="Calibri" w:hAnsi="Calibri"/>
        </w:rPr>
      </w:pPr>
      <w:r w:rsidRPr="00D944CB">
        <w:rPr>
          <w:rFonts w:ascii="Calibri" w:hAnsi="Calibri"/>
        </w:rPr>
        <w:t xml:space="preserve">zastoupený: </w:t>
      </w:r>
      <w:r w:rsidR="00F21CD2">
        <w:rPr>
          <w:rFonts w:ascii="Calibri" w:hAnsi="Calibri"/>
        </w:rPr>
        <w:t>xxxxxxxxxxxxxxxxxxxxxxxxxxx</w:t>
      </w:r>
    </w:p>
    <w:p w:rsidR="00D43565" w:rsidRPr="00D944CB" w:rsidRDefault="00D43565" w:rsidP="001E2D03">
      <w:pPr>
        <w:rPr>
          <w:rFonts w:ascii="Calibri" w:hAnsi="Calibri"/>
        </w:rPr>
      </w:pPr>
      <w:r w:rsidRPr="00D944CB">
        <w:rPr>
          <w:rFonts w:ascii="Calibri" w:hAnsi="Calibri"/>
        </w:rPr>
        <w:t>(dále jen „</w:t>
      </w:r>
      <w:r w:rsidR="00566E70" w:rsidRPr="00566E70">
        <w:rPr>
          <w:rFonts w:ascii="Calibri" w:hAnsi="Calibri"/>
          <w:b/>
        </w:rPr>
        <w:t>Provozovatel</w:t>
      </w:r>
      <w:r w:rsidRPr="00566E70">
        <w:rPr>
          <w:rFonts w:ascii="Calibri" w:hAnsi="Calibri"/>
          <w:b/>
        </w:rPr>
        <w:t>“</w:t>
      </w:r>
      <w:r w:rsidRPr="00D944CB">
        <w:rPr>
          <w:rFonts w:ascii="Calibri" w:hAnsi="Calibri"/>
        </w:rPr>
        <w:t>)</w:t>
      </w:r>
    </w:p>
    <w:p w:rsidR="008528E7" w:rsidRPr="00D944CB" w:rsidRDefault="008528E7">
      <w:pPr>
        <w:rPr>
          <w:rFonts w:ascii="Calibri" w:hAnsi="Calibri" w:cs="Arial"/>
          <w:szCs w:val="22"/>
        </w:rPr>
      </w:pPr>
    </w:p>
    <w:p w:rsidR="008528E7" w:rsidRPr="00D944CB" w:rsidRDefault="008528E7">
      <w:pPr>
        <w:jc w:val="center"/>
        <w:rPr>
          <w:rFonts w:ascii="Calibri" w:hAnsi="Calibri" w:cs="Arial"/>
          <w:szCs w:val="22"/>
        </w:rPr>
      </w:pPr>
      <w:r w:rsidRPr="00D944CB">
        <w:rPr>
          <w:rFonts w:ascii="Calibri" w:hAnsi="Calibri" w:cs="Arial"/>
          <w:szCs w:val="22"/>
        </w:rPr>
        <w:t xml:space="preserve">jako smluvní strany uzavřely </w:t>
      </w:r>
      <w:r w:rsidR="001E2D03">
        <w:rPr>
          <w:rFonts w:ascii="Calibri" w:hAnsi="Calibri" w:cs="Arial"/>
          <w:szCs w:val="22"/>
        </w:rPr>
        <w:t>dle § 1746 odst. 2 zákona č. 89/2012 Sb., občanský zákoník,</w:t>
      </w:r>
      <w:r w:rsidR="00A45245">
        <w:rPr>
          <w:rFonts w:ascii="Calibri" w:hAnsi="Calibri" w:cs="Arial"/>
          <w:szCs w:val="22"/>
        </w:rPr>
        <w:t xml:space="preserve"> v platném znění,</w:t>
      </w:r>
      <w:r w:rsidR="001E2D03">
        <w:rPr>
          <w:rFonts w:ascii="Calibri" w:hAnsi="Calibri" w:cs="Arial"/>
          <w:szCs w:val="22"/>
        </w:rPr>
        <w:t xml:space="preserve"> </w:t>
      </w:r>
      <w:r w:rsidRPr="00D944CB">
        <w:rPr>
          <w:rFonts w:ascii="Calibri" w:hAnsi="Calibri" w:cs="Arial"/>
          <w:szCs w:val="22"/>
        </w:rPr>
        <w:t>níže uvedeného dne, měsíce a roku tuto</w:t>
      </w:r>
    </w:p>
    <w:p w:rsidR="008528E7" w:rsidRPr="004C3F58" w:rsidRDefault="00566E70" w:rsidP="00D43565">
      <w:pPr>
        <w:jc w:val="center"/>
        <w:rPr>
          <w:rFonts w:ascii="Calibri" w:hAnsi="Calibri" w:cs="Arial"/>
          <w:b/>
          <w:sz w:val="32"/>
          <w:szCs w:val="36"/>
        </w:rPr>
      </w:pPr>
      <w:r w:rsidRPr="004C3F58">
        <w:rPr>
          <w:rFonts w:ascii="Calibri" w:hAnsi="Calibri" w:cs="Arial"/>
          <w:b/>
          <w:sz w:val="32"/>
          <w:szCs w:val="36"/>
        </w:rPr>
        <w:t>smlouvu o umístění zařízení</w:t>
      </w:r>
      <w:r w:rsidR="008528E7" w:rsidRPr="004C3F58">
        <w:rPr>
          <w:rFonts w:ascii="Calibri" w:hAnsi="Calibri" w:cs="Arial"/>
          <w:b/>
          <w:sz w:val="32"/>
          <w:szCs w:val="36"/>
        </w:rPr>
        <w:t>:</w:t>
      </w:r>
    </w:p>
    <w:p w:rsidR="008528E7" w:rsidRPr="00D944CB" w:rsidRDefault="008528E7">
      <w:pPr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Článek. I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Základní ustanovení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220CB" w:rsidRDefault="00B56483" w:rsidP="00B220CB">
      <w:pPr>
        <w:ind w:left="540" w:hanging="54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1.1</w:t>
      </w:r>
      <w:r w:rsidRPr="004C3F58">
        <w:rPr>
          <w:rFonts w:ascii="Calibri" w:hAnsi="Calibri" w:cs="Arial"/>
          <w:szCs w:val="22"/>
        </w:rPr>
        <w:tab/>
        <w:t>NPÚ je příslušný hospodařit s</w:t>
      </w:r>
      <w:r w:rsidR="00B220CB">
        <w:rPr>
          <w:rFonts w:ascii="Calibri" w:hAnsi="Calibri" w:cs="Arial"/>
          <w:szCs w:val="22"/>
        </w:rPr>
        <w:t> </w:t>
      </w:r>
      <w:r w:rsidRPr="004C3F58">
        <w:rPr>
          <w:rFonts w:ascii="Calibri" w:hAnsi="Calibri" w:cs="Arial"/>
          <w:szCs w:val="22"/>
        </w:rPr>
        <w:t>nemovitostmi</w:t>
      </w:r>
      <w:r w:rsidR="00B220CB">
        <w:rPr>
          <w:rFonts w:ascii="Calibri" w:hAnsi="Calibri" w:cs="Arial"/>
          <w:szCs w:val="22"/>
        </w:rPr>
        <w:t xml:space="preserve"> ve vlastnictví státu:</w:t>
      </w:r>
    </w:p>
    <w:p w:rsidR="00B220CB" w:rsidRDefault="00A45245" w:rsidP="00B220CB">
      <w:pPr>
        <w:ind w:left="54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</w:t>
      </w:r>
      <w:r w:rsidR="00B56483" w:rsidRPr="004C3F58">
        <w:rPr>
          <w:rFonts w:ascii="Calibri" w:hAnsi="Calibri" w:cs="Arial"/>
          <w:szCs w:val="22"/>
        </w:rPr>
        <w:t>v areálu národní kulturní památky Důl Michal, Čs. armády 413/95, Ostrava – Michálkovice včetně těžní věže na parcele č. st. 249, zapsané na listu</w:t>
      </w:r>
      <w:r>
        <w:rPr>
          <w:rFonts w:ascii="Calibri" w:hAnsi="Calibri" w:cs="Arial"/>
          <w:szCs w:val="22"/>
        </w:rPr>
        <w:t xml:space="preserve"> vlastnictví </w:t>
      </w:r>
      <w:r w:rsidR="00B56483" w:rsidRPr="004C3F58">
        <w:rPr>
          <w:rFonts w:ascii="Calibri" w:hAnsi="Calibri" w:cs="Arial"/>
          <w:szCs w:val="22"/>
        </w:rPr>
        <w:t>č. 1251, pro katastrální území Michálkovice, obec Ostrava.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ind w:left="540" w:hanging="54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1.2</w:t>
      </w:r>
      <w:r w:rsidRPr="004C3F58">
        <w:rPr>
          <w:rFonts w:ascii="Calibri" w:hAnsi="Calibri" w:cs="Arial"/>
          <w:szCs w:val="22"/>
        </w:rPr>
        <w:tab/>
        <w:t>Provozovatel zařízení je obchodní společností podnikající v oblasti elektronických komunikací, která je mimo jiné oprávněna k zajišťování sítí a poskytování služeb elektronických komunikací podle zákona č. 127/2005 Sb., o elektronických komunikacích, v platném znění (dále jen „</w:t>
      </w:r>
      <w:r w:rsidRPr="004C3F58">
        <w:rPr>
          <w:rFonts w:ascii="Calibri" w:hAnsi="Calibri" w:cs="Arial"/>
          <w:b/>
          <w:szCs w:val="22"/>
        </w:rPr>
        <w:t>Zákon</w:t>
      </w:r>
      <w:r w:rsidRPr="004C3F58">
        <w:rPr>
          <w:rFonts w:ascii="Calibri" w:hAnsi="Calibri" w:cs="Arial"/>
          <w:szCs w:val="22"/>
        </w:rPr>
        <w:t>“).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</w:p>
    <w:p w:rsidR="00B56483" w:rsidRP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II.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Předmět smlouvy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Pr="00B349D3" w:rsidRDefault="00B56483" w:rsidP="00B349D3">
      <w:pPr>
        <w:numPr>
          <w:ilvl w:val="1"/>
          <w:numId w:val="13"/>
        </w:numPr>
        <w:rPr>
          <w:rFonts w:ascii="Calibri" w:hAnsi="Calibri"/>
        </w:rPr>
      </w:pPr>
      <w:r w:rsidRPr="004C3F58">
        <w:rPr>
          <w:rFonts w:ascii="Calibri" w:hAnsi="Calibri" w:cs="Arial"/>
          <w:szCs w:val="22"/>
        </w:rPr>
        <w:t xml:space="preserve">Předmětem smlouvy je umístění telekomunikačního zařízení Provozovatele </w:t>
      </w:r>
      <w:r w:rsidR="00231C4F">
        <w:rPr>
          <w:rFonts w:ascii="Calibri" w:hAnsi="Calibri" w:cs="Arial"/>
          <w:szCs w:val="22"/>
        </w:rPr>
        <w:t>na jeho náklady</w:t>
      </w:r>
      <w:r w:rsidRPr="004C3F58">
        <w:rPr>
          <w:rFonts w:ascii="Calibri" w:hAnsi="Calibri" w:cs="Arial"/>
          <w:szCs w:val="22"/>
        </w:rPr>
        <w:t xml:space="preserve"> </w:t>
      </w:r>
      <w:r w:rsidR="00B81270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a části těžní věže Dolu Michal umístěné na pozemku parc.č. 249."/>
            </w:textInput>
          </w:ffData>
        </w:fldChar>
      </w:r>
      <w:r w:rsidR="00B81270">
        <w:rPr>
          <w:rFonts w:ascii="Calibri" w:hAnsi="Calibri" w:cs="Arial"/>
          <w:szCs w:val="22"/>
        </w:rPr>
        <w:instrText xml:space="preserve"> FORMTEXT </w:instrText>
      </w:r>
      <w:r w:rsidR="00B81270">
        <w:rPr>
          <w:rFonts w:ascii="Calibri" w:hAnsi="Calibri" w:cs="Arial"/>
          <w:szCs w:val="22"/>
        </w:rPr>
      </w:r>
      <w:r w:rsidR="00B81270">
        <w:rPr>
          <w:rFonts w:ascii="Calibri" w:hAnsi="Calibri" w:cs="Arial"/>
          <w:szCs w:val="22"/>
        </w:rPr>
        <w:fldChar w:fldCharType="separate"/>
      </w:r>
      <w:r w:rsidR="00B81270">
        <w:rPr>
          <w:rFonts w:ascii="Calibri" w:hAnsi="Calibri" w:cs="Arial"/>
          <w:noProof/>
          <w:szCs w:val="22"/>
        </w:rPr>
        <w:t>na části těžní věže Dolu Michal umístěné na pozemku parc.č. 249.</w:t>
      </w:r>
      <w:r w:rsidR="00B81270">
        <w:rPr>
          <w:rFonts w:ascii="Calibri" w:hAnsi="Calibri" w:cs="Arial"/>
          <w:szCs w:val="22"/>
        </w:rPr>
        <w:fldChar w:fldCharType="end"/>
      </w:r>
    </w:p>
    <w:p w:rsidR="00B56483" w:rsidRPr="004C3F58" w:rsidRDefault="00B56483" w:rsidP="00B349D3">
      <w:pPr>
        <w:numPr>
          <w:ilvl w:val="1"/>
          <w:numId w:val="13"/>
        </w:numPr>
        <w:rPr>
          <w:rFonts w:ascii="Calibri" w:hAnsi="Calibri" w:cs="Arial"/>
          <w:b/>
          <w:bCs/>
          <w:szCs w:val="22"/>
          <w:highlight w:val="lightGray"/>
        </w:rPr>
      </w:pPr>
      <w:r w:rsidRPr="004C3F58">
        <w:rPr>
          <w:rFonts w:ascii="Calibri" w:hAnsi="Calibri" w:cs="Arial"/>
          <w:szCs w:val="22"/>
          <w:highlight w:val="lightGray"/>
        </w:rPr>
        <w:t>NPÚ</w:t>
      </w:r>
      <w:r w:rsidRPr="004C3F58">
        <w:rPr>
          <w:rFonts w:ascii="Calibri" w:hAnsi="Calibri" w:cs="Arial"/>
          <w:b/>
          <w:bCs/>
          <w:szCs w:val="22"/>
          <w:highlight w:val="lightGray"/>
        </w:rPr>
        <w:t xml:space="preserve"> </w:t>
      </w:r>
      <w:r w:rsidRPr="004C3F58">
        <w:rPr>
          <w:rFonts w:ascii="Calibri" w:hAnsi="Calibri" w:cs="Arial"/>
          <w:szCs w:val="22"/>
          <w:highlight w:val="lightGray"/>
        </w:rPr>
        <w:t>umožní Provozovateli umístit a provozovat telekomunikační zařízení Provozovatele (dále jen „</w:t>
      </w:r>
      <w:r w:rsidRPr="004C3F58">
        <w:rPr>
          <w:rFonts w:ascii="Calibri" w:hAnsi="Calibri" w:cs="Arial"/>
          <w:b/>
          <w:szCs w:val="22"/>
          <w:highlight w:val="lightGray"/>
        </w:rPr>
        <w:t>zařízení</w:t>
      </w:r>
      <w:r w:rsidRPr="004C3F58">
        <w:rPr>
          <w:rFonts w:ascii="Calibri" w:hAnsi="Calibri" w:cs="Arial"/>
          <w:szCs w:val="22"/>
          <w:highlight w:val="lightGray"/>
        </w:rPr>
        <w:t>“).</w:t>
      </w:r>
    </w:p>
    <w:p w:rsidR="00B56483" w:rsidRPr="004C3F58" w:rsidRDefault="00B56483" w:rsidP="00B349D3">
      <w:pPr>
        <w:numPr>
          <w:ilvl w:val="1"/>
          <w:numId w:val="13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Umístění zařízení včetně zakreslení kabelové trasy a tras</w:t>
      </w:r>
      <w:r w:rsidR="00B81270">
        <w:rPr>
          <w:rFonts w:ascii="Calibri" w:hAnsi="Calibri" w:cs="Arial"/>
          <w:szCs w:val="22"/>
        </w:rPr>
        <w:t>a</w:t>
      </w:r>
      <w:r w:rsidRPr="004C3F58">
        <w:rPr>
          <w:rFonts w:ascii="Calibri" w:hAnsi="Calibri" w:cs="Arial"/>
          <w:szCs w:val="22"/>
        </w:rPr>
        <w:t xml:space="preserve"> přívodního elektronapájecího kabelu jako přípojky na rozvodnou síť je vyznačeno na situačním plánku, který je přílohou č. 2 této smlouvy.</w:t>
      </w:r>
    </w:p>
    <w:p w:rsidR="00B56483" w:rsidRPr="004C3F58" w:rsidRDefault="00B56483" w:rsidP="00B56483">
      <w:pPr>
        <w:rPr>
          <w:rFonts w:ascii="Calibri" w:hAnsi="Calibri" w:cs="Arial"/>
          <w:szCs w:val="22"/>
          <w:vertAlign w:val="superscript"/>
        </w:rPr>
      </w:pPr>
    </w:p>
    <w:p w:rsidR="00B56483" w:rsidRPr="004C3F58" w:rsidRDefault="00B56483" w:rsidP="00B56483">
      <w:pPr>
        <w:rPr>
          <w:rFonts w:ascii="Calibri" w:hAnsi="Calibri" w:cs="Arial"/>
          <w:szCs w:val="22"/>
          <w:vertAlign w:val="superscript"/>
        </w:rPr>
      </w:pPr>
    </w:p>
    <w:p w:rsidR="00B56483" w:rsidRP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III.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Účel smlouvy</w:t>
      </w:r>
    </w:p>
    <w:p w:rsidR="00B56483" w:rsidRPr="004C3F58" w:rsidRDefault="00B56483" w:rsidP="00B349D3">
      <w:pPr>
        <w:numPr>
          <w:ilvl w:val="1"/>
          <w:numId w:val="14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lastRenderedPageBreak/>
        <w:t xml:space="preserve">Účelem smlouvy je poskytnutí předmětných prostor dle čl. II. k instalaci a provozování telekomunikačního zařízení Provozovatele k poskytování služeb elektronických komunikací ve smyslu Zákona. </w:t>
      </w:r>
    </w:p>
    <w:p w:rsidR="00B56483" w:rsidRPr="004C3F58" w:rsidRDefault="00B56483" w:rsidP="00B56483">
      <w:pPr>
        <w:jc w:val="left"/>
        <w:rPr>
          <w:rFonts w:ascii="Calibri" w:hAnsi="Calibri" w:cs="Arial"/>
          <w:b/>
          <w:szCs w:val="22"/>
        </w:rPr>
      </w:pPr>
    </w:p>
    <w:p w:rsidR="00B56483" w:rsidRPr="00B56483" w:rsidRDefault="00B56483" w:rsidP="00B56483">
      <w:pPr>
        <w:keepNext/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IV.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Výše a splatnost úhrady za umístění zařízení a náklady na služby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</w:p>
    <w:p w:rsidR="00B56483" w:rsidRPr="004C3F58" w:rsidRDefault="00B56483" w:rsidP="00140B78">
      <w:pPr>
        <w:numPr>
          <w:ilvl w:val="1"/>
          <w:numId w:val="15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  <w:u w:val="single"/>
        </w:rPr>
        <w:t>Úhrada za umístění zařízení</w:t>
      </w:r>
      <w:r w:rsidRPr="004C3F58">
        <w:rPr>
          <w:rFonts w:ascii="Calibri" w:hAnsi="Calibri" w:cs="Arial"/>
          <w:szCs w:val="22"/>
        </w:rPr>
        <w:t xml:space="preserve"> na předmětných prostorech dle čl. II byla smluvními stranami dohodnuta ve výši</w:t>
      </w:r>
      <w:r w:rsidR="004D36D6">
        <w:rPr>
          <w:rFonts w:ascii="Calibri" w:hAnsi="Calibri" w:cs="Arial"/>
          <w:szCs w:val="22"/>
        </w:rPr>
        <w:t xml:space="preserve"> </w:t>
      </w:r>
      <w:r w:rsidR="00ED7138" w:rsidRPr="00ED7138">
        <w:rPr>
          <w:rFonts w:ascii="Calibri" w:hAnsi="Calibri" w:cs="Arial"/>
          <w:b/>
          <w:szCs w:val="22"/>
        </w:rPr>
        <w:t xml:space="preserve">7 </w:t>
      </w:r>
      <w:r w:rsidR="00CD6865">
        <w:rPr>
          <w:rFonts w:ascii="Calibri" w:hAnsi="Calibri" w:cs="Arial"/>
          <w:b/>
          <w:szCs w:val="22"/>
        </w:rPr>
        <w:t>147</w:t>
      </w:r>
      <w:r w:rsidRPr="00ED7138">
        <w:rPr>
          <w:rFonts w:ascii="Calibri" w:hAnsi="Calibri" w:cs="Arial"/>
          <w:b/>
          <w:szCs w:val="22"/>
        </w:rPr>
        <w:t>,-</w:t>
      </w:r>
      <w:r w:rsidRPr="004C3F58">
        <w:rPr>
          <w:rFonts w:ascii="Calibri" w:hAnsi="Calibri" w:cs="Arial"/>
          <w:b/>
          <w:szCs w:val="22"/>
        </w:rPr>
        <w:t xml:space="preserve"> Kč bez DPH měsíčně</w:t>
      </w:r>
      <w:r w:rsidRPr="004C3F58">
        <w:rPr>
          <w:rFonts w:ascii="Calibri" w:hAnsi="Calibri" w:cs="Arial"/>
          <w:szCs w:val="22"/>
        </w:rPr>
        <w:t xml:space="preserve"> + </w:t>
      </w:r>
      <w:r w:rsidR="00ED7138" w:rsidRPr="00ED7138">
        <w:rPr>
          <w:rFonts w:ascii="Calibri" w:hAnsi="Calibri" w:cs="Arial"/>
          <w:b/>
          <w:szCs w:val="22"/>
        </w:rPr>
        <w:t>1</w:t>
      </w:r>
      <w:r w:rsidR="00CD6865">
        <w:rPr>
          <w:rFonts w:ascii="Calibri" w:hAnsi="Calibri" w:cs="Arial"/>
          <w:b/>
          <w:szCs w:val="22"/>
        </w:rPr>
        <w:t>501</w:t>
      </w:r>
      <w:r w:rsidRPr="00ED7138">
        <w:rPr>
          <w:rFonts w:ascii="Calibri" w:hAnsi="Calibri" w:cs="Arial"/>
          <w:b/>
          <w:szCs w:val="22"/>
        </w:rPr>
        <w:t>,- Kč</w:t>
      </w:r>
      <w:r w:rsidRPr="004C3F58">
        <w:rPr>
          <w:rFonts w:ascii="Calibri" w:hAnsi="Calibri" w:cs="Arial"/>
          <w:szCs w:val="22"/>
        </w:rPr>
        <w:t xml:space="preserve"> DPH 21 %, </w:t>
      </w:r>
      <w:r w:rsidRPr="004C3F58">
        <w:rPr>
          <w:rFonts w:ascii="Calibri" w:hAnsi="Calibri" w:cs="Arial"/>
          <w:b/>
          <w:szCs w:val="22"/>
        </w:rPr>
        <w:t xml:space="preserve">celkem </w:t>
      </w:r>
      <w:r w:rsidR="00ED7138">
        <w:rPr>
          <w:rFonts w:ascii="Calibri" w:hAnsi="Calibri" w:cs="Arial"/>
          <w:b/>
          <w:szCs w:val="22"/>
        </w:rPr>
        <w:t xml:space="preserve">8 </w:t>
      </w:r>
      <w:r w:rsidR="00CD6865">
        <w:rPr>
          <w:rFonts w:ascii="Calibri" w:hAnsi="Calibri" w:cs="Arial"/>
          <w:b/>
          <w:szCs w:val="22"/>
        </w:rPr>
        <w:t>648</w:t>
      </w:r>
      <w:r w:rsidRPr="004C3F58">
        <w:rPr>
          <w:rFonts w:ascii="Calibri" w:hAnsi="Calibri" w:cs="Arial"/>
          <w:b/>
          <w:szCs w:val="22"/>
        </w:rPr>
        <w:t>,- Kč včetně DPH.</w:t>
      </w:r>
    </w:p>
    <w:p w:rsidR="00B56483" w:rsidRPr="004C3F58" w:rsidRDefault="00B56483" w:rsidP="00B56483">
      <w:pPr>
        <w:jc w:val="left"/>
        <w:rPr>
          <w:rFonts w:ascii="Calibri" w:hAnsi="Calibri" w:cs="Arial"/>
          <w:i/>
          <w:iCs/>
          <w:szCs w:val="22"/>
        </w:rPr>
      </w:pPr>
    </w:p>
    <w:p w:rsidR="00B56483" w:rsidRPr="004C3F58" w:rsidRDefault="00B56483" w:rsidP="00140B78">
      <w:pPr>
        <w:numPr>
          <w:ilvl w:val="1"/>
          <w:numId w:val="15"/>
        </w:numPr>
        <w:rPr>
          <w:rFonts w:ascii="Calibri" w:hAnsi="Calibri" w:cs="Arial"/>
          <w:szCs w:val="22"/>
          <w:u w:val="single"/>
        </w:rPr>
      </w:pPr>
      <w:r w:rsidRPr="004C3F58">
        <w:rPr>
          <w:rFonts w:ascii="Calibri" w:hAnsi="Calibri" w:cs="Arial"/>
          <w:szCs w:val="22"/>
          <w:u w:val="single"/>
        </w:rPr>
        <w:t>Úhrada nákladů za elektrickou energii</w:t>
      </w:r>
    </w:p>
    <w:p w:rsidR="00B56483" w:rsidRPr="004C3F58" w:rsidRDefault="00B56483" w:rsidP="00B56483">
      <w:pPr>
        <w:ind w:left="54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Náklady za spotřebovanou elektrickou energii pro provoz zařízení bude Provozovatel hradit ve výši </w:t>
      </w:r>
      <w:r w:rsidR="00CD6865">
        <w:rPr>
          <w:rFonts w:ascii="Calibri" w:hAnsi="Calibri" w:cs="Arial"/>
          <w:szCs w:val="22"/>
        </w:rPr>
        <w:t>6</w:t>
      </w:r>
      <w:r w:rsidR="008A367D">
        <w:rPr>
          <w:rFonts w:ascii="Calibri" w:hAnsi="Calibri" w:cs="Arial"/>
          <w:b/>
          <w:szCs w:val="22"/>
        </w:rPr>
        <w:t>0</w:t>
      </w:r>
      <w:r w:rsidRPr="004C3F58">
        <w:rPr>
          <w:rFonts w:ascii="Calibri" w:hAnsi="Calibri" w:cs="Arial"/>
          <w:b/>
          <w:szCs w:val="22"/>
        </w:rPr>
        <w:t>0,- Kč bez DPH měsíčně</w:t>
      </w:r>
      <w:r w:rsidR="004D36D6">
        <w:rPr>
          <w:rFonts w:ascii="Calibri" w:hAnsi="Calibri" w:cs="Arial"/>
          <w:szCs w:val="22"/>
        </w:rPr>
        <w:t xml:space="preserve"> + </w:t>
      </w:r>
      <w:r w:rsidR="00CD6865">
        <w:rPr>
          <w:rFonts w:ascii="Calibri" w:hAnsi="Calibri" w:cs="Arial"/>
          <w:szCs w:val="22"/>
        </w:rPr>
        <w:t>126</w:t>
      </w:r>
      <w:r w:rsidRPr="004C3F58">
        <w:rPr>
          <w:rFonts w:ascii="Calibri" w:hAnsi="Calibri" w:cs="Arial"/>
          <w:szCs w:val="22"/>
        </w:rPr>
        <w:t xml:space="preserve">,- Kč DPH 21 %, </w:t>
      </w:r>
      <w:r w:rsidRPr="004C3F58">
        <w:rPr>
          <w:rFonts w:ascii="Calibri" w:hAnsi="Calibri" w:cs="Arial"/>
          <w:b/>
          <w:szCs w:val="22"/>
        </w:rPr>
        <w:t xml:space="preserve">celkem </w:t>
      </w:r>
      <w:r w:rsidR="00CD6865">
        <w:rPr>
          <w:rFonts w:ascii="Calibri" w:hAnsi="Calibri" w:cs="Arial"/>
          <w:b/>
          <w:szCs w:val="22"/>
        </w:rPr>
        <w:t>726</w:t>
      </w:r>
      <w:r w:rsidRPr="004C3F58">
        <w:rPr>
          <w:rFonts w:ascii="Calibri" w:hAnsi="Calibri" w:cs="Arial"/>
          <w:b/>
          <w:szCs w:val="22"/>
        </w:rPr>
        <w:t>,- Kč včetně DPH</w:t>
      </w:r>
      <w:r w:rsidRPr="004C3F58">
        <w:rPr>
          <w:rFonts w:ascii="Calibri" w:hAnsi="Calibri" w:cs="Arial"/>
          <w:szCs w:val="22"/>
        </w:rPr>
        <w:t>.</w:t>
      </w:r>
    </w:p>
    <w:p w:rsidR="00B56483" w:rsidRPr="004C3F58" w:rsidRDefault="00B56483" w:rsidP="00B56483">
      <w:pPr>
        <w:ind w:left="720"/>
        <w:jc w:val="left"/>
        <w:rPr>
          <w:rFonts w:ascii="Calibri" w:hAnsi="Calibri" w:cs="Arial"/>
          <w:szCs w:val="22"/>
        </w:rPr>
      </w:pPr>
    </w:p>
    <w:p w:rsidR="00B56483" w:rsidRPr="004C3F58" w:rsidRDefault="00B56483" w:rsidP="00140B78">
      <w:pPr>
        <w:numPr>
          <w:ilvl w:val="1"/>
          <w:numId w:val="15"/>
        </w:numPr>
        <w:rPr>
          <w:rFonts w:ascii="Calibri" w:hAnsi="Calibri" w:cs="Arial"/>
          <w:szCs w:val="22"/>
          <w:u w:val="single"/>
        </w:rPr>
      </w:pPr>
      <w:r w:rsidRPr="004C3F58">
        <w:rPr>
          <w:rFonts w:ascii="Calibri" w:hAnsi="Calibri" w:cs="Arial"/>
          <w:szCs w:val="22"/>
          <w:u w:val="single"/>
        </w:rPr>
        <w:t>Platební podmínky</w:t>
      </w:r>
    </w:p>
    <w:p w:rsidR="00B56483" w:rsidRPr="004C3F58" w:rsidRDefault="00B56483" w:rsidP="00B56483">
      <w:pPr>
        <w:ind w:left="54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Úhrada za umístění zařízení a za elektrickou energii je splatná do 20. dne v měsíci, a to na účet </w:t>
      </w:r>
      <w:r w:rsidR="004D36D6">
        <w:rPr>
          <w:rFonts w:ascii="Calibri" w:hAnsi="Calibri" w:cs="Arial"/>
          <w:szCs w:val="22"/>
        </w:rPr>
        <w:t>NPÚ</w:t>
      </w:r>
      <w:r w:rsidRPr="004C3F58">
        <w:rPr>
          <w:rFonts w:ascii="Calibri" w:hAnsi="Calibri" w:cs="Arial"/>
          <w:szCs w:val="22"/>
        </w:rPr>
        <w:t xml:space="preserve"> uveden</w:t>
      </w:r>
      <w:r w:rsidR="004D36D6">
        <w:rPr>
          <w:rFonts w:ascii="Calibri" w:hAnsi="Calibri" w:cs="Arial"/>
          <w:szCs w:val="22"/>
        </w:rPr>
        <w:t>ý</w:t>
      </w:r>
      <w:r w:rsidRPr="004C3F58">
        <w:rPr>
          <w:rFonts w:ascii="Calibri" w:hAnsi="Calibri" w:cs="Arial"/>
          <w:szCs w:val="22"/>
        </w:rPr>
        <w:t xml:space="preserve"> v záhlaví této smlouvy.</w:t>
      </w:r>
    </w:p>
    <w:p w:rsidR="00B56483" w:rsidRPr="004C3F58" w:rsidRDefault="00B56483" w:rsidP="00B56483">
      <w:pPr>
        <w:ind w:left="540" w:hanging="540"/>
        <w:rPr>
          <w:rFonts w:ascii="Calibri" w:hAnsi="Calibri" w:cs="Arial"/>
          <w:szCs w:val="22"/>
        </w:rPr>
      </w:pPr>
    </w:p>
    <w:p w:rsidR="00B56483" w:rsidRPr="004C3F58" w:rsidRDefault="00B56483" w:rsidP="000873F7">
      <w:pPr>
        <w:numPr>
          <w:ilvl w:val="1"/>
          <w:numId w:val="15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Je-li provozovatel v prodlení s úhradami podle této smlouvy, je NPÚ oprávněn požadovat smluvní pokutu ve výši 0,5% z dlužné částky za každý započatý den prodlení. Uhrazením sm</w:t>
      </w:r>
      <w:r w:rsidR="004D36D6">
        <w:rPr>
          <w:rFonts w:ascii="Calibri" w:hAnsi="Calibri" w:cs="Arial"/>
          <w:szCs w:val="22"/>
        </w:rPr>
        <w:t>luvní pokuty není dotčen nárok NPÚ</w:t>
      </w:r>
      <w:r w:rsidRPr="004C3F58">
        <w:rPr>
          <w:rFonts w:ascii="Calibri" w:hAnsi="Calibri" w:cs="Arial"/>
          <w:szCs w:val="22"/>
        </w:rPr>
        <w:t xml:space="preserve"> na náhradu škody.</w:t>
      </w:r>
    </w:p>
    <w:p w:rsidR="00B56483" w:rsidRPr="004C3F58" w:rsidRDefault="00B56483" w:rsidP="000873F7">
      <w:pPr>
        <w:rPr>
          <w:rFonts w:ascii="Calibri" w:hAnsi="Calibri"/>
          <w:b/>
          <w:bCs/>
          <w:i/>
          <w:iCs/>
          <w:szCs w:val="22"/>
        </w:rPr>
      </w:pPr>
      <w:r w:rsidRPr="004C3F58">
        <w:rPr>
          <w:rFonts w:ascii="Calibri" w:hAnsi="Calibri"/>
          <w:b/>
          <w:bCs/>
          <w:i/>
          <w:iCs/>
          <w:szCs w:val="22"/>
        </w:rPr>
        <w:t xml:space="preserve"> </w:t>
      </w:r>
    </w:p>
    <w:p w:rsidR="00B56483" w:rsidRP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V.</w:t>
      </w: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Práva a povinnosti smluvních stran</w:t>
      </w:r>
    </w:p>
    <w:p w:rsidR="00B56483" w:rsidRPr="004C3F58" w:rsidRDefault="00B56483" w:rsidP="00B56483">
      <w:pPr>
        <w:tabs>
          <w:tab w:val="left" w:pos="2205"/>
        </w:tabs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5.1</w:t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  <w:u w:val="single"/>
        </w:rPr>
        <w:t xml:space="preserve">Práva a povinnosti </w:t>
      </w:r>
      <w:r w:rsidR="004D36D6">
        <w:rPr>
          <w:rFonts w:ascii="Calibri" w:hAnsi="Calibri" w:cs="Arial"/>
          <w:szCs w:val="22"/>
          <w:u w:val="single"/>
        </w:rPr>
        <w:t>P</w:t>
      </w:r>
      <w:r w:rsidRPr="004C3F58">
        <w:rPr>
          <w:rFonts w:ascii="Calibri" w:hAnsi="Calibri" w:cs="Arial"/>
          <w:szCs w:val="22"/>
          <w:u w:val="single"/>
        </w:rPr>
        <w:t>rovozovatele</w:t>
      </w:r>
    </w:p>
    <w:p w:rsidR="00B56483" w:rsidRPr="004C3F58" w:rsidRDefault="00B56483" w:rsidP="00B56483">
      <w:pPr>
        <w:ind w:left="900" w:hanging="900"/>
        <w:rPr>
          <w:rFonts w:ascii="Calibri" w:hAnsi="Calibri" w:cs="Arial"/>
          <w:szCs w:val="22"/>
        </w:rPr>
      </w:pPr>
    </w:p>
    <w:p w:rsidR="00B56483" w:rsidRPr="004C3F58" w:rsidRDefault="00B56483" w:rsidP="002555CF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Provozovatel zařízení je povinen užívat </w:t>
      </w:r>
      <w:r w:rsidR="002555CF">
        <w:rPr>
          <w:rFonts w:ascii="Calibri" w:hAnsi="Calibri" w:cs="Arial"/>
          <w:szCs w:val="22"/>
        </w:rPr>
        <w:t>zařízení</w:t>
      </w:r>
      <w:r w:rsidRPr="004C3F58">
        <w:rPr>
          <w:rFonts w:ascii="Calibri" w:hAnsi="Calibri" w:cs="Arial"/>
          <w:szCs w:val="22"/>
        </w:rPr>
        <w:t xml:space="preserve"> v souladu s ustanoveními této smlouvy, řádně zacházet a dbát na dobrý stav předmětných prostor</w:t>
      </w:r>
      <w:r w:rsidR="002555CF">
        <w:rPr>
          <w:rFonts w:ascii="Calibri" w:hAnsi="Calibri" w:cs="Arial"/>
          <w:szCs w:val="22"/>
        </w:rPr>
        <w:t>, kde je zařízení umístěno</w:t>
      </w:r>
      <w:r w:rsidRPr="004C3F58">
        <w:rPr>
          <w:rFonts w:ascii="Calibri" w:hAnsi="Calibri" w:cs="Arial"/>
          <w:szCs w:val="22"/>
        </w:rPr>
        <w:t xml:space="preserve"> a zabránit jej</w:t>
      </w:r>
      <w:r w:rsidR="002555CF">
        <w:rPr>
          <w:rFonts w:ascii="Calibri" w:hAnsi="Calibri" w:cs="Arial"/>
          <w:szCs w:val="22"/>
        </w:rPr>
        <w:t>ich</w:t>
      </w:r>
      <w:r w:rsidRPr="004C3F58">
        <w:rPr>
          <w:rFonts w:ascii="Calibri" w:hAnsi="Calibri" w:cs="Arial"/>
          <w:szCs w:val="22"/>
        </w:rPr>
        <w:t xml:space="preserve"> poškozování. Pokud přesto dojde jeho činností nebo v důsledku instalace či údržby zařízení ke škodám na majetku ČR, je Provozovatel povinen tyto škody nahradit.</w:t>
      </w:r>
    </w:p>
    <w:p w:rsidR="00B56483" w:rsidRPr="004C3F58" w:rsidRDefault="00B56483" w:rsidP="002555CF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Všechny úpravy předmětných prostor Provozovatelem, musí být předem projednány, zachyceny v projektu a </w:t>
      </w:r>
      <w:r w:rsidR="002555CF">
        <w:rPr>
          <w:rFonts w:ascii="Calibri" w:hAnsi="Calibri" w:cs="Arial"/>
          <w:szCs w:val="22"/>
        </w:rPr>
        <w:t xml:space="preserve">písemně </w:t>
      </w:r>
      <w:r w:rsidRPr="004C3F58">
        <w:rPr>
          <w:rFonts w:ascii="Calibri" w:hAnsi="Calibri" w:cs="Arial"/>
          <w:szCs w:val="22"/>
        </w:rPr>
        <w:t>schváleny NPÚ. Projekt bude respektovat platné technické normy, právní předpisy i oprávněné zájmy, potřeby a požadavky NPÚ popř. dalších uživatelů nemovitosti. Provozovatel zajistí případné schválení projektové dokumentace příslušnými orgány a vydání potřebných povolení k její realizaci, jakož i provedení veškerých prací, a to na vlastní náklady.</w:t>
      </w:r>
    </w:p>
    <w:p w:rsidR="00B56483" w:rsidRPr="004C3F58" w:rsidRDefault="00B56483" w:rsidP="002555CF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Provozovatel bere na vědomí, že předmět smlouvy je součástí </w:t>
      </w:r>
      <w:r w:rsidRPr="00E22C80">
        <w:rPr>
          <w:rFonts w:ascii="Calibri" w:hAnsi="Calibri"/>
          <w:highlight w:val="lightGray"/>
        </w:rPr>
        <w:t>národní</w:t>
      </w:r>
      <w:r w:rsidRPr="004C3F58">
        <w:rPr>
          <w:rFonts w:ascii="Calibri" w:hAnsi="Calibri" w:cs="Arial"/>
          <w:szCs w:val="22"/>
        </w:rPr>
        <w:t xml:space="preserve"> kulturní památky a zavazuje se dodržovat všechny obecně závazné právní předpisy, zejména předpisy na úseku památkové péče, bezpečnostní a protipožární předpisy. </w:t>
      </w:r>
    </w:p>
    <w:p w:rsidR="00B56483" w:rsidRPr="004C3F58" w:rsidRDefault="00B56483" w:rsidP="002555CF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Provozovatel se zavazuje během užívání předmětných prostor dodržovat organizační a bezpečnostní pokyny zaměstnanců NPÚ.</w:t>
      </w:r>
    </w:p>
    <w:p w:rsidR="00B56483" w:rsidRPr="004C3F58" w:rsidRDefault="00B56483" w:rsidP="00E22C80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Provozovatel je povinen upozornit NPÚ na všechna zjištěná nebezpečí a závady, která mohou vést ke vzniku škod NPÚ. Stejnou povinnost má i NPÚ vůči Provozovateli. V případě, že upozorněná strana nebezpečí a závady bez zbytečného odkladu neodstraní, je ohrožená strana oprávněna odstranit nebezpečí a závady na náklady strany v prodlení.</w:t>
      </w:r>
    </w:p>
    <w:p w:rsidR="00B56483" w:rsidRPr="004C3F58" w:rsidRDefault="00B56483" w:rsidP="00E22C80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Provozovatel odpovídá za to, že provoz jím instalovaného zařízení nebude zasahovat do radiového nebo televizního zařízení nebo jiného elektronického zařízení v areálu </w:t>
      </w:r>
      <w:r w:rsidRPr="00E22C80">
        <w:rPr>
          <w:rFonts w:ascii="Calibri" w:hAnsi="Calibri"/>
          <w:highlight w:val="lightGray"/>
        </w:rPr>
        <w:t>NKP Důl Michal.</w:t>
      </w:r>
      <w:r w:rsidRPr="004C3F58">
        <w:rPr>
          <w:rFonts w:ascii="Calibri" w:hAnsi="Calibri" w:cs="Arial"/>
          <w:szCs w:val="22"/>
        </w:rPr>
        <w:t xml:space="preserve"> </w:t>
      </w:r>
    </w:p>
    <w:p w:rsidR="00B56483" w:rsidRPr="004C3F58" w:rsidRDefault="00B56483" w:rsidP="00E22C80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Provozovatel je oprávněn přizpůsobovat instalovanou technologii zařízení včetně antén danému stavu techniky a svým potřebám a změnit ji zcela nebo částečně, pokud se tím nerozšíří rozsah umístění zařízení dle čl. II. této smlouvy. </w:t>
      </w:r>
    </w:p>
    <w:p w:rsidR="00B56483" w:rsidRPr="004C3F58" w:rsidRDefault="00B56483" w:rsidP="00E22C80">
      <w:pPr>
        <w:numPr>
          <w:ilvl w:val="2"/>
          <w:numId w:val="17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lastRenderedPageBreak/>
        <w:t>Provozovatel odpovídá za veškerou škodu, způsobenou na předmětných prostorech v důsledku instalace, provozu, údržby nebo odstraněn zařízení Provozovatele.</w:t>
      </w:r>
    </w:p>
    <w:p w:rsidR="00B56483" w:rsidRPr="004C3F58" w:rsidRDefault="00B56483" w:rsidP="00B56483">
      <w:pPr>
        <w:tabs>
          <w:tab w:val="left" w:pos="-1701"/>
          <w:tab w:val="left" w:pos="0"/>
        </w:tabs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-1701"/>
          <w:tab w:val="left" w:pos="0"/>
        </w:tabs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-1701"/>
          <w:tab w:val="left" w:pos="567"/>
        </w:tabs>
        <w:ind w:left="284" w:hanging="284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5.2</w:t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ab/>
        <w:t xml:space="preserve">   </w:t>
      </w:r>
      <w:r w:rsidRPr="004C3F58">
        <w:rPr>
          <w:rFonts w:ascii="Calibri" w:hAnsi="Calibri" w:cs="Arial"/>
          <w:szCs w:val="22"/>
          <w:u w:val="single"/>
        </w:rPr>
        <w:t>Práva a povinnosti NPÚ</w:t>
      </w:r>
    </w:p>
    <w:p w:rsidR="00B56483" w:rsidRPr="004C3F58" w:rsidRDefault="00B56483" w:rsidP="00B56483">
      <w:pPr>
        <w:tabs>
          <w:tab w:val="left" w:pos="-1843"/>
          <w:tab w:val="left" w:pos="-1701"/>
        </w:tabs>
        <w:ind w:left="900" w:hanging="900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-1843"/>
          <w:tab w:val="left" w:pos="-1701"/>
        </w:tabs>
        <w:ind w:left="720" w:hanging="72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5.2.1</w:t>
      </w:r>
      <w:r w:rsidRPr="004C3F58">
        <w:rPr>
          <w:rFonts w:ascii="Calibri" w:hAnsi="Calibri" w:cs="Arial"/>
          <w:szCs w:val="22"/>
        </w:rPr>
        <w:tab/>
        <w:t>NPÚ se zavazuje předat Provozovateli předmětné prostory ve stavu způsobilém ke smluvenému účelu užívání.</w:t>
      </w:r>
    </w:p>
    <w:p w:rsidR="00B56483" w:rsidRPr="004C3F58" w:rsidRDefault="00B56483" w:rsidP="00B56483">
      <w:pPr>
        <w:tabs>
          <w:tab w:val="left" w:pos="-1843"/>
          <w:tab w:val="left" w:pos="-1701"/>
        </w:tabs>
        <w:ind w:left="720" w:hanging="72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5.2.2</w:t>
      </w:r>
      <w:r w:rsidRPr="004C3F58">
        <w:rPr>
          <w:rFonts w:ascii="Calibri" w:hAnsi="Calibri" w:cs="Arial"/>
          <w:szCs w:val="22"/>
        </w:rPr>
        <w:tab/>
        <w:t xml:space="preserve">NPÚ je povinen udržovat </w:t>
      </w:r>
      <w:r w:rsidR="002555CF">
        <w:rPr>
          <w:rFonts w:ascii="Calibri" w:hAnsi="Calibri" w:cs="Arial"/>
          <w:szCs w:val="22"/>
        </w:rPr>
        <w:t>předmětn</w:t>
      </w:r>
      <w:r w:rsidR="000F1261">
        <w:rPr>
          <w:rFonts w:ascii="Calibri" w:hAnsi="Calibri" w:cs="Arial"/>
          <w:szCs w:val="22"/>
        </w:rPr>
        <w:t>é</w:t>
      </w:r>
      <w:r w:rsidR="002555CF">
        <w:rPr>
          <w:rFonts w:ascii="Calibri" w:hAnsi="Calibri" w:cs="Arial"/>
          <w:szCs w:val="22"/>
        </w:rPr>
        <w:t xml:space="preserve"> prostory</w:t>
      </w:r>
      <w:r w:rsidRPr="004C3F58">
        <w:rPr>
          <w:rFonts w:ascii="Calibri" w:hAnsi="Calibri" w:cs="Arial"/>
          <w:szCs w:val="22"/>
        </w:rPr>
        <w:t xml:space="preserve"> ve stavu způsobilém k smluvenému užívání, a zabezpečovat řádně plnění činností, jejichž výkon je s užíváním spojen.</w:t>
      </w:r>
    </w:p>
    <w:p w:rsidR="00B56483" w:rsidRPr="004C3F58" w:rsidRDefault="00B56483" w:rsidP="00B56483">
      <w:pPr>
        <w:ind w:left="720" w:hanging="72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5.2.3</w:t>
      </w:r>
      <w:r w:rsidRPr="004C3F58">
        <w:rPr>
          <w:rFonts w:ascii="Calibri" w:hAnsi="Calibri" w:cs="Arial"/>
          <w:szCs w:val="22"/>
        </w:rPr>
        <w:tab/>
        <w:t>NPÚ</w:t>
      </w:r>
      <w:r w:rsidRPr="004C3F58">
        <w:rPr>
          <w:rFonts w:ascii="Calibri" w:hAnsi="Calibri" w:cs="Arial"/>
          <w:b/>
          <w:szCs w:val="22"/>
        </w:rPr>
        <w:t xml:space="preserve"> </w:t>
      </w:r>
      <w:r w:rsidRPr="004C3F58">
        <w:rPr>
          <w:rFonts w:ascii="Calibri" w:hAnsi="Calibri" w:cs="Arial"/>
          <w:szCs w:val="22"/>
        </w:rPr>
        <w:t xml:space="preserve">umožní určeným </w:t>
      </w:r>
      <w:r w:rsidR="002555CF">
        <w:rPr>
          <w:rFonts w:ascii="Calibri" w:hAnsi="Calibri" w:cs="Arial"/>
          <w:szCs w:val="22"/>
        </w:rPr>
        <w:t>zaměstnancům</w:t>
      </w:r>
      <w:r w:rsidRPr="004C3F58">
        <w:rPr>
          <w:rFonts w:ascii="Calibri" w:hAnsi="Calibri" w:cs="Arial"/>
          <w:szCs w:val="22"/>
        </w:rPr>
        <w:t xml:space="preserve"> Provozovatele přístup k zařízení (případně vjezd na pozemek) kdykoliv podle aktuální potřeby zajišťování provozu zařízení Provozovatele. Seznam těchto pracovníků bude předán NPÚ (zástupci ve věcech technických).</w:t>
      </w:r>
    </w:p>
    <w:p w:rsidR="00B56483" w:rsidRPr="004C3F58" w:rsidRDefault="00B56483" w:rsidP="00B56483">
      <w:pPr>
        <w:tabs>
          <w:tab w:val="left" w:pos="900"/>
          <w:tab w:val="right" w:pos="3544"/>
        </w:tabs>
        <w:ind w:left="720" w:hanging="72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5.2.4</w:t>
      </w:r>
      <w:r w:rsidRPr="004C3F58">
        <w:rPr>
          <w:rFonts w:ascii="Calibri" w:hAnsi="Calibri" w:cs="Arial"/>
          <w:szCs w:val="22"/>
        </w:rPr>
        <w:tab/>
        <w:t>NPÚ má právo vstupu do předmětných prostor po předchozím oznámení Provozovateli v dostatečném předstihu (zpravidla 48 hodin). V mimořádných případech (havárie zařízení, hrozící nebezpečí požáru, podezření z vniknutí neoprávněné osoby</w:t>
      </w:r>
      <w:r w:rsidR="002555CF">
        <w:rPr>
          <w:rFonts w:ascii="Calibri" w:hAnsi="Calibri" w:cs="Arial"/>
          <w:szCs w:val="22"/>
        </w:rPr>
        <w:t xml:space="preserve"> apod.</w:t>
      </w:r>
      <w:r w:rsidRPr="004C3F58">
        <w:rPr>
          <w:rFonts w:ascii="Calibri" w:hAnsi="Calibri" w:cs="Arial"/>
          <w:szCs w:val="22"/>
        </w:rPr>
        <w:t>) má NPÚ právo vstupu do předmětných prostor</w:t>
      </w:r>
      <w:r w:rsidR="002555CF">
        <w:rPr>
          <w:rFonts w:ascii="Calibri" w:hAnsi="Calibri" w:cs="Arial"/>
          <w:szCs w:val="22"/>
        </w:rPr>
        <w:t xml:space="preserve"> bez předchozího oznámení</w:t>
      </w:r>
      <w:r w:rsidRPr="004C3F58">
        <w:rPr>
          <w:rFonts w:ascii="Calibri" w:hAnsi="Calibri" w:cs="Arial"/>
          <w:szCs w:val="22"/>
        </w:rPr>
        <w:t xml:space="preserve">, každý takovýto vstup neprodleně oznámí Provozovateli. 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0"/>
        </w:tabs>
        <w:ind w:left="900" w:hanging="900"/>
        <w:rPr>
          <w:rFonts w:ascii="Calibri" w:hAnsi="Calibri" w:cs="Arial"/>
          <w:szCs w:val="22"/>
        </w:rPr>
      </w:pPr>
    </w:p>
    <w:p w:rsidR="00B56483" w:rsidRP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V</w:t>
      </w:r>
      <w:r>
        <w:rPr>
          <w:rFonts w:ascii="Calibri" w:hAnsi="Calibri" w:cs="Arial"/>
          <w:b/>
          <w:szCs w:val="22"/>
        </w:rPr>
        <w:t>I</w:t>
      </w:r>
      <w:r w:rsidRPr="00B56483">
        <w:rPr>
          <w:rFonts w:ascii="Calibri" w:hAnsi="Calibri" w:cs="Arial"/>
          <w:b/>
          <w:szCs w:val="22"/>
        </w:rPr>
        <w:t>.</w:t>
      </w: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Sjednaná doba a skončení sjednané doby pro umístění zařízení</w:t>
      </w: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</w:p>
    <w:p w:rsidR="00B56483" w:rsidRPr="004C3F58" w:rsidRDefault="007065A2" w:rsidP="00E22C80">
      <w:pPr>
        <w:numPr>
          <w:ilvl w:val="1"/>
          <w:numId w:val="16"/>
        </w:numPr>
        <w:tabs>
          <w:tab w:val="left" w:pos="0"/>
        </w:tabs>
        <w:jc w:val="left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szCs w:val="22"/>
        </w:rPr>
        <w:t>Smlouva se uzavírá na dobu určitou</w:t>
      </w:r>
      <w:r w:rsidR="00B56483" w:rsidRPr="004C3F58">
        <w:rPr>
          <w:rFonts w:ascii="Calibri" w:hAnsi="Calibri" w:cs="Arial"/>
          <w:szCs w:val="22"/>
        </w:rPr>
        <w:t xml:space="preserve"> </w:t>
      </w:r>
      <w:r w:rsidR="00B56483" w:rsidRPr="00E22C80">
        <w:rPr>
          <w:rFonts w:ascii="Calibri" w:hAnsi="Calibri"/>
          <w:b/>
          <w:highlight w:val="lightGray"/>
        </w:rPr>
        <w:t xml:space="preserve">od 1. </w:t>
      </w:r>
      <w:r w:rsidR="00A74A66">
        <w:rPr>
          <w:rFonts w:ascii="Calibri" w:hAnsi="Calibri"/>
          <w:b/>
          <w:highlight w:val="lightGray"/>
        </w:rPr>
        <w:t>1</w:t>
      </w:r>
      <w:r w:rsidR="00CD6865">
        <w:rPr>
          <w:rFonts w:ascii="Calibri" w:hAnsi="Calibri"/>
          <w:b/>
          <w:highlight w:val="lightGray"/>
        </w:rPr>
        <w:t>. 2020</w:t>
      </w:r>
      <w:r w:rsidR="00B56483" w:rsidRPr="00E22C80">
        <w:rPr>
          <w:rFonts w:ascii="Calibri" w:hAnsi="Calibri"/>
          <w:b/>
          <w:highlight w:val="lightGray"/>
        </w:rPr>
        <w:t xml:space="preserve"> do 31. </w:t>
      </w:r>
      <w:r w:rsidR="00A74A66">
        <w:rPr>
          <w:rFonts w:ascii="Calibri" w:hAnsi="Calibri"/>
          <w:b/>
          <w:highlight w:val="lightGray"/>
        </w:rPr>
        <w:t>12</w:t>
      </w:r>
      <w:r w:rsidR="00CD6865">
        <w:rPr>
          <w:rFonts w:ascii="Calibri" w:hAnsi="Calibri"/>
          <w:b/>
          <w:highlight w:val="lightGray"/>
        </w:rPr>
        <w:t>. 2020</w:t>
      </w:r>
      <w:r w:rsidR="00B56483" w:rsidRPr="004C3F58">
        <w:rPr>
          <w:rFonts w:ascii="Calibri" w:hAnsi="Calibri" w:cs="Arial"/>
          <w:b/>
          <w:szCs w:val="22"/>
        </w:rPr>
        <w:t>.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</w:p>
    <w:p w:rsidR="00B56483" w:rsidRPr="004C3F58" w:rsidRDefault="002555CF" w:rsidP="00B56483">
      <w:pPr>
        <w:numPr>
          <w:ilvl w:val="1"/>
          <w:numId w:val="16"/>
        </w:numPr>
        <w:tabs>
          <w:tab w:val="left" w:pos="0"/>
        </w:tabs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Tato smlouva</w:t>
      </w:r>
      <w:r w:rsidR="00B56483" w:rsidRPr="004C3F58">
        <w:rPr>
          <w:rFonts w:ascii="Calibri" w:hAnsi="Calibri" w:cs="Arial"/>
          <w:szCs w:val="22"/>
        </w:rPr>
        <w:t xml:space="preserve"> končí uplynutím doby, na kterou byl</w:t>
      </w:r>
      <w:r>
        <w:rPr>
          <w:rFonts w:ascii="Calibri" w:hAnsi="Calibri" w:cs="Arial"/>
          <w:szCs w:val="22"/>
        </w:rPr>
        <w:t>a</w:t>
      </w:r>
      <w:r w:rsidR="00B56483" w:rsidRPr="004C3F58">
        <w:rPr>
          <w:rFonts w:ascii="Calibri" w:hAnsi="Calibri" w:cs="Arial"/>
          <w:szCs w:val="22"/>
        </w:rPr>
        <w:t xml:space="preserve"> sjednán</w:t>
      </w:r>
      <w:r>
        <w:rPr>
          <w:rFonts w:ascii="Calibri" w:hAnsi="Calibri" w:cs="Arial"/>
          <w:szCs w:val="22"/>
        </w:rPr>
        <w:t>a</w:t>
      </w:r>
      <w:r w:rsidR="00B56483" w:rsidRPr="004C3F58">
        <w:rPr>
          <w:rFonts w:ascii="Calibri" w:hAnsi="Calibri" w:cs="Arial"/>
          <w:szCs w:val="22"/>
        </w:rPr>
        <w:t>, dohodou smluvních stran</w:t>
      </w:r>
      <w:r>
        <w:rPr>
          <w:rFonts w:ascii="Calibri" w:hAnsi="Calibri" w:cs="Arial"/>
          <w:szCs w:val="22"/>
        </w:rPr>
        <w:t>, odstoupením</w:t>
      </w:r>
      <w:r w:rsidR="00B56483" w:rsidRPr="004C3F58">
        <w:rPr>
          <w:rFonts w:ascii="Calibri" w:hAnsi="Calibri" w:cs="Arial"/>
          <w:szCs w:val="22"/>
        </w:rPr>
        <w:t xml:space="preserve"> nebo výpovědí. </w:t>
      </w:r>
    </w:p>
    <w:p w:rsidR="00B56483" w:rsidRPr="004C3F58" w:rsidRDefault="00B56483" w:rsidP="00B56483">
      <w:pPr>
        <w:tabs>
          <w:tab w:val="left" w:pos="0"/>
        </w:tabs>
        <w:ind w:left="705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numPr>
          <w:ilvl w:val="1"/>
          <w:numId w:val="16"/>
        </w:numPr>
        <w:jc w:val="left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Každá ze smluvních stran může smlouvu vypovědět i bez udání důvodů s výpovědní lhůtou 3 měsíce.</w:t>
      </w:r>
      <w:r w:rsidR="002555CF" w:rsidRPr="002555CF">
        <w:rPr>
          <w:rFonts w:ascii="Calibri" w:hAnsi="Calibri" w:cs="Arial"/>
          <w:szCs w:val="22"/>
        </w:rPr>
        <w:t xml:space="preserve"> </w:t>
      </w:r>
      <w:r w:rsidR="002555CF" w:rsidRPr="004C3F58">
        <w:rPr>
          <w:rFonts w:ascii="Calibri" w:hAnsi="Calibri" w:cs="Arial"/>
          <w:szCs w:val="22"/>
        </w:rPr>
        <w:t xml:space="preserve">Výpověď musí být písemná. Výpovědní doba počíná běžet prvním dnem následujícím po </w:t>
      </w:r>
      <w:r w:rsidR="002555CF">
        <w:rPr>
          <w:rFonts w:ascii="Calibri" w:hAnsi="Calibri" w:cs="Arial"/>
          <w:szCs w:val="22"/>
        </w:rPr>
        <w:t xml:space="preserve">dni </w:t>
      </w:r>
      <w:r w:rsidR="002555CF" w:rsidRPr="004C3F58">
        <w:rPr>
          <w:rFonts w:ascii="Calibri" w:hAnsi="Calibri" w:cs="Arial"/>
          <w:szCs w:val="22"/>
        </w:rPr>
        <w:t>doručení výpovědi druhé smluvní straně.</w:t>
      </w:r>
    </w:p>
    <w:p w:rsidR="00B56483" w:rsidRPr="004C3F58" w:rsidRDefault="00B56483" w:rsidP="00B56483">
      <w:pPr>
        <w:ind w:left="705"/>
        <w:rPr>
          <w:rFonts w:ascii="Calibri" w:hAnsi="Calibri" w:cs="Arial"/>
          <w:szCs w:val="22"/>
        </w:rPr>
      </w:pPr>
    </w:p>
    <w:p w:rsidR="00B56483" w:rsidRPr="004C3F58" w:rsidRDefault="002555CF" w:rsidP="00B56483">
      <w:pPr>
        <w:numPr>
          <w:ilvl w:val="1"/>
          <w:numId w:val="16"/>
        </w:numPr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NPÚ je oprávněn od této</w:t>
      </w:r>
      <w:r w:rsidR="00B56483" w:rsidRPr="004C3F58">
        <w:rPr>
          <w:rFonts w:ascii="Calibri" w:hAnsi="Calibri" w:cs="Arial"/>
          <w:szCs w:val="22"/>
        </w:rPr>
        <w:t xml:space="preserve"> smlouv</w:t>
      </w:r>
      <w:r>
        <w:rPr>
          <w:rFonts w:ascii="Calibri" w:hAnsi="Calibri" w:cs="Arial"/>
          <w:szCs w:val="22"/>
        </w:rPr>
        <w:t>y</w:t>
      </w:r>
      <w:r w:rsidR="00B56483" w:rsidRPr="004C3F58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odstoupit</w:t>
      </w:r>
      <w:r w:rsidR="00B56483" w:rsidRPr="004C3F58">
        <w:rPr>
          <w:rFonts w:ascii="Calibri" w:hAnsi="Calibri" w:cs="Arial"/>
          <w:szCs w:val="22"/>
        </w:rPr>
        <w:t xml:space="preserve"> v případech, kdy Provozovatel porušuje své povinnosti zvlášť závažným způsobem. Za zvlášť závažné porušení povinností Provozovatelem se považuje:</w:t>
      </w:r>
    </w:p>
    <w:p w:rsidR="00B56483" w:rsidRPr="004C3F58" w:rsidRDefault="00B56483" w:rsidP="00B56483">
      <w:pPr>
        <w:numPr>
          <w:ilvl w:val="0"/>
          <w:numId w:val="19"/>
        </w:numPr>
        <w:jc w:val="left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jestliže Provozovatel řádně a včas neplní své povinnosti stanovené touto smlouvou,</w:t>
      </w:r>
    </w:p>
    <w:p w:rsidR="00B56483" w:rsidRDefault="00B56483" w:rsidP="00B56483">
      <w:pPr>
        <w:numPr>
          <w:ilvl w:val="0"/>
          <w:numId w:val="19"/>
        </w:numPr>
        <w:jc w:val="left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jestliže Provozovatel bude v prodlení s placením </w:t>
      </w:r>
      <w:r w:rsidR="002555CF">
        <w:rPr>
          <w:rFonts w:ascii="Calibri" w:hAnsi="Calibri" w:cs="Arial"/>
          <w:szCs w:val="22"/>
        </w:rPr>
        <w:t xml:space="preserve">úhrady </w:t>
      </w:r>
      <w:r w:rsidRPr="004C3F58">
        <w:rPr>
          <w:rFonts w:ascii="Calibri" w:hAnsi="Calibri" w:cs="Arial"/>
          <w:szCs w:val="22"/>
        </w:rPr>
        <w:t xml:space="preserve">za umístění zařízení a za elektrickou energii po dobu delší 15 dnů. </w:t>
      </w:r>
    </w:p>
    <w:p w:rsidR="002555CF" w:rsidRDefault="002555CF" w:rsidP="00E22C80">
      <w:pPr>
        <w:ind w:left="705"/>
        <w:jc w:val="left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Účinnost odstoupení </w:t>
      </w:r>
      <w:r w:rsidRPr="00D67ECB">
        <w:rPr>
          <w:rFonts w:ascii="Calibri" w:hAnsi="Calibri"/>
        </w:rPr>
        <w:t xml:space="preserve">nastává </w:t>
      </w:r>
      <w:r>
        <w:rPr>
          <w:rFonts w:ascii="Calibri" w:hAnsi="Calibri"/>
        </w:rPr>
        <w:t>dnem následujícím po dni</w:t>
      </w:r>
      <w:r w:rsidRPr="00D67ECB">
        <w:rPr>
          <w:rFonts w:ascii="Calibri" w:hAnsi="Calibri"/>
        </w:rPr>
        <w:t xml:space="preserve"> doručení písemné </w:t>
      </w:r>
      <w:r>
        <w:rPr>
          <w:rFonts w:ascii="Calibri" w:hAnsi="Calibri"/>
        </w:rPr>
        <w:t>výpovědi</w:t>
      </w:r>
      <w:r w:rsidRPr="00D67ECB">
        <w:rPr>
          <w:rFonts w:ascii="Calibri" w:hAnsi="Calibri"/>
        </w:rPr>
        <w:t xml:space="preserve"> druhé straně</w:t>
      </w:r>
      <w:r>
        <w:rPr>
          <w:rFonts w:ascii="Calibri" w:hAnsi="Calibri"/>
        </w:rPr>
        <w:t>.</w:t>
      </w:r>
    </w:p>
    <w:p w:rsidR="007065A2" w:rsidRDefault="007065A2" w:rsidP="002555CF">
      <w:pPr>
        <w:ind w:left="705"/>
        <w:jc w:val="left"/>
        <w:rPr>
          <w:rFonts w:ascii="Calibri" w:hAnsi="Calibri"/>
        </w:rPr>
      </w:pPr>
    </w:p>
    <w:p w:rsidR="007065A2" w:rsidRPr="004C3F58" w:rsidRDefault="007065A2" w:rsidP="007065A2">
      <w:pPr>
        <w:numPr>
          <w:ilvl w:val="1"/>
          <w:numId w:val="16"/>
        </w:numPr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Výpověď ani odstoupení se nikterak nedotýká nároku na úhradu smluvních pokut či náhrady škody.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</w:p>
    <w:p w:rsidR="00B56483" w:rsidRPr="00B56483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 V</w:t>
      </w:r>
      <w:r>
        <w:rPr>
          <w:rFonts w:ascii="Calibri" w:hAnsi="Calibri" w:cs="Arial"/>
          <w:b/>
          <w:szCs w:val="22"/>
        </w:rPr>
        <w:t>II</w:t>
      </w:r>
      <w:r w:rsidRPr="00B56483">
        <w:rPr>
          <w:rFonts w:ascii="Calibri" w:hAnsi="Calibri" w:cs="Arial"/>
          <w:b/>
          <w:szCs w:val="22"/>
        </w:rPr>
        <w:t>.</w:t>
      </w: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Vypořádání při ukončení sjednané doby umístění zařízení</w:t>
      </w:r>
    </w:p>
    <w:p w:rsidR="00B56483" w:rsidRPr="004C3F58" w:rsidRDefault="00B56483" w:rsidP="00B56483">
      <w:pPr>
        <w:tabs>
          <w:tab w:val="left" w:pos="0"/>
        </w:tabs>
        <w:spacing w:line="240" w:lineRule="exact"/>
        <w:rPr>
          <w:rFonts w:ascii="Calibri" w:hAnsi="Calibri" w:cs="Arial"/>
          <w:szCs w:val="22"/>
        </w:rPr>
      </w:pPr>
    </w:p>
    <w:p w:rsidR="007065A2" w:rsidRPr="007065A2" w:rsidRDefault="007065A2" w:rsidP="007065A2">
      <w:pPr>
        <w:pStyle w:val="Odstavecseseznamem"/>
        <w:numPr>
          <w:ilvl w:val="0"/>
          <w:numId w:val="16"/>
        </w:numPr>
        <w:tabs>
          <w:tab w:val="left" w:pos="0"/>
        </w:tabs>
        <w:jc w:val="left"/>
        <w:rPr>
          <w:rFonts w:ascii="Calibri" w:hAnsi="Calibri" w:cs="Arial"/>
          <w:vanish/>
          <w:szCs w:val="22"/>
        </w:rPr>
      </w:pPr>
    </w:p>
    <w:p w:rsidR="00B56483" w:rsidRPr="004C3F58" w:rsidRDefault="00B56483" w:rsidP="00E22C80">
      <w:pPr>
        <w:numPr>
          <w:ilvl w:val="1"/>
          <w:numId w:val="16"/>
        </w:numPr>
        <w:tabs>
          <w:tab w:val="left" w:pos="0"/>
        </w:tabs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K datu ukončení </w:t>
      </w:r>
      <w:r w:rsidR="007065A2">
        <w:rPr>
          <w:rFonts w:ascii="Calibri" w:hAnsi="Calibri" w:cs="Arial"/>
          <w:szCs w:val="22"/>
        </w:rPr>
        <w:t xml:space="preserve">této </w:t>
      </w:r>
      <w:r w:rsidRPr="004C3F58">
        <w:rPr>
          <w:rFonts w:ascii="Calibri" w:hAnsi="Calibri" w:cs="Arial"/>
          <w:szCs w:val="22"/>
        </w:rPr>
        <w:t xml:space="preserve">smlouvy je Provozovatel zařízení povinen uvolnit užívané předmětné prostory a odstranit instalované zařízení a vrátit je NPÚ ve stavu, v jakém jej převzal, s přihlédnutím k jeho běžnému opotřebení a NPÚ schváleným úpravám. Pokud tak Provozovatel neučiní, vzniká NPÚ nárok na zaplacení smluvní pokuty ve výši 5 000,- Kč za každý započatý den do doby vyklizení užívaných předmětných prostor </w:t>
      </w:r>
      <w:r w:rsidR="004D36D6">
        <w:rPr>
          <w:rFonts w:ascii="Calibri" w:hAnsi="Calibri" w:cs="Arial"/>
          <w:szCs w:val="22"/>
        </w:rPr>
        <w:t>NPÚ</w:t>
      </w:r>
      <w:r w:rsidRPr="004C3F58">
        <w:rPr>
          <w:rFonts w:ascii="Calibri" w:hAnsi="Calibri" w:cs="Arial"/>
          <w:szCs w:val="22"/>
        </w:rPr>
        <w:t xml:space="preserve"> nebo do doby provedení vyklizení a odstranění zařízení NPÚ, a to na náklady Provozovatele, které je povinen uhradit.  </w:t>
      </w:r>
    </w:p>
    <w:p w:rsidR="00B56483" w:rsidRPr="004C3F58" w:rsidRDefault="00B56483" w:rsidP="00E22C80">
      <w:pPr>
        <w:ind w:left="705"/>
        <w:rPr>
          <w:rFonts w:ascii="Calibri" w:hAnsi="Calibri" w:cs="Arial"/>
          <w:szCs w:val="22"/>
        </w:rPr>
      </w:pPr>
    </w:p>
    <w:p w:rsidR="00B56483" w:rsidRPr="004C3F58" w:rsidRDefault="00B56483" w:rsidP="00E22C80">
      <w:pPr>
        <w:numPr>
          <w:ilvl w:val="1"/>
          <w:numId w:val="16"/>
        </w:numPr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Finanční vypořádání vzájemných závazků (popřípadě vrácení alikvotní části předplacených úhrad) bude provedeno do 30 kalendářních dnů ode dne ukončení smlouvy.</w:t>
      </w:r>
    </w:p>
    <w:p w:rsidR="00B56483" w:rsidRPr="004C3F58" w:rsidRDefault="00B56483" w:rsidP="00B56483">
      <w:pPr>
        <w:tabs>
          <w:tab w:val="left" w:pos="2205"/>
        </w:tabs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 xml:space="preserve"> </w:t>
      </w:r>
      <w:r w:rsidRPr="00B56483">
        <w:rPr>
          <w:rFonts w:ascii="Calibri" w:hAnsi="Calibri" w:cs="Arial"/>
          <w:b/>
          <w:szCs w:val="22"/>
        </w:rPr>
        <w:t xml:space="preserve">Článek </w:t>
      </w:r>
      <w:r w:rsidRPr="004C3F58">
        <w:rPr>
          <w:rFonts w:ascii="Calibri" w:hAnsi="Calibri" w:cs="Arial"/>
          <w:b/>
          <w:szCs w:val="22"/>
        </w:rPr>
        <w:t>VIII.</w:t>
      </w:r>
    </w:p>
    <w:p w:rsidR="00B56483" w:rsidRPr="004C3F58" w:rsidRDefault="00B56483" w:rsidP="00B56483">
      <w:pPr>
        <w:tabs>
          <w:tab w:val="left" w:pos="2205"/>
        </w:tabs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Zvláštní ujednání</w:t>
      </w:r>
    </w:p>
    <w:p w:rsidR="00B56483" w:rsidRPr="004C3F58" w:rsidRDefault="00B56483" w:rsidP="00B56483">
      <w:pPr>
        <w:tabs>
          <w:tab w:val="left" w:pos="2205"/>
        </w:tabs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tabs>
          <w:tab w:val="left" w:pos="0"/>
        </w:tabs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8.1</w:t>
      </w:r>
      <w:r w:rsidRPr="004C3F58">
        <w:rPr>
          <w:rFonts w:ascii="Calibri" w:hAnsi="Calibri" w:cs="Arial"/>
          <w:szCs w:val="22"/>
        </w:rPr>
        <w:tab/>
        <w:t>NPÚ prohlašuje, že na předmětu nájmu neváznou žádná práva a povinnosti, které by bránily jeho řádnému užívání Provozovatelem dle této smlouvy, a že ke dni podpisu této smlouvy nejsou NPÚ známy skutečnosti, které by mohly mít bezprostřední vliv na rozhodnutí Provozovatel</w:t>
      </w:r>
      <w:r w:rsidR="007065A2">
        <w:rPr>
          <w:rFonts w:ascii="Calibri" w:hAnsi="Calibri" w:cs="Arial"/>
          <w:szCs w:val="22"/>
        </w:rPr>
        <w:t>e</w:t>
      </w:r>
      <w:r w:rsidRPr="004C3F58">
        <w:rPr>
          <w:rFonts w:ascii="Calibri" w:hAnsi="Calibri" w:cs="Arial"/>
          <w:szCs w:val="22"/>
        </w:rPr>
        <w:t xml:space="preserve"> uzavřít tuto smlouvu.</w:t>
      </w: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autoSpaceDE w:val="0"/>
        <w:autoSpaceDN w:val="0"/>
        <w:ind w:left="705" w:hanging="705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szCs w:val="22"/>
        </w:rPr>
        <w:t>8.2</w:t>
      </w:r>
      <w:r w:rsidRPr="004C3F58">
        <w:rPr>
          <w:rFonts w:ascii="Calibri" w:hAnsi="Calibri" w:cs="Arial"/>
          <w:szCs w:val="22"/>
        </w:rPr>
        <w:tab/>
        <w:t>Vyskytnou-li se události, které jedné nebo oběma smluvním stranám částečně nebo úplně znemožní plnění jejich povinností podle této smlouvy, jsou smluvní strany povinny se o tomto bez zbytečného odkladu informovat a společně podniknout kroky k jejich překonání. Nesplnění této povinnosti zakládá právo na náhradu škody pro stranu, která se porušení smlouvy v tomto bodě nedopustila.</w:t>
      </w:r>
    </w:p>
    <w:p w:rsidR="00B56483" w:rsidRPr="008E27DB" w:rsidRDefault="00B56483" w:rsidP="00B56483">
      <w:pPr>
        <w:jc w:val="center"/>
        <w:rPr>
          <w:rFonts w:ascii="Calibri" w:hAnsi="Calibri" w:cs="Arial"/>
          <w:b/>
          <w:sz w:val="28"/>
          <w:szCs w:val="28"/>
        </w:rPr>
      </w:pP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B56483">
        <w:rPr>
          <w:rFonts w:ascii="Calibri" w:hAnsi="Calibri" w:cs="Arial"/>
          <w:b/>
          <w:szCs w:val="22"/>
        </w:rPr>
        <w:t>Článek</w:t>
      </w:r>
      <w:r w:rsidRPr="004C3F58">
        <w:rPr>
          <w:rFonts w:ascii="Calibri" w:hAnsi="Calibri" w:cs="Arial"/>
          <w:b/>
          <w:szCs w:val="22"/>
        </w:rPr>
        <w:t xml:space="preserve"> IX.</w:t>
      </w:r>
    </w:p>
    <w:p w:rsidR="00B56483" w:rsidRPr="004C3F58" w:rsidRDefault="00B56483" w:rsidP="00B56483">
      <w:pPr>
        <w:jc w:val="center"/>
        <w:rPr>
          <w:rFonts w:ascii="Calibri" w:hAnsi="Calibri" w:cs="Arial"/>
          <w:b/>
          <w:szCs w:val="22"/>
        </w:rPr>
      </w:pPr>
      <w:r w:rsidRPr="004C3F58">
        <w:rPr>
          <w:rFonts w:ascii="Calibri" w:hAnsi="Calibri" w:cs="Arial"/>
          <w:b/>
          <w:szCs w:val="22"/>
        </w:rPr>
        <w:t>Závěrečná ujednání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9.1</w:t>
      </w:r>
      <w:r w:rsidRPr="004C3F58">
        <w:rPr>
          <w:rFonts w:ascii="Calibri" w:hAnsi="Calibri" w:cs="Arial"/>
          <w:szCs w:val="22"/>
        </w:rPr>
        <w:tab/>
        <w:t xml:space="preserve">Tato smlouva nabývá platnosti dnem jejího podpisu oběma smluvními stranami a účinnosti od dne vstupu Provozovatele do objektu za účelem instalace zařízení, o čemž bude NPÚ předem vyrozuměn a sepsán předávací protokol, který se stane součástí této smlouvy. </w:t>
      </w:r>
    </w:p>
    <w:p w:rsidR="00B56483" w:rsidRPr="008E27DB" w:rsidRDefault="00B56483" w:rsidP="00B56483">
      <w:pPr>
        <w:ind w:left="705" w:hanging="705"/>
        <w:rPr>
          <w:rFonts w:ascii="Calibri" w:hAnsi="Calibri" w:cs="Arial"/>
          <w:sz w:val="16"/>
          <w:szCs w:val="16"/>
        </w:rPr>
      </w:pP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9.2</w:t>
      </w:r>
      <w:r w:rsidRPr="004C3F58">
        <w:rPr>
          <w:rFonts w:ascii="Calibri" w:hAnsi="Calibri" w:cs="Arial"/>
          <w:szCs w:val="22"/>
        </w:rPr>
        <w:tab/>
        <w:t>Na právní vztahy touto smlouvou neupravené se použijí příslušná ustanovení občanského zákoníku.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9.3</w:t>
      </w:r>
      <w:r w:rsidRPr="004C3F58">
        <w:rPr>
          <w:rFonts w:ascii="Calibri" w:hAnsi="Calibri" w:cs="Arial"/>
          <w:szCs w:val="22"/>
        </w:rPr>
        <w:tab/>
        <w:t>Veškeré změny a doplňky této smlouvy musí být učiněny písemně dodatkem k této smlouvě podepsaným oběma smluvními stranami.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9.4</w:t>
      </w:r>
      <w:r w:rsidRPr="004C3F58">
        <w:rPr>
          <w:rFonts w:ascii="Calibri" w:hAnsi="Calibri" w:cs="Arial"/>
          <w:szCs w:val="22"/>
        </w:rPr>
        <w:tab/>
        <w:t>Tato smlouva je sepsána ve dvou vyhotoveních. Každá ze smluvních stran obdrží po jednom totožném vyhotovení.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 </w:t>
      </w:r>
    </w:p>
    <w:p w:rsidR="00B56483" w:rsidRPr="004C3F58" w:rsidRDefault="00B56483" w:rsidP="00B56483">
      <w:pPr>
        <w:ind w:left="705" w:hanging="705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9.5</w:t>
      </w:r>
      <w:r w:rsidRPr="004C3F58">
        <w:rPr>
          <w:rFonts w:ascii="Calibri" w:hAnsi="Calibri" w:cs="Arial"/>
          <w:szCs w:val="22"/>
        </w:rPr>
        <w:tab/>
        <w:t>Smluvní strany prohlašují, že tato smlouva byla sjednána na základě jejich pravé a svobodné vůle, že si její obsah přečetly a bezvýhradně s ním souhlasí, což stvrzují svými vlastnoručními podpisy.</w:t>
      </w:r>
    </w:p>
    <w:p w:rsidR="00B56483" w:rsidRPr="004C3F58" w:rsidRDefault="00B56483" w:rsidP="00B56483">
      <w:pPr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V</w:t>
      </w:r>
      <w:r w:rsidR="00A74A66">
        <w:rPr>
          <w:rFonts w:ascii="Calibri" w:hAnsi="Calibri" w:cs="Arial"/>
          <w:szCs w:val="22"/>
        </w:rPr>
        <w:t> </w:t>
      </w:r>
      <w:r w:rsidRPr="004C3F58">
        <w:rPr>
          <w:rFonts w:ascii="Calibri" w:hAnsi="Calibri" w:cs="Arial"/>
          <w:szCs w:val="22"/>
        </w:rPr>
        <w:t>Os</w:t>
      </w:r>
      <w:r w:rsidR="006513ED">
        <w:rPr>
          <w:rFonts w:ascii="Calibri" w:hAnsi="Calibri" w:cs="Arial"/>
          <w:szCs w:val="22"/>
        </w:rPr>
        <w:t>travě</w:t>
      </w:r>
      <w:r w:rsidR="00A74A66">
        <w:rPr>
          <w:rFonts w:ascii="Calibri" w:hAnsi="Calibri" w:cs="Arial"/>
          <w:szCs w:val="22"/>
        </w:rPr>
        <w:t>,</w:t>
      </w:r>
      <w:r w:rsidR="006513ED">
        <w:rPr>
          <w:rFonts w:ascii="Calibri" w:hAnsi="Calibri" w:cs="Arial"/>
          <w:szCs w:val="22"/>
        </w:rPr>
        <w:t xml:space="preserve"> dne</w:t>
      </w:r>
      <w:r w:rsidR="009102B6">
        <w:rPr>
          <w:rFonts w:ascii="Calibri" w:hAnsi="Calibri" w:cs="Arial"/>
          <w:szCs w:val="22"/>
        </w:rPr>
        <w:t xml:space="preserve"> </w:t>
      </w:r>
      <w:r w:rsidR="00CD6865">
        <w:rPr>
          <w:rFonts w:ascii="Calibri" w:hAnsi="Calibri" w:cs="Arial"/>
          <w:szCs w:val="22"/>
        </w:rPr>
        <w:t>4</w:t>
      </w:r>
      <w:r w:rsidR="009102B6">
        <w:rPr>
          <w:rFonts w:ascii="Calibri" w:hAnsi="Calibri" w:cs="Arial"/>
          <w:szCs w:val="22"/>
        </w:rPr>
        <w:t xml:space="preserve">. </w:t>
      </w:r>
      <w:r w:rsidR="00A74A66">
        <w:rPr>
          <w:rFonts w:ascii="Calibri" w:hAnsi="Calibri" w:cs="Arial"/>
          <w:szCs w:val="22"/>
        </w:rPr>
        <w:t>12</w:t>
      </w:r>
      <w:r w:rsidR="009102B6">
        <w:rPr>
          <w:rFonts w:ascii="Calibri" w:hAnsi="Calibri" w:cs="Arial"/>
          <w:szCs w:val="22"/>
        </w:rPr>
        <w:t>. 201</w:t>
      </w:r>
      <w:r w:rsidR="00CD6865">
        <w:rPr>
          <w:rFonts w:ascii="Calibri" w:hAnsi="Calibri" w:cs="Arial"/>
          <w:szCs w:val="22"/>
        </w:rPr>
        <w:t>9</w:t>
      </w:r>
      <w:r w:rsidRPr="004C3F58">
        <w:rPr>
          <w:rFonts w:ascii="Calibri" w:hAnsi="Calibri" w:cs="Arial"/>
          <w:szCs w:val="22"/>
        </w:rPr>
        <w:t xml:space="preserve">                   </w:t>
      </w:r>
      <w:r w:rsidR="00A74A66">
        <w:rPr>
          <w:rFonts w:ascii="Calibri" w:hAnsi="Calibri" w:cs="Arial"/>
          <w:szCs w:val="22"/>
        </w:rPr>
        <w:t xml:space="preserve">  </w:t>
      </w:r>
      <w:r w:rsidRPr="004C3F58">
        <w:rPr>
          <w:rFonts w:ascii="Calibri" w:hAnsi="Calibri" w:cs="Arial"/>
          <w:szCs w:val="22"/>
        </w:rPr>
        <w:t xml:space="preserve"> </w:t>
      </w:r>
      <w:r w:rsidR="009102B6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>V</w:t>
      </w:r>
      <w:r w:rsidR="00A74A66">
        <w:rPr>
          <w:rFonts w:ascii="Calibri" w:hAnsi="Calibri" w:cs="Arial"/>
          <w:szCs w:val="22"/>
        </w:rPr>
        <w:t> </w:t>
      </w:r>
      <w:r w:rsidR="009102B6">
        <w:rPr>
          <w:rFonts w:ascii="Calibri" w:hAnsi="Calibri" w:cs="Arial"/>
          <w:szCs w:val="22"/>
        </w:rPr>
        <w:t>Ostravě</w:t>
      </w:r>
      <w:r w:rsidR="00A74A66">
        <w:rPr>
          <w:rFonts w:ascii="Calibri" w:hAnsi="Calibri" w:cs="Arial"/>
          <w:szCs w:val="22"/>
        </w:rPr>
        <w:t xml:space="preserve">, </w:t>
      </w:r>
      <w:r w:rsidRPr="004C3F58">
        <w:rPr>
          <w:rFonts w:ascii="Calibri" w:hAnsi="Calibri" w:cs="Arial"/>
          <w:szCs w:val="22"/>
        </w:rPr>
        <w:t>dne</w:t>
      </w:r>
      <w:r w:rsidR="009102B6">
        <w:rPr>
          <w:rFonts w:ascii="Calibri" w:hAnsi="Calibri" w:cs="Arial"/>
          <w:szCs w:val="22"/>
        </w:rPr>
        <w:t xml:space="preserve"> </w:t>
      </w:r>
      <w:r w:rsidR="002B66BB">
        <w:rPr>
          <w:rFonts w:ascii="Calibri" w:hAnsi="Calibri" w:cs="Arial"/>
          <w:szCs w:val="22"/>
        </w:rPr>
        <w:t>5.</w:t>
      </w:r>
      <w:r w:rsidR="00F21CD2">
        <w:rPr>
          <w:rFonts w:ascii="Calibri" w:hAnsi="Calibri" w:cs="Arial"/>
          <w:szCs w:val="22"/>
        </w:rPr>
        <w:t xml:space="preserve"> </w:t>
      </w:r>
      <w:r w:rsidR="002B66BB">
        <w:rPr>
          <w:rFonts w:ascii="Calibri" w:hAnsi="Calibri" w:cs="Arial"/>
          <w:szCs w:val="22"/>
        </w:rPr>
        <w:t>12.</w:t>
      </w:r>
      <w:r w:rsidR="00F21CD2">
        <w:rPr>
          <w:rFonts w:ascii="Calibri" w:hAnsi="Calibri" w:cs="Arial"/>
          <w:szCs w:val="22"/>
        </w:rPr>
        <w:t xml:space="preserve"> </w:t>
      </w:r>
      <w:bookmarkStart w:id="0" w:name="_GoBack"/>
      <w:bookmarkEnd w:id="0"/>
      <w:r w:rsidR="002B66BB">
        <w:rPr>
          <w:rFonts w:ascii="Calibri" w:hAnsi="Calibri" w:cs="Arial"/>
          <w:szCs w:val="22"/>
        </w:rPr>
        <w:t>2019</w:t>
      </w: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 xml:space="preserve">NPÚ: </w:t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ab/>
        <w:t xml:space="preserve">               </w:t>
      </w:r>
      <w:r w:rsidRPr="004C3F58">
        <w:rPr>
          <w:rFonts w:ascii="Calibri" w:hAnsi="Calibri" w:cs="Arial"/>
          <w:szCs w:val="22"/>
        </w:rPr>
        <w:tab/>
        <w:t xml:space="preserve"> Provozovatel: </w:t>
      </w: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B56483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ED7138" w:rsidRDefault="00ED7138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ED7138" w:rsidRDefault="00ED7138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465073" w:rsidRPr="004C3F58" w:rsidRDefault="00465073" w:rsidP="00B56483">
      <w:pPr>
        <w:autoSpaceDE w:val="0"/>
        <w:autoSpaceDN w:val="0"/>
        <w:rPr>
          <w:rFonts w:ascii="Calibri" w:hAnsi="Calibri" w:cs="Arial"/>
          <w:szCs w:val="22"/>
        </w:rPr>
      </w:pPr>
    </w:p>
    <w:p w:rsidR="00B56483" w:rsidRPr="004C3F58" w:rsidRDefault="00B56483" w:rsidP="00B56483">
      <w:pPr>
        <w:autoSpaceDE w:val="0"/>
        <w:autoSpaceDN w:val="0"/>
        <w:rPr>
          <w:rFonts w:ascii="Calibri" w:hAnsi="Calibri" w:cs="Arial"/>
          <w:szCs w:val="22"/>
        </w:rPr>
      </w:pPr>
      <w:r w:rsidRPr="004C3F58">
        <w:rPr>
          <w:rFonts w:ascii="Calibri" w:hAnsi="Calibri" w:cs="Arial"/>
          <w:szCs w:val="22"/>
        </w:rPr>
        <w:t>……………………………….</w:t>
      </w:r>
      <w:r w:rsidRPr="004C3F58">
        <w:rPr>
          <w:rFonts w:ascii="Calibri" w:hAnsi="Calibri" w:cs="Arial"/>
          <w:szCs w:val="22"/>
        </w:rPr>
        <w:tab/>
      </w:r>
      <w:r w:rsidRPr="004C3F58">
        <w:rPr>
          <w:rFonts w:ascii="Calibri" w:hAnsi="Calibri" w:cs="Arial"/>
          <w:szCs w:val="22"/>
        </w:rPr>
        <w:tab/>
        <w:t xml:space="preserve">                </w:t>
      </w:r>
      <w:r w:rsidRPr="004C3F58">
        <w:rPr>
          <w:rFonts w:ascii="Calibri" w:hAnsi="Calibri" w:cs="Arial"/>
          <w:szCs w:val="22"/>
        </w:rPr>
        <w:tab/>
        <w:t xml:space="preserve"> ……………………………………..</w:t>
      </w:r>
    </w:p>
    <w:sectPr w:rsidR="00B56483" w:rsidRPr="004C3F58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87" w:rsidRDefault="00786A87">
      <w:r>
        <w:separator/>
      </w:r>
    </w:p>
  </w:endnote>
  <w:endnote w:type="continuationSeparator" w:id="0">
    <w:p w:rsidR="00786A87" w:rsidRDefault="0078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6" w:rsidRPr="00670E5F" w:rsidRDefault="00CF15E6">
    <w:pPr>
      <w:pStyle w:val="Zpat"/>
      <w:jc w:val="center"/>
      <w:rPr>
        <w:rFonts w:ascii="Calibri" w:hAnsi="Calibri" w:cs="Arial"/>
        <w:sz w:val="20"/>
        <w:szCs w:val="20"/>
      </w:rPr>
    </w:pPr>
    <w:r w:rsidRPr="00670E5F">
      <w:rPr>
        <w:rFonts w:ascii="Calibri" w:hAnsi="Calibri" w:cs="Arial"/>
        <w:sz w:val="20"/>
        <w:szCs w:val="20"/>
      </w:rPr>
      <w:t xml:space="preserve">strana </w:t>
    </w:r>
    <w:r w:rsidRPr="00670E5F">
      <w:rPr>
        <w:rFonts w:ascii="Calibri" w:hAnsi="Calibri" w:cs="Arial"/>
        <w:sz w:val="20"/>
        <w:szCs w:val="20"/>
      </w:rPr>
      <w:fldChar w:fldCharType="begin"/>
    </w:r>
    <w:r w:rsidRPr="00670E5F">
      <w:rPr>
        <w:rFonts w:ascii="Calibri" w:hAnsi="Calibri" w:cs="Arial"/>
        <w:sz w:val="20"/>
        <w:szCs w:val="20"/>
      </w:rPr>
      <w:instrText xml:space="preserve"> PAGE   \* MERGEFORMAT </w:instrText>
    </w:r>
    <w:r w:rsidRPr="00670E5F">
      <w:rPr>
        <w:rFonts w:ascii="Calibri" w:hAnsi="Calibri" w:cs="Arial"/>
        <w:sz w:val="20"/>
        <w:szCs w:val="20"/>
      </w:rPr>
      <w:fldChar w:fldCharType="separate"/>
    </w:r>
    <w:r w:rsidR="00F21CD2">
      <w:rPr>
        <w:rFonts w:ascii="Calibri" w:hAnsi="Calibri" w:cs="Arial"/>
        <w:noProof/>
        <w:sz w:val="20"/>
        <w:szCs w:val="20"/>
      </w:rPr>
      <w:t>4</w:t>
    </w:r>
    <w:r w:rsidRPr="00670E5F">
      <w:rPr>
        <w:rFonts w:ascii="Calibri" w:hAnsi="Calibri" w:cs="Arial"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 xml:space="preserve"> (celkem </w:t>
    </w:r>
    <w:r w:rsidR="00F8683C">
      <w:rPr>
        <w:rFonts w:ascii="Calibri" w:hAnsi="Calibri" w:cs="Arial"/>
        <w:noProof/>
        <w:sz w:val="20"/>
        <w:szCs w:val="20"/>
      </w:rPr>
      <w:fldChar w:fldCharType="begin"/>
    </w:r>
    <w:r w:rsidR="00F8683C">
      <w:rPr>
        <w:rFonts w:ascii="Calibri" w:hAnsi="Calibri" w:cs="Arial"/>
        <w:noProof/>
        <w:sz w:val="20"/>
        <w:szCs w:val="20"/>
      </w:rPr>
      <w:instrText xml:space="preserve"> SECTIONPAGES   \* MERGEFORMAT </w:instrText>
    </w:r>
    <w:r w:rsidR="00F8683C">
      <w:rPr>
        <w:rFonts w:ascii="Calibri" w:hAnsi="Calibri" w:cs="Arial"/>
        <w:noProof/>
        <w:sz w:val="20"/>
        <w:szCs w:val="20"/>
      </w:rPr>
      <w:fldChar w:fldCharType="separate"/>
    </w:r>
    <w:r w:rsidR="00F21CD2">
      <w:rPr>
        <w:rFonts w:ascii="Calibri" w:hAnsi="Calibri" w:cs="Arial"/>
        <w:noProof/>
        <w:sz w:val="20"/>
        <w:szCs w:val="20"/>
      </w:rPr>
      <w:t>4</w:t>
    </w:r>
    <w:r w:rsidR="00F8683C">
      <w:rPr>
        <w:rFonts w:ascii="Calibri" w:hAnsi="Calibri" w:cs="Arial"/>
        <w:noProof/>
        <w:sz w:val="20"/>
        <w:szCs w:val="20"/>
      </w:rPr>
      <w:fldChar w:fldCharType="end"/>
    </w:r>
    <w:r w:rsidRPr="00670E5F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87" w:rsidRDefault="00786A87">
      <w:r>
        <w:separator/>
      </w:r>
    </w:p>
  </w:footnote>
  <w:footnote w:type="continuationSeparator" w:id="0">
    <w:p w:rsidR="00786A87" w:rsidRDefault="0078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E6" w:rsidRPr="00670E5F" w:rsidRDefault="001C66FF" w:rsidP="00D43565">
    <w:pPr>
      <w:pStyle w:val="Zhlav"/>
      <w:jc w:val="right"/>
      <w:rPr>
        <w:rFonts w:ascii="Calibri" w:hAnsi="Calibri"/>
      </w:rPr>
    </w:pPr>
    <w:r w:rsidRPr="00D44D8F">
      <w:rPr>
        <w:rFonts w:ascii="Calibri" w:hAnsi="Calibri"/>
      </w:rPr>
      <w:t>Smlouva č. NPÚ-450/</w:t>
    </w:r>
    <w:r w:rsidR="001C3A9A">
      <w:rPr>
        <w:rFonts w:ascii="Calibri" w:hAnsi="Calibri"/>
      </w:rPr>
      <w:t>96215</w:t>
    </w:r>
    <w:r w:rsidR="00B107CB" w:rsidRPr="00D44D8F">
      <w:rPr>
        <w:rFonts w:ascii="Calibri" w:hAnsi="Calibri"/>
      </w:rPr>
      <w:t>/201</w:t>
    </w:r>
    <w:r w:rsidR="00CD6865">
      <w:rPr>
        <w:rFonts w:ascii="Calibri" w:hAnsi="Calibri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909"/>
    <w:multiLevelType w:val="hybridMultilevel"/>
    <w:tmpl w:val="9B3AAA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AF0"/>
    <w:multiLevelType w:val="hybridMultilevel"/>
    <w:tmpl w:val="3886C650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344"/>
    <w:multiLevelType w:val="multilevel"/>
    <w:tmpl w:val="65BC4C8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A3D24"/>
    <w:multiLevelType w:val="multilevel"/>
    <w:tmpl w:val="960E3A90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2417A42"/>
    <w:multiLevelType w:val="hybridMultilevel"/>
    <w:tmpl w:val="0EF04EEE"/>
    <w:lvl w:ilvl="0" w:tplc="C6DA3F5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00420"/>
    <w:multiLevelType w:val="multilevel"/>
    <w:tmpl w:val="002294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09193F"/>
    <w:multiLevelType w:val="hybridMultilevel"/>
    <w:tmpl w:val="2FAEAA52"/>
    <w:lvl w:ilvl="0" w:tplc="6F06A68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EC0B9E6" w:tentative="1">
      <w:start w:val="1"/>
      <w:numFmt w:val="lowerLetter"/>
      <w:lvlText w:val="%2."/>
      <w:lvlJc w:val="left"/>
      <w:pPr>
        <w:ind w:left="1080" w:hanging="360"/>
      </w:pPr>
    </w:lvl>
    <w:lvl w:ilvl="2" w:tplc="4364B314" w:tentative="1">
      <w:start w:val="1"/>
      <w:numFmt w:val="lowerRoman"/>
      <w:lvlText w:val="%3."/>
      <w:lvlJc w:val="right"/>
      <w:pPr>
        <w:ind w:left="1800" w:hanging="180"/>
      </w:pPr>
    </w:lvl>
    <w:lvl w:ilvl="3" w:tplc="BB16D920" w:tentative="1">
      <w:start w:val="1"/>
      <w:numFmt w:val="decimal"/>
      <w:lvlText w:val="%4."/>
      <w:lvlJc w:val="left"/>
      <w:pPr>
        <w:ind w:left="2520" w:hanging="360"/>
      </w:pPr>
    </w:lvl>
    <w:lvl w:ilvl="4" w:tplc="53A8DC82" w:tentative="1">
      <w:start w:val="1"/>
      <w:numFmt w:val="lowerLetter"/>
      <w:lvlText w:val="%5."/>
      <w:lvlJc w:val="left"/>
      <w:pPr>
        <w:ind w:left="3240" w:hanging="360"/>
      </w:pPr>
    </w:lvl>
    <w:lvl w:ilvl="5" w:tplc="F32A17F0" w:tentative="1">
      <w:start w:val="1"/>
      <w:numFmt w:val="lowerRoman"/>
      <w:lvlText w:val="%6."/>
      <w:lvlJc w:val="right"/>
      <w:pPr>
        <w:ind w:left="3960" w:hanging="180"/>
      </w:pPr>
    </w:lvl>
    <w:lvl w:ilvl="6" w:tplc="96A4AB8E" w:tentative="1">
      <w:start w:val="1"/>
      <w:numFmt w:val="decimal"/>
      <w:lvlText w:val="%7."/>
      <w:lvlJc w:val="left"/>
      <w:pPr>
        <w:ind w:left="4680" w:hanging="360"/>
      </w:pPr>
    </w:lvl>
    <w:lvl w:ilvl="7" w:tplc="F9B665E8" w:tentative="1">
      <w:start w:val="1"/>
      <w:numFmt w:val="lowerLetter"/>
      <w:lvlText w:val="%8."/>
      <w:lvlJc w:val="left"/>
      <w:pPr>
        <w:ind w:left="5400" w:hanging="360"/>
      </w:pPr>
    </w:lvl>
    <w:lvl w:ilvl="8" w:tplc="E9A4EB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7669C"/>
    <w:multiLevelType w:val="multilevel"/>
    <w:tmpl w:val="6B16C5A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33101883"/>
    <w:multiLevelType w:val="hybridMultilevel"/>
    <w:tmpl w:val="17A6AB26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474C"/>
    <w:multiLevelType w:val="hybridMultilevel"/>
    <w:tmpl w:val="CCE6486A"/>
    <w:lvl w:ilvl="0" w:tplc="05B07DD4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C252780"/>
    <w:multiLevelType w:val="multilevel"/>
    <w:tmpl w:val="24D0B6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412EE9"/>
    <w:multiLevelType w:val="hybridMultilevel"/>
    <w:tmpl w:val="C99ABC6C"/>
    <w:lvl w:ilvl="0" w:tplc="4350C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36562"/>
    <w:multiLevelType w:val="multilevel"/>
    <w:tmpl w:val="65BC4C8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041ED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802AF"/>
    <w:multiLevelType w:val="hybridMultilevel"/>
    <w:tmpl w:val="9258B31E"/>
    <w:lvl w:ilvl="0" w:tplc="6CB4D2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5371A"/>
    <w:multiLevelType w:val="multilevel"/>
    <w:tmpl w:val="2C62F5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6F912A7"/>
    <w:multiLevelType w:val="hybridMultilevel"/>
    <w:tmpl w:val="CAF82350"/>
    <w:lvl w:ilvl="0" w:tplc="4350C6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045953"/>
    <w:multiLevelType w:val="hybridMultilevel"/>
    <w:tmpl w:val="C6D0A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0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2"/>
  </w:num>
  <w:num w:numId="11">
    <w:abstractNumId w:val="19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3"/>
  </w:num>
  <w:num w:numId="17">
    <w:abstractNumId w:val="17"/>
  </w:num>
  <w:num w:numId="18">
    <w:abstractNumId w:val="8"/>
  </w:num>
  <w:num w:numId="19">
    <w:abstractNumId w:val="10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98"/>
    <w:rsid w:val="00002BBF"/>
    <w:rsid w:val="00010E37"/>
    <w:rsid w:val="000131DE"/>
    <w:rsid w:val="00017881"/>
    <w:rsid w:val="00040B18"/>
    <w:rsid w:val="000448D7"/>
    <w:rsid w:val="00072189"/>
    <w:rsid w:val="000873F7"/>
    <w:rsid w:val="00087948"/>
    <w:rsid w:val="000A3229"/>
    <w:rsid w:val="000F1261"/>
    <w:rsid w:val="000F5058"/>
    <w:rsid w:val="001225D0"/>
    <w:rsid w:val="00135F81"/>
    <w:rsid w:val="0014067A"/>
    <w:rsid w:val="00140B78"/>
    <w:rsid w:val="00192072"/>
    <w:rsid w:val="00197498"/>
    <w:rsid w:val="001A6BDF"/>
    <w:rsid w:val="001A710A"/>
    <w:rsid w:val="001C3A9A"/>
    <w:rsid w:val="001C66FF"/>
    <w:rsid w:val="001E2D03"/>
    <w:rsid w:val="001F2212"/>
    <w:rsid w:val="001F6C60"/>
    <w:rsid w:val="002053E4"/>
    <w:rsid w:val="00231C4F"/>
    <w:rsid w:val="002555CF"/>
    <w:rsid w:val="0025644A"/>
    <w:rsid w:val="0027719A"/>
    <w:rsid w:val="002B66BB"/>
    <w:rsid w:val="002D2354"/>
    <w:rsid w:val="002E5299"/>
    <w:rsid w:val="0031276C"/>
    <w:rsid w:val="003557E3"/>
    <w:rsid w:val="00365020"/>
    <w:rsid w:val="0038394B"/>
    <w:rsid w:val="003923D7"/>
    <w:rsid w:val="003E05A8"/>
    <w:rsid w:val="003E7E64"/>
    <w:rsid w:val="00433058"/>
    <w:rsid w:val="00442A9D"/>
    <w:rsid w:val="00453722"/>
    <w:rsid w:val="00456AB3"/>
    <w:rsid w:val="00465073"/>
    <w:rsid w:val="00484693"/>
    <w:rsid w:val="00493690"/>
    <w:rsid w:val="004A6715"/>
    <w:rsid w:val="004B3953"/>
    <w:rsid w:val="004B5675"/>
    <w:rsid w:val="004C3F58"/>
    <w:rsid w:val="004D36D6"/>
    <w:rsid w:val="00500DBD"/>
    <w:rsid w:val="0052169F"/>
    <w:rsid w:val="00547C72"/>
    <w:rsid w:val="00566E70"/>
    <w:rsid w:val="0058665B"/>
    <w:rsid w:val="00593758"/>
    <w:rsid w:val="005B65D8"/>
    <w:rsid w:val="005C1E2F"/>
    <w:rsid w:val="005E555E"/>
    <w:rsid w:val="006245B6"/>
    <w:rsid w:val="006400BF"/>
    <w:rsid w:val="006513ED"/>
    <w:rsid w:val="00665B76"/>
    <w:rsid w:val="00670E5F"/>
    <w:rsid w:val="00676B13"/>
    <w:rsid w:val="00682C6D"/>
    <w:rsid w:val="0068386C"/>
    <w:rsid w:val="00685CA6"/>
    <w:rsid w:val="006A02B5"/>
    <w:rsid w:val="00701AC0"/>
    <w:rsid w:val="007065A2"/>
    <w:rsid w:val="0071388B"/>
    <w:rsid w:val="00714CF5"/>
    <w:rsid w:val="00741A8C"/>
    <w:rsid w:val="00786A87"/>
    <w:rsid w:val="007A4598"/>
    <w:rsid w:val="007B07E7"/>
    <w:rsid w:val="007E7D15"/>
    <w:rsid w:val="008319C4"/>
    <w:rsid w:val="008402BC"/>
    <w:rsid w:val="00851BBF"/>
    <w:rsid w:val="008528E7"/>
    <w:rsid w:val="008611D6"/>
    <w:rsid w:val="008627D1"/>
    <w:rsid w:val="0088060F"/>
    <w:rsid w:val="00885BD7"/>
    <w:rsid w:val="008A367D"/>
    <w:rsid w:val="008A637D"/>
    <w:rsid w:val="008C184E"/>
    <w:rsid w:val="008E27DB"/>
    <w:rsid w:val="008F66EE"/>
    <w:rsid w:val="008F6E70"/>
    <w:rsid w:val="00903688"/>
    <w:rsid w:val="009102B6"/>
    <w:rsid w:val="00945C8D"/>
    <w:rsid w:val="009C70BF"/>
    <w:rsid w:val="009D7C4F"/>
    <w:rsid w:val="009F37E1"/>
    <w:rsid w:val="00A03CEE"/>
    <w:rsid w:val="00A07238"/>
    <w:rsid w:val="00A17E8D"/>
    <w:rsid w:val="00A2173F"/>
    <w:rsid w:val="00A251DA"/>
    <w:rsid w:val="00A26851"/>
    <w:rsid w:val="00A45245"/>
    <w:rsid w:val="00A644C6"/>
    <w:rsid w:val="00A670A4"/>
    <w:rsid w:val="00A72EE0"/>
    <w:rsid w:val="00A74A66"/>
    <w:rsid w:val="00AB0909"/>
    <w:rsid w:val="00AC60CB"/>
    <w:rsid w:val="00B00572"/>
    <w:rsid w:val="00B107CB"/>
    <w:rsid w:val="00B145E3"/>
    <w:rsid w:val="00B220CB"/>
    <w:rsid w:val="00B25BAF"/>
    <w:rsid w:val="00B349D3"/>
    <w:rsid w:val="00B56483"/>
    <w:rsid w:val="00B64ED3"/>
    <w:rsid w:val="00B81270"/>
    <w:rsid w:val="00B83810"/>
    <w:rsid w:val="00BF0C5F"/>
    <w:rsid w:val="00BF180E"/>
    <w:rsid w:val="00BF758E"/>
    <w:rsid w:val="00C3444F"/>
    <w:rsid w:val="00C524FE"/>
    <w:rsid w:val="00C73B3D"/>
    <w:rsid w:val="00C8698B"/>
    <w:rsid w:val="00CC70FA"/>
    <w:rsid w:val="00CD6865"/>
    <w:rsid w:val="00CF15E6"/>
    <w:rsid w:val="00D05D68"/>
    <w:rsid w:val="00D05E97"/>
    <w:rsid w:val="00D264D1"/>
    <w:rsid w:val="00D43565"/>
    <w:rsid w:val="00D44D8F"/>
    <w:rsid w:val="00D944CB"/>
    <w:rsid w:val="00DA2B1B"/>
    <w:rsid w:val="00DD77DE"/>
    <w:rsid w:val="00E02B6B"/>
    <w:rsid w:val="00E21E9A"/>
    <w:rsid w:val="00E22C80"/>
    <w:rsid w:val="00E45141"/>
    <w:rsid w:val="00E57FAC"/>
    <w:rsid w:val="00E92C28"/>
    <w:rsid w:val="00E96251"/>
    <w:rsid w:val="00EA6018"/>
    <w:rsid w:val="00EC3673"/>
    <w:rsid w:val="00ED7138"/>
    <w:rsid w:val="00F03D4E"/>
    <w:rsid w:val="00F21CD2"/>
    <w:rsid w:val="00F23C31"/>
    <w:rsid w:val="00F2625D"/>
    <w:rsid w:val="00F429EB"/>
    <w:rsid w:val="00F473E2"/>
    <w:rsid w:val="00F70AC0"/>
    <w:rsid w:val="00F80C03"/>
    <w:rsid w:val="00F8683C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5429B"/>
  <w15:docId w15:val="{C7E0214E-2C1F-4949-8BEB-3467118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565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článek smlouva"/>
    <w:basedOn w:val="Normln"/>
    <w:next w:val="Normln"/>
    <w:qFormat/>
    <w:pPr>
      <w:keepNext/>
      <w:ind w:left="1416" w:firstLine="708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rPr>
      <w:rFonts w:cs="Arial"/>
    </w:rPr>
  </w:style>
  <w:style w:type="paragraph" w:styleId="Zkladntextodsazen">
    <w:name w:val="Body Text Indent"/>
    <w:basedOn w:val="Normln"/>
    <w:semiHidden/>
    <w:pPr>
      <w:ind w:firstLine="708"/>
    </w:pPr>
    <w:rPr>
      <w:rFonts w:cs="Arial"/>
      <w:szCs w:val="22"/>
    </w:rPr>
  </w:style>
  <w:style w:type="paragraph" w:customStyle="1" w:styleId="odstavce">
    <w:name w:val="odstavce"/>
    <w:basedOn w:val="Normln"/>
    <w:link w:val="odstavceChar"/>
    <w:qFormat/>
    <w:rsid w:val="00670E5F"/>
    <w:pPr>
      <w:spacing w:after="60"/>
      <w:ind w:left="425" w:hanging="425"/>
      <w:outlineLvl w:val="1"/>
    </w:pPr>
    <w:rPr>
      <w:rFonts w:ascii="Calibri" w:hAnsi="Calibri"/>
      <w:szCs w:val="22"/>
    </w:rPr>
  </w:style>
  <w:style w:type="paragraph" w:customStyle="1" w:styleId="psm">
    <w:name w:val="písm"/>
    <w:basedOn w:val="odstavce"/>
    <w:link w:val="psmChar"/>
    <w:qFormat/>
    <w:rsid w:val="00670E5F"/>
    <w:pPr>
      <w:tabs>
        <w:tab w:val="num" w:pos="360"/>
        <w:tab w:val="num" w:pos="2160"/>
      </w:tabs>
      <w:ind w:left="2160" w:hanging="180"/>
    </w:pPr>
  </w:style>
  <w:style w:type="character" w:customStyle="1" w:styleId="odstavceChar">
    <w:name w:val="odstavce Char"/>
    <w:link w:val="odstavce"/>
    <w:rsid w:val="00670E5F"/>
    <w:rPr>
      <w:rFonts w:ascii="Calibri" w:hAnsi="Calibri"/>
      <w:sz w:val="22"/>
      <w:szCs w:val="22"/>
    </w:rPr>
  </w:style>
  <w:style w:type="character" w:styleId="Odkaznakoment">
    <w:name w:val="annotation reference"/>
    <w:semiHidden/>
    <w:unhideWhenUsed/>
    <w:rsid w:val="00670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E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0E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E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0E5F"/>
    <w:rPr>
      <w:rFonts w:ascii="Arial" w:hAnsi="Arial"/>
      <w:b/>
      <w:bCs/>
    </w:rPr>
  </w:style>
  <w:style w:type="character" w:customStyle="1" w:styleId="psmChar">
    <w:name w:val="písm Char"/>
    <w:basedOn w:val="odstavceChar"/>
    <w:link w:val="psm"/>
    <w:rsid w:val="00D944CB"/>
    <w:rPr>
      <w:rFonts w:ascii="Calibri" w:hAnsi="Calibri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64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6483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5A2"/>
    <w:pPr>
      <w:ind w:left="708"/>
    </w:pPr>
  </w:style>
  <w:style w:type="paragraph" w:customStyle="1" w:styleId="Zkladntext21">
    <w:name w:val="Základní text 21"/>
    <w:basedOn w:val="Normln"/>
    <w:rsid w:val="00D44D8F"/>
    <w:pPr>
      <w:suppressAutoHyphens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1DD1-0284-4734-9426-D6EB23B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2019-12-04T07:13:00Z</cp:lastPrinted>
  <dcterms:created xsi:type="dcterms:W3CDTF">2019-12-20T13:50:00Z</dcterms:created>
  <dcterms:modified xsi:type="dcterms:W3CDTF">2019-12-20T13:50:00Z</dcterms:modified>
</cp:coreProperties>
</file>