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276770500"/>
      <w:bookmarkStart w:id="1" w:name="_Toc389545628"/>
      <w:r w:rsidRPr="00CE6D96">
        <w:rPr>
          <w:rFonts w:asciiTheme="minorHAnsi" w:hAnsiTheme="minorHAnsi" w:cstheme="minorHAnsi"/>
          <w:b/>
          <w:szCs w:val="24"/>
        </w:rPr>
        <w:t>SMLUVNÍ STRANY</w:t>
      </w:r>
      <w:bookmarkEnd w:id="0"/>
      <w:bookmarkEnd w:id="1"/>
    </w:p>
    <w:p w14:paraId="20C53A7C" w14:textId="77777777" w:rsidR="00CD3B76" w:rsidRDefault="00CD3B76" w:rsidP="00CD3B76">
      <w:pPr>
        <w:spacing w:line="240" w:lineRule="auto"/>
        <w:rPr>
          <w:rFonts w:asciiTheme="minorHAnsi" w:hAnsiTheme="minorHAnsi" w:cstheme="minorHAnsi"/>
          <w:b/>
          <w:sz w:val="24"/>
          <w:szCs w:val="24"/>
        </w:rPr>
      </w:pPr>
      <w:r>
        <w:rPr>
          <w:rFonts w:asciiTheme="minorHAnsi" w:hAnsiTheme="minorHAnsi" w:cstheme="minorHAnsi"/>
          <w:b/>
          <w:sz w:val="24"/>
          <w:szCs w:val="24"/>
        </w:rPr>
        <w:t>Obec Hobšovice</w:t>
      </w:r>
    </w:p>
    <w:p w14:paraId="496159B3" w14:textId="77777777" w:rsidR="00CD3B76" w:rsidRPr="00E677C6" w:rsidRDefault="00CD3B76" w:rsidP="00CD3B76">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2360D5">
        <w:rPr>
          <w:rFonts w:asciiTheme="minorHAnsi" w:hAnsiTheme="minorHAnsi" w:cstheme="minorHAnsi"/>
          <w:sz w:val="24"/>
          <w:szCs w:val="24"/>
        </w:rPr>
        <w:t>Hobšovice 38, 273 21 Hobšovice</w:t>
      </w:r>
    </w:p>
    <w:p w14:paraId="36BAF9C6" w14:textId="77777777" w:rsidR="00CD3B76" w:rsidRDefault="00CD3B76" w:rsidP="00CD3B76">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2360D5">
        <w:rPr>
          <w:rFonts w:asciiTheme="minorHAnsi" w:hAnsiTheme="minorHAnsi" w:cstheme="minorHAnsi"/>
          <w:sz w:val="24"/>
          <w:szCs w:val="24"/>
        </w:rPr>
        <w:t>00663948</w:t>
      </w:r>
    </w:p>
    <w:p w14:paraId="3E0D014A" w14:textId="77777777" w:rsidR="00CD3B76" w:rsidRPr="00CE6D96" w:rsidRDefault="00CD3B76" w:rsidP="00CD3B76">
      <w:pPr>
        <w:spacing w:after="160" w:line="259" w:lineRule="auto"/>
        <w:rPr>
          <w:rFonts w:asciiTheme="minorHAnsi" w:hAnsiTheme="minorHAnsi" w:cstheme="minorHAnsi"/>
          <w:sz w:val="24"/>
          <w:szCs w:val="24"/>
        </w:rPr>
      </w:pPr>
      <w:r>
        <w:rPr>
          <w:rFonts w:asciiTheme="minorHAnsi" w:hAnsiTheme="minorHAnsi" w:cstheme="minorHAnsi"/>
          <w:sz w:val="24"/>
          <w:szCs w:val="24"/>
        </w:rPr>
        <w:t>Zastoupena Jitkou Jeřábkovou, starostkou</w:t>
      </w:r>
    </w:p>
    <w:p w14:paraId="6DC3FF69" w14:textId="2C3F5ED8"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77777777" w:rsidR="00CE6D96" w:rsidRPr="00CE6D96" w:rsidRDefault="00CE6D96"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04342B76" w14:textId="77777777" w:rsidR="00CE6D96" w:rsidRDefault="00CE6D96" w:rsidP="00CE6D96">
      <w:pPr>
        <w:spacing w:line="360" w:lineRule="auto"/>
        <w:rPr>
          <w:rFonts w:asciiTheme="minorHAnsi" w:hAnsiTheme="minorHAnsi" w:cstheme="minorHAnsi"/>
          <w:b/>
          <w:sz w:val="24"/>
          <w:szCs w:val="24"/>
        </w:rPr>
      </w:pP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2" w:name="_Toc389545629"/>
      <w:r w:rsidRPr="00CE6D96">
        <w:rPr>
          <w:rFonts w:asciiTheme="minorHAnsi" w:hAnsiTheme="minorHAnsi" w:cstheme="minorHAnsi"/>
          <w:b/>
          <w:szCs w:val="24"/>
        </w:rPr>
        <w:t>PREAMBULE</w:t>
      </w:r>
      <w:bookmarkEnd w:id="2"/>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w:t>
      </w:r>
      <w:r w:rsidRPr="00CE6D96">
        <w:rPr>
          <w:rFonts w:asciiTheme="minorHAnsi" w:hAnsiTheme="minorHAnsi" w:cstheme="minorHAnsi"/>
          <w:sz w:val="24"/>
          <w:szCs w:val="24"/>
        </w:rPr>
        <w:lastRenderedPageBreak/>
        <w:t xml:space="preserve">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276770503"/>
      <w:bookmarkStart w:id="4" w:name="_Toc389545630"/>
      <w:r w:rsidRPr="00CE6D96">
        <w:rPr>
          <w:rFonts w:asciiTheme="minorHAnsi" w:hAnsiTheme="minorHAnsi" w:cstheme="minorHAnsi"/>
          <w:b/>
          <w:szCs w:val="24"/>
        </w:rPr>
        <w:t>PŘEDMĚT SMLOUVY</w:t>
      </w:r>
      <w:bookmarkEnd w:id="3"/>
      <w:bookmarkEnd w:id="4"/>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5" w:name="_Ref276714355"/>
      <w:bookmarkStart w:id="6" w:name="_Toc276770504"/>
      <w:bookmarkStart w:id="7" w:name="_Toc389545631"/>
      <w:r w:rsidRPr="00CE6D96">
        <w:rPr>
          <w:rFonts w:asciiTheme="minorHAnsi" w:hAnsiTheme="minorHAnsi" w:cstheme="minorHAnsi"/>
          <w:b/>
          <w:sz w:val="24"/>
          <w:szCs w:val="24"/>
        </w:rPr>
        <w:t xml:space="preserve">Vymezení předmětu </w:t>
      </w:r>
      <w:bookmarkEnd w:id="5"/>
      <w:bookmarkEnd w:id="6"/>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7"/>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8" w:name="_Toc389482532"/>
      <w:bookmarkStart w:id="9" w:name="_Toc389484525"/>
      <w:bookmarkStart w:id="10"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8"/>
      <w:bookmarkEnd w:id="9"/>
      <w:bookmarkEnd w:id="10"/>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1" w:name="_Toc389545632"/>
      <w:r w:rsidRPr="00CE6D96">
        <w:rPr>
          <w:rFonts w:asciiTheme="minorHAnsi" w:hAnsiTheme="minorHAnsi" w:cstheme="minorHAnsi"/>
          <w:b/>
          <w:szCs w:val="24"/>
        </w:rPr>
        <w:t xml:space="preserve">PŘEDMĚT </w:t>
      </w:r>
      <w:bookmarkEnd w:id="11"/>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2" w:name="_Toc389545633"/>
      <w:r w:rsidRPr="00CE6D96">
        <w:rPr>
          <w:rFonts w:asciiTheme="minorHAnsi" w:hAnsiTheme="minorHAnsi" w:cstheme="minorHAnsi"/>
          <w:b/>
          <w:sz w:val="24"/>
          <w:szCs w:val="24"/>
        </w:rPr>
        <w:t>Vodohospodářský majetek</w:t>
      </w:r>
      <w:bookmarkEnd w:id="12"/>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3" w:name="_Toc389482535"/>
      <w:bookmarkStart w:id="14" w:name="_Toc389484528"/>
      <w:bookmarkStart w:id="15"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3"/>
      <w:bookmarkEnd w:id="14"/>
      <w:bookmarkEnd w:id="15"/>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6" w:name="_Toc389482536"/>
      <w:bookmarkStart w:id="17" w:name="_Toc389484529"/>
      <w:bookmarkStart w:id="18" w:name="_Toc389484704"/>
      <w:r w:rsidRPr="00CE6D96">
        <w:rPr>
          <w:rFonts w:asciiTheme="minorHAnsi" w:hAnsiTheme="minorHAnsi" w:cstheme="minorHAnsi"/>
          <w:b/>
          <w:sz w:val="24"/>
          <w:szCs w:val="24"/>
        </w:rPr>
        <w:lastRenderedPageBreak/>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6"/>
      <w:bookmarkEnd w:id="17"/>
      <w:bookmarkEnd w:id="18"/>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9" w:name="_Toc389482537"/>
      <w:bookmarkStart w:id="20" w:name="_Toc389484530"/>
      <w:bookmarkStart w:id="21"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9"/>
      <w:bookmarkEnd w:id="20"/>
      <w:bookmarkEnd w:id="21"/>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 xml:space="preserve">kolaudační souhlas vydaný </w:t>
      </w:r>
      <w:r w:rsidR="008A0B8E">
        <w:rPr>
          <w:rFonts w:asciiTheme="minorHAnsi" w:hAnsiTheme="minorHAnsi" w:cstheme="minorHAnsi"/>
          <w:sz w:val="24"/>
          <w:szCs w:val="24"/>
        </w:rPr>
        <w:lastRenderedPageBreak/>
        <w:t>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2" w:name="_Toc389482538"/>
      <w:bookmarkStart w:id="23" w:name="_Toc389545634"/>
      <w:r w:rsidRPr="00CE6D96">
        <w:rPr>
          <w:rFonts w:asciiTheme="minorHAnsi" w:hAnsiTheme="minorHAnsi" w:cstheme="minorHAnsi"/>
          <w:b/>
          <w:szCs w:val="24"/>
        </w:rPr>
        <w:t>DOBA TRVÁNÍ SMLOUVY A JEJÍ UKONČENÍ</w:t>
      </w:r>
      <w:bookmarkEnd w:id="22"/>
      <w:bookmarkEnd w:id="23"/>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4" w:name="_Toc276770583"/>
      <w:bookmarkStart w:id="25"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4"/>
      <w:bookmarkEnd w:id="25"/>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6" w:name="_Toc389482540"/>
      <w:bookmarkStart w:id="27" w:name="_Toc389484533"/>
      <w:bookmarkStart w:id="28"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6"/>
      <w:bookmarkEnd w:id="27"/>
      <w:bookmarkEnd w:id="28"/>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9" w:name="_Toc276770585"/>
      <w:bookmarkStart w:id="30" w:name="_Toc389545636"/>
      <w:bookmarkStart w:id="31"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9"/>
      <w:bookmarkEnd w:id="30"/>
      <w:bookmarkEnd w:id="31"/>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2" w:name="_Toc389482542"/>
      <w:bookmarkStart w:id="33" w:name="_Toc389484535"/>
      <w:bookmarkStart w:id="34"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2"/>
      <w:bookmarkEnd w:id="33"/>
      <w:bookmarkEnd w:id="34"/>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5" w:name="_Toc276770573"/>
      <w:bookmarkStart w:id="36"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5"/>
      <w:bookmarkEnd w:id="36"/>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7" w:name="_Ref268767772"/>
      <w:bookmarkStart w:id="38" w:name="_Toc276770574"/>
      <w:bookmarkStart w:id="39" w:name="_Toc389545638"/>
      <w:bookmarkStart w:id="40" w:name="_Toc276770576"/>
      <w:bookmarkStart w:id="41"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2"/>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lastRenderedPageBreak/>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3"/>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4"/>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5" w:name="_Toc276770575"/>
      <w:bookmarkStart w:id="46" w:name="_Toc389545639"/>
      <w:bookmarkStart w:id="47"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5"/>
      <w:bookmarkEnd w:id="46"/>
      <w:bookmarkEnd w:id="47"/>
    </w:p>
    <w:p w14:paraId="4DC5D15A" w14:textId="77777777" w:rsidR="00C7788F" w:rsidRDefault="00C7788F" w:rsidP="00C7788F">
      <w:pPr>
        <w:spacing w:line="240" w:lineRule="auto"/>
        <w:rPr>
          <w:rFonts w:asciiTheme="minorHAnsi" w:hAnsiTheme="minorHAnsi" w:cstheme="minorHAnsi"/>
          <w:sz w:val="24"/>
          <w:szCs w:val="24"/>
        </w:rPr>
      </w:pPr>
      <w:bookmarkStart w:id="48" w:name="_Toc389482546"/>
      <w:bookmarkStart w:id="49"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8"/>
      <w:bookmarkEnd w:id="49"/>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0" w:name="_Ref268771587"/>
      <w:bookmarkStart w:id="51" w:name="_Toc276770578"/>
      <w:bookmarkStart w:id="52" w:name="_Toc389545642"/>
      <w:bookmarkEnd w:id="37"/>
      <w:bookmarkEnd w:id="38"/>
      <w:bookmarkEnd w:id="39"/>
      <w:bookmarkEnd w:id="40"/>
      <w:bookmarkEnd w:id="41"/>
      <w:r>
        <w:rPr>
          <w:rFonts w:asciiTheme="minorHAnsi" w:hAnsiTheme="minorHAnsi" w:cstheme="minorHAnsi"/>
          <w:b/>
          <w:szCs w:val="24"/>
        </w:rPr>
        <w:t xml:space="preserve">Práva a povinnosti smluvních stran </w:t>
      </w:r>
      <w:bookmarkEnd w:id="50"/>
      <w:bookmarkEnd w:id="51"/>
      <w:bookmarkEnd w:id="52"/>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3" w:name="_Toc276770592"/>
      <w:bookmarkStart w:id="54" w:name="_Toc389545685"/>
      <w:r w:rsidRPr="00CE6D96">
        <w:rPr>
          <w:rFonts w:asciiTheme="minorHAnsi" w:hAnsiTheme="minorHAnsi" w:cstheme="minorHAnsi"/>
          <w:b/>
          <w:szCs w:val="24"/>
        </w:rPr>
        <w:lastRenderedPageBreak/>
        <w:t>ZÁVĚREČNÁ USTANOVENÍ</w:t>
      </w:r>
      <w:bookmarkEnd w:id="53"/>
      <w:bookmarkEnd w:id="54"/>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5" w:name="_Toc389482621"/>
      <w:bookmarkStart w:id="56"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5"/>
      <w:bookmarkEnd w:id="56"/>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7" w:name="_Toc276770593"/>
      <w:bookmarkStart w:id="58" w:name="_Toc389545686"/>
      <w:r w:rsidRPr="00CE6D96">
        <w:rPr>
          <w:rFonts w:asciiTheme="minorHAnsi" w:hAnsiTheme="minorHAnsi" w:cstheme="minorHAnsi"/>
          <w:b/>
          <w:sz w:val="24"/>
          <w:szCs w:val="24"/>
        </w:rPr>
        <w:t>Počet vyhotovení</w:t>
      </w:r>
      <w:bookmarkEnd w:id="57"/>
      <w:bookmarkEnd w:id="58"/>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9" w:name="_Toc269736903"/>
      <w:bookmarkStart w:id="60" w:name="_Toc276770595"/>
      <w:bookmarkStart w:id="61" w:name="_Toc389545687"/>
      <w:r w:rsidRPr="00CE6D96">
        <w:rPr>
          <w:rFonts w:asciiTheme="minorHAnsi" w:hAnsiTheme="minorHAnsi" w:cstheme="minorHAnsi"/>
          <w:b/>
          <w:sz w:val="24"/>
          <w:szCs w:val="24"/>
        </w:rPr>
        <w:t>Postoupení práv</w:t>
      </w:r>
      <w:bookmarkEnd w:id="59"/>
      <w:bookmarkEnd w:id="60"/>
      <w:bookmarkEnd w:id="61"/>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2" w:name="_Toc389482624"/>
      <w:bookmarkStart w:id="63"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2"/>
      <w:bookmarkEnd w:id="63"/>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4" w:name="_Toc276770596"/>
      <w:bookmarkStart w:id="65" w:name="_Toc389545688"/>
      <w:r w:rsidRPr="00CE6D96">
        <w:rPr>
          <w:rFonts w:asciiTheme="minorHAnsi" w:hAnsiTheme="minorHAnsi" w:cstheme="minorHAnsi"/>
          <w:b/>
          <w:sz w:val="24"/>
          <w:szCs w:val="24"/>
        </w:rPr>
        <w:t>Salvátorská klauzule</w:t>
      </w:r>
      <w:bookmarkEnd w:id="64"/>
      <w:bookmarkEnd w:id="65"/>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6" w:name="_Toc389482626"/>
      <w:bookmarkStart w:id="67"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6"/>
      <w:bookmarkEnd w:id="67"/>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8" w:name="_Toc256522803"/>
      <w:bookmarkStart w:id="69" w:name="_Toc276770598"/>
      <w:bookmarkStart w:id="70" w:name="_Toc389545689"/>
      <w:r w:rsidRPr="00CE6D96">
        <w:rPr>
          <w:rFonts w:asciiTheme="minorHAnsi" w:hAnsiTheme="minorHAnsi" w:cstheme="minorHAnsi"/>
          <w:b/>
          <w:szCs w:val="24"/>
        </w:rPr>
        <w:t>Přílohy</w:t>
      </w:r>
      <w:bookmarkEnd w:id="68"/>
      <w:bookmarkEnd w:id="69"/>
      <w:bookmarkEnd w:id="70"/>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1" w:name="_Toc389545690"/>
      <w:bookmarkStart w:id="72" w:name="_Ref268766814"/>
      <w:bookmarkStart w:id="73"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4" w:name="_Toc276770601"/>
      <w:bookmarkStart w:id="75" w:name="_Toc389545692"/>
      <w:bookmarkEnd w:id="71"/>
      <w:bookmarkEnd w:id="72"/>
      <w:bookmarkEnd w:id="73"/>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4"/>
      <w:bookmarkEnd w:id="75"/>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6" w:name="_Toc389545694"/>
      <w:r w:rsidRPr="00CE6D96">
        <w:rPr>
          <w:rFonts w:asciiTheme="minorHAnsi" w:hAnsiTheme="minorHAnsi" w:cstheme="minorHAnsi"/>
          <w:b/>
          <w:szCs w:val="24"/>
        </w:rPr>
        <w:t>POdPISY</w:t>
      </w:r>
      <w:bookmarkEnd w:id="76"/>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034ED009"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CD3B76">
        <w:rPr>
          <w:rFonts w:asciiTheme="minorHAnsi" w:hAnsiTheme="minorHAnsi" w:cstheme="minorHAnsi"/>
          <w:sz w:val="24"/>
          <w:szCs w:val="24"/>
        </w:rPr>
        <w:t>15. 4</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119A90C4"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xml:space="preserve"> Hobšovicích </w:t>
      </w:r>
      <w:r w:rsidR="009F0066">
        <w:rPr>
          <w:rFonts w:ascii="Calibri" w:eastAsia="Calibri" w:hAnsi="Calibri"/>
          <w:sz w:val="24"/>
          <w:szCs w:val="24"/>
        </w:rPr>
        <w:t>dne ……</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Pr="008F180A">
        <w:rPr>
          <w:rFonts w:ascii="Calibri" w:eastAsia="Calibri" w:hAnsi="Calibri"/>
          <w:sz w:val="24"/>
          <w:szCs w:val="24"/>
        </w:rPr>
        <w:tab/>
      </w:r>
      <w:r w:rsidRPr="008F180A">
        <w:rPr>
          <w:rFonts w:ascii="Calibri" w:eastAsia="Calibri" w:hAnsi="Calibri"/>
          <w:sz w:val="24"/>
          <w:szCs w:val="24"/>
        </w:rPr>
        <w:tab/>
        <w:t xml:space="preserve">Ve Slaném dne </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1AF855DE"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CD3B76">
        <w:rPr>
          <w:rFonts w:ascii="Calibri" w:eastAsia="Calibri" w:hAnsi="Calibri"/>
          <w:b/>
          <w:bCs/>
          <w:sz w:val="24"/>
          <w:szCs w:val="24"/>
        </w:rPr>
        <w:t>Hobšovice</w:t>
      </w:r>
      <w:r w:rsidR="009F0066">
        <w:rPr>
          <w:rFonts w:ascii="Calibri" w:eastAsia="Calibri" w:hAnsi="Calibri"/>
          <w:b/>
          <w:bCs/>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510E4B0F" w:rsidR="003B4A33" w:rsidRDefault="00CD3B76" w:rsidP="003B4A33">
      <w:pPr>
        <w:spacing w:after="160" w:line="259" w:lineRule="auto"/>
        <w:ind w:left="284" w:hanging="284"/>
        <w:rPr>
          <w:rFonts w:ascii="Calibri" w:eastAsia="Calibri" w:hAnsi="Calibri"/>
          <w:sz w:val="24"/>
          <w:szCs w:val="24"/>
        </w:rPr>
      </w:pPr>
      <w:r>
        <w:rPr>
          <w:rFonts w:ascii="Calibri" w:eastAsia="Calibri" w:hAnsi="Calibri"/>
          <w:sz w:val="24"/>
          <w:szCs w:val="24"/>
        </w:rPr>
        <w:t>Jitka Jeřábková</w:t>
      </w:r>
      <w:r>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7A4B1582"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r w:rsidR="009F0066">
        <w:rPr>
          <w:rFonts w:ascii="Calibri" w:eastAsia="Calibri" w:hAnsi="Calibri"/>
          <w:sz w:val="24"/>
          <w:szCs w:val="24"/>
        </w:rPr>
        <w:t>k</w:t>
      </w:r>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bookmarkStart w:id="77" w:name="_GoBack"/>
      <w:bookmarkEnd w:id="77"/>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64DF" w14:textId="77777777" w:rsidR="00F95590" w:rsidRDefault="00F95590" w:rsidP="00C57926">
      <w:pPr>
        <w:spacing w:line="240" w:lineRule="auto"/>
      </w:pPr>
      <w:r>
        <w:separator/>
      </w:r>
    </w:p>
  </w:endnote>
  <w:endnote w:type="continuationSeparator" w:id="0">
    <w:p w14:paraId="10C6F741" w14:textId="77777777" w:rsidR="00F95590" w:rsidRDefault="00F95590" w:rsidP="00C57926">
      <w:pPr>
        <w:spacing w:line="240" w:lineRule="auto"/>
      </w:pPr>
      <w:r>
        <w:continuationSeparator/>
      </w:r>
    </w:p>
  </w:endnote>
  <w:endnote w:type="continuationNotice" w:id="1">
    <w:p w14:paraId="22CC464B" w14:textId="77777777" w:rsidR="00F95590" w:rsidRDefault="00F955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E3FC0" w14:textId="77777777" w:rsidR="00F95590" w:rsidRDefault="00F95590" w:rsidP="00C57926">
      <w:pPr>
        <w:spacing w:line="240" w:lineRule="auto"/>
      </w:pPr>
      <w:r>
        <w:separator/>
      </w:r>
    </w:p>
  </w:footnote>
  <w:footnote w:type="continuationSeparator" w:id="0">
    <w:p w14:paraId="37F7D913" w14:textId="77777777" w:rsidR="00F95590" w:rsidRDefault="00F95590" w:rsidP="00C57926">
      <w:pPr>
        <w:spacing w:line="240" w:lineRule="auto"/>
      </w:pPr>
      <w:r>
        <w:continuationSeparator/>
      </w:r>
    </w:p>
  </w:footnote>
  <w:footnote w:type="continuationNotice" w:id="1">
    <w:p w14:paraId="14B05CE2" w14:textId="77777777" w:rsidR="00F95590" w:rsidRDefault="00F9559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C0977"/>
    <w:rsid w:val="006C1702"/>
    <w:rsid w:val="006C4309"/>
    <w:rsid w:val="006C572C"/>
    <w:rsid w:val="006C5A14"/>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95590"/>
    <w:rsid w:val="00FA3A11"/>
    <w:rsid w:val="00FA5BC9"/>
    <w:rsid w:val="00FA5EF4"/>
    <w:rsid w:val="00FA66EB"/>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99190-01D9-4074-BD7F-8144DDDB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1813</Words>
  <Characters>10702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2019-12-13T08:27:00Z</dcterms:created>
  <dcterms:modified xsi:type="dcterms:W3CDTF">2019-12-13T08:27:00Z</dcterms:modified>
</cp:coreProperties>
</file>