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F08" w:rsidRDefault="00E75F08" w:rsidP="007E5108">
      <w:pPr>
        <w:spacing w:after="0"/>
        <w:jc w:val="center"/>
        <w:rPr>
          <w:b/>
          <w:sz w:val="28"/>
          <w:szCs w:val="28"/>
        </w:rPr>
      </w:pPr>
    </w:p>
    <w:p w:rsidR="00E2360E" w:rsidRDefault="00E2360E" w:rsidP="007E5108">
      <w:pPr>
        <w:spacing w:after="0"/>
        <w:jc w:val="center"/>
        <w:rPr>
          <w:b/>
          <w:sz w:val="28"/>
          <w:szCs w:val="28"/>
        </w:rPr>
      </w:pPr>
    </w:p>
    <w:p w:rsidR="00707325" w:rsidRDefault="00707325" w:rsidP="0091178F">
      <w:pPr>
        <w:spacing w:after="0"/>
        <w:rPr>
          <w:rFonts w:ascii="Tahoma" w:eastAsia="Times New Roman" w:hAnsi="Tahoma" w:cs="Tahoma"/>
          <w:b/>
          <w:bCs/>
          <w:sz w:val="32"/>
          <w:szCs w:val="32"/>
          <w:lang w:eastAsia="cs-CZ"/>
        </w:rPr>
      </w:pPr>
    </w:p>
    <w:p w:rsidR="001F0245" w:rsidRDefault="00DB634A" w:rsidP="00707325">
      <w:pPr>
        <w:spacing w:after="0"/>
        <w:jc w:val="center"/>
        <w:rPr>
          <w:rFonts w:ascii="Tahoma" w:eastAsia="Times New Roman" w:hAnsi="Tahoma" w:cs="Tahoma"/>
          <w:b/>
          <w:bCs/>
          <w:sz w:val="28"/>
          <w:szCs w:val="28"/>
          <w:lang w:eastAsia="cs-CZ"/>
        </w:rPr>
      </w:pPr>
      <w:r w:rsidRPr="00707325">
        <w:rPr>
          <w:rFonts w:ascii="Tahoma" w:eastAsia="Times New Roman" w:hAnsi="Tahoma" w:cs="Tahoma"/>
          <w:b/>
          <w:bCs/>
          <w:sz w:val="28"/>
          <w:szCs w:val="28"/>
          <w:lang w:eastAsia="cs-CZ"/>
        </w:rPr>
        <w:t>Dodatek č.</w:t>
      </w:r>
      <w:r w:rsidR="00FA62EB">
        <w:rPr>
          <w:rFonts w:ascii="Tahoma" w:eastAsia="Times New Roman" w:hAnsi="Tahoma" w:cs="Tahoma"/>
          <w:b/>
          <w:bCs/>
          <w:sz w:val="28"/>
          <w:szCs w:val="28"/>
          <w:lang w:eastAsia="cs-CZ"/>
        </w:rPr>
        <w:t xml:space="preserve"> </w:t>
      </w:r>
      <w:r w:rsidR="00464AE8">
        <w:rPr>
          <w:rFonts w:ascii="Tahoma" w:eastAsia="Times New Roman" w:hAnsi="Tahoma" w:cs="Tahoma"/>
          <w:b/>
          <w:bCs/>
          <w:sz w:val="28"/>
          <w:szCs w:val="28"/>
          <w:lang w:eastAsia="cs-CZ"/>
        </w:rPr>
        <w:t>2</w:t>
      </w:r>
      <w:r w:rsidRPr="00707325">
        <w:rPr>
          <w:rFonts w:ascii="Tahoma" w:eastAsia="Times New Roman" w:hAnsi="Tahoma" w:cs="Tahoma"/>
          <w:b/>
          <w:bCs/>
          <w:sz w:val="28"/>
          <w:szCs w:val="28"/>
          <w:lang w:eastAsia="cs-CZ"/>
        </w:rPr>
        <w:t xml:space="preserve"> </w:t>
      </w:r>
      <w:r w:rsidR="00FA62EB">
        <w:rPr>
          <w:rFonts w:ascii="Tahoma" w:eastAsia="Times New Roman" w:hAnsi="Tahoma" w:cs="Tahoma"/>
          <w:b/>
          <w:bCs/>
          <w:sz w:val="28"/>
          <w:szCs w:val="28"/>
          <w:lang w:eastAsia="cs-CZ"/>
        </w:rPr>
        <w:t>ke Smlouvě o svozu a rozvozu</w:t>
      </w:r>
      <w:r w:rsidR="007E5108" w:rsidRPr="00707325">
        <w:rPr>
          <w:rFonts w:ascii="Tahoma" w:eastAsia="Times New Roman" w:hAnsi="Tahoma" w:cs="Tahoma"/>
          <w:b/>
          <w:bCs/>
          <w:sz w:val="28"/>
          <w:szCs w:val="28"/>
          <w:lang w:eastAsia="cs-CZ"/>
        </w:rPr>
        <w:t xml:space="preserve"> poštovních zásilek</w:t>
      </w:r>
    </w:p>
    <w:p w:rsidR="00FA62EB" w:rsidRPr="00707325" w:rsidRDefault="00FA62EB" w:rsidP="00707325">
      <w:pPr>
        <w:spacing w:after="0"/>
        <w:jc w:val="center"/>
        <w:rPr>
          <w:rFonts w:ascii="Tahoma" w:eastAsia="Times New Roman" w:hAnsi="Tahoma" w:cs="Tahoma"/>
          <w:b/>
          <w:bCs/>
          <w:sz w:val="28"/>
          <w:szCs w:val="28"/>
          <w:lang w:eastAsia="cs-CZ"/>
        </w:rPr>
      </w:pPr>
    </w:p>
    <w:p w:rsidR="007E5108" w:rsidRPr="0091178F" w:rsidRDefault="00E2360E" w:rsidP="00707325">
      <w:pPr>
        <w:spacing w:after="0"/>
        <w:jc w:val="center"/>
        <w:rPr>
          <w:rFonts w:ascii="Tahoma" w:eastAsia="Times New Roman" w:hAnsi="Tahoma" w:cs="Tahoma"/>
          <w:b/>
          <w:bCs/>
          <w:sz w:val="32"/>
          <w:szCs w:val="32"/>
          <w:lang w:eastAsia="cs-CZ"/>
        </w:rPr>
      </w:pPr>
      <w:r w:rsidRPr="00707325">
        <w:rPr>
          <w:rFonts w:ascii="Tahoma" w:eastAsia="Times New Roman" w:hAnsi="Tahoma" w:cs="Tahoma"/>
          <w:b/>
          <w:bCs/>
          <w:sz w:val="28"/>
          <w:szCs w:val="28"/>
          <w:lang w:eastAsia="cs-CZ"/>
        </w:rPr>
        <w:t>č. 2013/0619</w:t>
      </w:r>
    </w:p>
    <w:p w:rsidR="007E5108" w:rsidRDefault="007E5108" w:rsidP="001F0245">
      <w:pPr>
        <w:spacing w:after="0"/>
        <w:rPr>
          <w:b/>
          <w:sz w:val="32"/>
          <w:szCs w:val="32"/>
        </w:rPr>
      </w:pPr>
    </w:p>
    <w:p w:rsidR="00E2360E" w:rsidRPr="0091178F" w:rsidRDefault="00E2360E" w:rsidP="001F0245">
      <w:pPr>
        <w:spacing w:after="0"/>
        <w:rPr>
          <w:sz w:val="32"/>
          <w:szCs w:val="32"/>
        </w:rPr>
      </w:pPr>
    </w:p>
    <w:p w:rsidR="007E5108" w:rsidRPr="00E2360E" w:rsidRDefault="007E5108" w:rsidP="001F0245">
      <w:pPr>
        <w:spacing w:after="0"/>
        <w:rPr>
          <w:b/>
        </w:rPr>
      </w:pPr>
    </w:p>
    <w:p w:rsidR="0033029E" w:rsidRPr="00DB634A" w:rsidRDefault="001F0245" w:rsidP="001F0245">
      <w:pPr>
        <w:spacing w:after="0"/>
        <w:rPr>
          <w:rFonts w:ascii="Tahoma" w:eastAsia="Times New Roman" w:hAnsi="Tahoma" w:cs="Tahoma"/>
          <w:b/>
          <w:bCs/>
          <w:sz w:val="20"/>
          <w:szCs w:val="20"/>
          <w:lang w:eastAsia="cs-CZ"/>
        </w:rPr>
      </w:pPr>
      <w:r w:rsidRPr="00DB634A">
        <w:rPr>
          <w:rFonts w:ascii="Tahoma" w:eastAsia="Times New Roman" w:hAnsi="Tahoma" w:cs="Tahoma"/>
          <w:b/>
          <w:bCs/>
          <w:sz w:val="20"/>
          <w:szCs w:val="20"/>
          <w:lang w:eastAsia="cs-CZ"/>
        </w:rPr>
        <w:t xml:space="preserve">Česká pošta, </w:t>
      </w:r>
      <w:proofErr w:type="gramStart"/>
      <w:r w:rsidRPr="00DB634A">
        <w:rPr>
          <w:rFonts w:ascii="Tahoma" w:eastAsia="Times New Roman" w:hAnsi="Tahoma" w:cs="Tahoma"/>
          <w:b/>
          <w:bCs/>
          <w:sz w:val="20"/>
          <w:szCs w:val="20"/>
          <w:lang w:eastAsia="cs-CZ"/>
        </w:rPr>
        <w:t>s.p.</w:t>
      </w:r>
      <w:proofErr w:type="gramEnd"/>
    </w:p>
    <w:tbl>
      <w:tblPr>
        <w:tblpPr w:leftFromText="141" w:rightFromText="141" w:vertAnchor="text" w:tblpY="1"/>
        <w:tblOverlap w:val="never"/>
        <w:tblW w:w="7220" w:type="dxa"/>
        <w:tblCellMar>
          <w:left w:w="70" w:type="dxa"/>
          <w:right w:w="70" w:type="dxa"/>
        </w:tblCellMar>
        <w:tblLook w:val="04A0" w:firstRow="1" w:lastRow="0" w:firstColumn="1" w:lastColumn="0" w:noHBand="0" w:noVBand="1"/>
      </w:tblPr>
      <w:tblGrid>
        <w:gridCol w:w="2860"/>
        <w:gridCol w:w="4360"/>
      </w:tblGrid>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se sídlem:</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Politických vězňů 909/4, 225 99, Praha 1</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IČ:</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47 114 983</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DIČ:</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CZ47114983</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zastoupen/jednající:</w:t>
            </w:r>
          </w:p>
        </w:tc>
        <w:tc>
          <w:tcPr>
            <w:tcW w:w="4360" w:type="dxa"/>
            <w:tcBorders>
              <w:top w:val="nil"/>
              <w:left w:val="nil"/>
              <w:bottom w:val="nil"/>
              <w:right w:val="nil"/>
            </w:tcBorders>
            <w:shd w:val="clear" w:color="auto" w:fill="auto"/>
            <w:hideMark/>
          </w:tcPr>
          <w:p w:rsidR="001F0245" w:rsidRPr="00DB634A" w:rsidRDefault="006925D7"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 xml:space="preserve">Patrik Steidl, </w:t>
            </w:r>
            <w:r w:rsidR="00FA62EB">
              <w:rPr>
                <w:rFonts w:ascii="Tahoma" w:eastAsia="Times New Roman" w:hAnsi="Tahoma" w:cs="Tahoma"/>
                <w:bCs/>
                <w:sz w:val="20"/>
                <w:szCs w:val="20"/>
                <w:lang w:eastAsia="cs-CZ"/>
              </w:rPr>
              <w:t>Key Account Manager</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zapsán v obchodním rejstříku</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Městského soudu v Praze, oddíl A, vložka 7565</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bankovní spojení:</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Československá obchodní banka, a.s.</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číslo účtu:</w:t>
            </w:r>
          </w:p>
        </w:tc>
        <w:tc>
          <w:tcPr>
            <w:tcW w:w="4360" w:type="dxa"/>
            <w:tcBorders>
              <w:top w:val="nil"/>
              <w:left w:val="nil"/>
              <w:bottom w:val="nil"/>
              <w:right w:val="nil"/>
            </w:tcBorders>
            <w:shd w:val="clear" w:color="auto" w:fill="auto"/>
            <w:hideMark/>
          </w:tcPr>
          <w:p w:rsidR="001F0245" w:rsidRPr="00DB634A" w:rsidRDefault="006925D7"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133406370</w:t>
            </w:r>
            <w:r w:rsidR="001F0245" w:rsidRPr="00DB634A">
              <w:rPr>
                <w:rFonts w:ascii="Tahoma" w:eastAsia="Times New Roman" w:hAnsi="Tahoma" w:cs="Tahoma"/>
                <w:bCs/>
                <w:sz w:val="20"/>
                <w:szCs w:val="20"/>
                <w:lang w:eastAsia="cs-CZ"/>
              </w:rPr>
              <w:t xml:space="preserve"> /</w:t>
            </w:r>
            <w:r w:rsidRPr="00DB634A">
              <w:rPr>
                <w:rFonts w:ascii="Tahoma" w:eastAsia="Times New Roman" w:hAnsi="Tahoma" w:cs="Tahoma"/>
                <w:bCs/>
                <w:sz w:val="20"/>
                <w:szCs w:val="20"/>
                <w:lang w:eastAsia="cs-CZ"/>
              </w:rPr>
              <w:t>0300</w:t>
            </w:r>
          </w:p>
        </w:tc>
      </w:tr>
      <w:tr w:rsidR="001F0245" w:rsidRPr="00DB634A" w:rsidTr="00464AE8">
        <w:trPr>
          <w:trHeight w:val="300"/>
        </w:trPr>
        <w:tc>
          <w:tcPr>
            <w:tcW w:w="28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korespondenční adresa:</w:t>
            </w:r>
          </w:p>
        </w:tc>
        <w:tc>
          <w:tcPr>
            <w:tcW w:w="4360" w:type="dxa"/>
            <w:tcBorders>
              <w:top w:val="nil"/>
              <w:left w:val="nil"/>
              <w:bottom w:val="nil"/>
              <w:right w:val="nil"/>
            </w:tcBorders>
            <w:shd w:val="clear" w:color="auto" w:fill="auto"/>
            <w:hideMark/>
          </w:tcPr>
          <w:p w:rsidR="001F0245" w:rsidRPr="00DB634A" w:rsidRDefault="001F0245" w:rsidP="00464AE8">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 </w:t>
            </w:r>
            <w:r w:rsidR="006925D7" w:rsidRPr="00DB634A">
              <w:rPr>
                <w:rFonts w:ascii="Tahoma" w:eastAsia="Times New Roman" w:hAnsi="Tahoma" w:cs="Tahoma"/>
                <w:bCs/>
                <w:sz w:val="20"/>
                <w:szCs w:val="20"/>
                <w:lang w:eastAsia="cs-CZ"/>
              </w:rPr>
              <w:t>Politických vězňů 909/4, 225 99 Praha 1</w:t>
            </w:r>
            <w:r w:rsidRPr="00DB634A">
              <w:rPr>
                <w:rFonts w:ascii="Tahoma" w:eastAsia="Times New Roman" w:hAnsi="Tahoma" w:cs="Tahoma"/>
                <w:bCs/>
                <w:sz w:val="20"/>
                <w:szCs w:val="20"/>
                <w:lang w:eastAsia="cs-CZ"/>
              </w:rPr>
              <w:t> </w:t>
            </w:r>
          </w:p>
        </w:tc>
      </w:tr>
    </w:tbl>
    <w:p w:rsidR="00464AE8" w:rsidRDefault="00464AE8" w:rsidP="001F0245">
      <w:pPr>
        <w:spacing w:after="0"/>
        <w:rPr>
          <w:rFonts w:ascii="Tahoma" w:eastAsia="Times New Roman" w:hAnsi="Tahoma" w:cs="Tahoma"/>
          <w:bCs/>
          <w:sz w:val="20"/>
          <w:szCs w:val="20"/>
          <w:lang w:eastAsia="cs-CZ"/>
        </w:rPr>
      </w:pPr>
    </w:p>
    <w:p w:rsidR="00464AE8" w:rsidRPr="00464AE8" w:rsidRDefault="00464AE8" w:rsidP="00464AE8">
      <w:pPr>
        <w:rPr>
          <w:rFonts w:ascii="Tahoma" w:eastAsia="Times New Roman" w:hAnsi="Tahoma" w:cs="Tahoma"/>
          <w:sz w:val="20"/>
          <w:szCs w:val="20"/>
          <w:lang w:eastAsia="cs-CZ"/>
        </w:rPr>
      </w:pPr>
    </w:p>
    <w:p w:rsidR="00464AE8" w:rsidRPr="00464AE8" w:rsidRDefault="00464AE8" w:rsidP="00464AE8">
      <w:pPr>
        <w:rPr>
          <w:rFonts w:ascii="Tahoma" w:eastAsia="Times New Roman" w:hAnsi="Tahoma" w:cs="Tahoma"/>
          <w:sz w:val="20"/>
          <w:szCs w:val="20"/>
          <w:lang w:eastAsia="cs-CZ"/>
        </w:rPr>
      </w:pPr>
    </w:p>
    <w:p w:rsidR="00464AE8" w:rsidRDefault="00464AE8" w:rsidP="001F0245">
      <w:pPr>
        <w:spacing w:after="0"/>
        <w:rPr>
          <w:rFonts w:ascii="Tahoma" w:eastAsia="Times New Roman" w:hAnsi="Tahoma" w:cs="Tahoma"/>
          <w:bCs/>
          <w:sz w:val="20"/>
          <w:szCs w:val="20"/>
          <w:lang w:eastAsia="cs-CZ"/>
        </w:rPr>
      </w:pPr>
    </w:p>
    <w:p w:rsidR="00464AE8" w:rsidRDefault="00464AE8" w:rsidP="001F0245">
      <w:pPr>
        <w:spacing w:after="0"/>
        <w:rPr>
          <w:rFonts w:ascii="Tahoma" w:eastAsia="Times New Roman" w:hAnsi="Tahoma" w:cs="Tahoma"/>
          <w:bCs/>
          <w:sz w:val="20"/>
          <w:szCs w:val="20"/>
          <w:lang w:eastAsia="cs-CZ"/>
        </w:rPr>
      </w:pPr>
    </w:p>
    <w:p w:rsidR="00FA62EB" w:rsidRDefault="00464AE8" w:rsidP="00464AE8">
      <w:pPr>
        <w:spacing w:after="0"/>
        <w:jc w:val="center"/>
        <w:rPr>
          <w:rFonts w:ascii="Tahoma" w:eastAsia="Times New Roman" w:hAnsi="Tahoma" w:cs="Tahoma"/>
          <w:bCs/>
          <w:sz w:val="20"/>
          <w:szCs w:val="20"/>
          <w:lang w:eastAsia="cs-CZ"/>
        </w:rPr>
      </w:pPr>
      <w:r>
        <w:rPr>
          <w:rFonts w:ascii="Tahoma" w:eastAsia="Times New Roman" w:hAnsi="Tahoma" w:cs="Tahoma"/>
          <w:bCs/>
          <w:sz w:val="20"/>
          <w:szCs w:val="20"/>
          <w:lang w:eastAsia="cs-CZ"/>
        </w:rPr>
        <w:br w:type="textWrapping" w:clear="all"/>
      </w:r>
      <w:r w:rsidR="00FA62EB">
        <w:rPr>
          <w:rFonts w:ascii="Tahoma" w:eastAsia="Times New Roman" w:hAnsi="Tahoma" w:cs="Tahoma"/>
          <w:bCs/>
          <w:sz w:val="20"/>
          <w:szCs w:val="20"/>
          <w:lang w:eastAsia="cs-CZ"/>
        </w:rPr>
        <w:t xml:space="preserve"> </w:t>
      </w:r>
    </w:p>
    <w:p w:rsidR="001F0245" w:rsidRPr="00DB634A" w:rsidRDefault="00FA62EB" w:rsidP="001F0245">
      <w:pPr>
        <w:spacing w:after="0"/>
        <w:rPr>
          <w:rFonts w:ascii="Tahoma" w:eastAsia="Times New Roman" w:hAnsi="Tahoma" w:cs="Tahoma"/>
          <w:bCs/>
          <w:sz w:val="20"/>
          <w:szCs w:val="20"/>
          <w:lang w:eastAsia="cs-CZ"/>
        </w:rPr>
      </w:pPr>
      <w:r>
        <w:rPr>
          <w:rFonts w:ascii="Tahoma" w:eastAsia="Times New Roman" w:hAnsi="Tahoma" w:cs="Tahoma"/>
          <w:bCs/>
          <w:sz w:val="20"/>
          <w:szCs w:val="20"/>
          <w:lang w:eastAsia="cs-CZ"/>
        </w:rPr>
        <w:t xml:space="preserve"> </w:t>
      </w:r>
      <w:r w:rsidR="001F0245" w:rsidRPr="00DB634A">
        <w:rPr>
          <w:rFonts w:ascii="Tahoma" w:eastAsia="Times New Roman" w:hAnsi="Tahoma" w:cs="Tahoma"/>
          <w:bCs/>
          <w:sz w:val="20"/>
          <w:szCs w:val="20"/>
          <w:lang w:eastAsia="cs-CZ"/>
        </w:rPr>
        <w:t>Dále jen „ČP“</w:t>
      </w:r>
    </w:p>
    <w:p w:rsidR="00E2360E" w:rsidRDefault="00E2360E" w:rsidP="00882020">
      <w:pPr>
        <w:spacing w:after="0" w:line="360" w:lineRule="exact"/>
      </w:pPr>
    </w:p>
    <w:p w:rsidR="005C3285" w:rsidRPr="00E2360E" w:rsidRDefault="005C3285" w:rsidP="00882020">
      <w:pPr>
        <w:spacing w:after="0" w:line="360" w:lineRule="exact"/>
      </w:pPr>
      <w:r w:rsidRPr="00E2360E">
        <w:t>a</w:t>
      </w:r>
    </w:p>
    <w:p w:rsidR="00E2360E" w:rsidRDefault="00E2360E" w:rsidP="00882020">
      <w:pPr>
        <w:spacing w:after="0" w:line="360" w:lineRule="exact"/>
        <w:rPr>
          <w:b/>
        </w:rPr>
      </w:pPr>
    </w:p>
    <w:p w:rsidR="001F0245" w:rsidRPr="00DB634A" w:rsidRDefault="00AC1D48" w:rsidP="00882020">
      <w:pPr>
        <w:spacing w:after="0" w:line="360" w:lineRule="exact"/>
        <w:rPr>
          <w:rFonts w:ascii="Tahoma" w:eastAsia="Times New Roman" w:hAnsi="Tahoma" w:cs="Tahoma"/>
          <w:b/>
          <w:bCs/>
          <w:sz w:val="20"/>
          <w:szCs w:val="20"/>
          <w:lang w:eastAsia="cs-CZ"/>
        </w:rPr>
      </w:pPr>
      <w:r w:rsidRPr="00DB634A">
        <w:rPr>
          <w:rFonts w:ascii="Tahoma" w:eastAsia="Times New Roman" w:hAnsi="Tahoma" w:cs="Tahoma"/>
          <w:b/>
          <w:bCs/>
          <w:sz w:val="20"/>
          <w:szCs w:val="20"/>
          <w:lang w:eastAsia="cs-CZ"/>
        </w:rPr>
        <w:t>Če</w:t>
      </w:r>
      <w:r w:rsidR="005312E5" w:rsidRPr="00DB634A">
        <w:rPr>
          <w:rFonts w:ascii="Tahoma" w:eastAsia="Times New Roman" w:hAnsi="Tahoma" w:cs="Tahoma"/>
          <w:b/>
          <w:bCs/>
          <w:sz w:val="20"/>
          <w:szCs w:val="20"/>
          <w:lang w:eastAsia="cs-CZ"/>
        </w:rPr>
        <w:t>s</w:t>
      </w:r>
      <w:r w:rsidRPr="00DB634A">
        <w:rPr>
          <w:rFonts w:ascii="Tahoma" w:eastAsia="Times New Roman" w:hAnsi="Tahoma" w:cs="Tahoma"/>
          <w:b/>
          <w:bCs/>
          <w:sz w:val="20"/>
          <w:szCs w:val="20"/>
          <w:lang w:eastAsia="cs-CZ"/>
        </w:rPr>
        <w:t>ká republika - Vrchn</w:t>
      </w:r>
      <w:r w:rsidR="006925D7" w:rsidRPr="00DB634A">
        <w:rPr>
          <w:rFonts w:ascii="Tahoma" w:eastAsia="Times New Roman" w:hAnsi="Tahoma" w:cs="Tahoma"/>
          <w:b/>
          <w:bCs/>
          <w:sz w:val="20"/>
          <w:szCs w:val="20"/>
          <w:lang w:eastAsia="cs-CZ"/>
        </w:rPr>
        <w:t>í soud v Olomouci</w:t>
      </w:r>
    </w:p>
    <w:tbl>
      <w:tblPr>
        <w:tblW w:w="7220" w:type="dxa"/>
        <w:tblInd w:w="55" w:type="dxa"/>
        <w:tblCellMar>
          <w:left w:w="70" w:type="dxa"/>
          <w:right w:w="70" w:type="dxa"/>
        </w:tblCellMar>
        <w:tblLook w:val="04A0" w:firstRow="1" w:lastRow="0" w:firstColumn="1" w:lastColumn="0" w:noHBand="0" w:noVBand="1"/>
      </w:tblPr>
      <w:tblGrid>
        <w:gridCol w:w="2860"/>
        <w:gridCol w:w="4360"/>
      </w:tblGrid>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se sídlem:</w:t>
            </w:r>
          </w:p>
        </w:tc>
        <w:tc>
          <w:tcPr>
            <w:tcW w:w="4360" w:type="dxa"/>
            <w:tcBorders>
              <w:top w:val="nil"/>
              <w:left w:val="nil"/>
              <w:bottom w:val="nil"/>
              <w:right w:val="nil"/>
            </w:tcBorders>
            <w:shd w:val="clear" w:color="auto" w:fill="auto"/>
            <w:hideMark/>
          </w:tcPr>
          <w:p w:rsidR="005C3285" w:rsidRPr="00DB634A" w:rsidRDefault="006925D7"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Masarykova třída 1, 771 11 Olomouc</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IČ:</w:t>
            </w:r>
          </w:p>
        </w:tc>
        <w:tc>
          <w:tcPr>
            <w:tcW w:w="4360" w:type="dxa"/>
            <w:tcBorders>
              <w:top w:val="nil"/>
              <w:left w:val="nil"/>
              <w:bottom w:val="nil"/>
              <w:right w:val="nil"/>
            </w:tcBorders>
            <w:shd w:val="clear" w:color="auto" w:fill="auto"/>
            <w:hideMark/>
          </w:tcPr>
          <w:p w:rsidR="005C3285" w:rsidRPr="00DB634A" w:rsidRDefault="006925D7"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64124533</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DIČ:</w:t>
            </w:r>
          </w:p>
        </w:tc>
        <w:tc>
          <w:tcPr>
            <w:tcW w:w="4360" w:type="dxa"/>
            <w:tcBorders>
              <w:top w:val="nil"/>
              <w:left w:val="nil"/>
              <w:bottom w:val="nil"/>
              <w:right w:val="nil"/>
            </w:tcBorders>
            <w:shd w:val="clear" w:color="auto" w:fill="auto"/>
            <w:hideMark/>
          </w:tcPr>
          <w:p w:rsidR="005C3285" w:rsidRPr="00DB634A" w:rsidRDefault="006925D7"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není plátcem DPH</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zastoupen/jednající:</w:t>
            </w:r>
          </w:p>
        </w:tc>
        <w:tc>
          <w:tcPr>
            <w:tcW w:w="4360" w:type="dxa"/>
            <w:tcBorders>
              <w:top w:val="nil"/>
              <w:left w:val="nil"/>
              <w:bottom w:val="nil"/>
              <w:right w:val="nil"/>
            </w:tcBorders>
            <w:shd w:val="clear" w:color="auto" w:fill="auto"/>
            <w:hideMark/>
          </w:tcPr>
          <w:p w:rsidR="005C3285" w:rsidRPr="006A28DF" w:rsidRDefault="006E12C6" w:rsidP="004E005F">
            <w:pPr>
              <w:spacing w:after="0" w:line="240" w:lineRule="auto"/>
              <w:jc w:val="left"/>
              <w:rPr>
                <w:rFonts w:ascii="Tahoma" w:eastAsia="Times New Roman" w:hAnsi="Tahoma" w:cs="Tahoma"/>
                <w:bCs/>
                <w:sz w:val="20"/>
                <w:szCs w:val="20"/>
                <w:lang w:eastAsia="cs-CZ"/>
              </w:rPr>
            </w:pPr>
            <w:r>
              <w:rPr>
                <w:rFonts w:ascii="Tahoma" w:eastAsia="Times New Roman" w:hAnsi="Tahoma" w:cs="Tahoma"/>
                <w:sz w:val="20"/>
                <w:szCs w:val="20"/>
                <w:lang w:eastAsia="cs-CZ"/>
              </w:rPr>
              <w:t>JUDr. Václav Čapka</w:t>
            </w:r>
            <w:r w:rsidR="000B76C8">
              <w:rPr>
                <w:rFonts w:ascii="Tahoma" w:eastAsia="Times New Roman" w:hAnsi="Tahoma" w:cs="Tahoma"/>
                <w:sz w:val="20"/>
                <w:szCs w:val="20"/>
                <w:lang w:eastAsia="cs-CZ"/>
              </w:rPr>
              <w:t>, předseda soudu</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zapsán v obchodním rejstříku</w:t>
            </w:r>
          </w:p>
        </w:tc>
        <w:tc>
          <w:tcPr>
            <w:tcW w:w="4360" w:type="dxa"/>
            <w:tcBorders>
              <w:top w:val="nil"/>
              <w:left w:val="nil"/>
              <w:bottom w:val="nil"/>
              <w:right w:val="nil"/>
            </w:tcBorders>
            <w:shd w:val="clear" w:color="auto" w:fill="auto"/>
            <w:hideMark/>
          </w:tcPr>
          <w:p w:rsidR="005C3285" w:rsidRPr="00DB634A" w:rsidRDefault="00FA62EB" w:rsidP="004E005F">
            <w:pPr>
              <w:spacing w:after="0" w:line="240" w:lineRule="auto"/>
              <w:jc w:val="left"/>
              <w:rPr>
                <w:rFonts w:ascii="Tahoma" w:eastAsia="Times New Roman" w:hAnsi="Tahoma" w:cs="Tahoma"/>
                <w:bCs/>
                <w:sz w:val="20"/>
                <w:szCs w:val="20"/>
                <w:lang w:eastAsia="cs-CZ"/>
              </w:rPr>
            </w:pPr>
            <w:r>
              <w:rPr>
                <w:rFonts w:ascii="Tahoma" w:eastAsia="Times New Roman" w:hAnsi="Tahoma" w:cs="Tahoma"/>
                <w:bCs/>
                <w:sz w:val="20"/>
                <w:szCs w:val="20"/>
                <w:lang w:eastAsia="cs-CZ"/>
              </w:rPr>
              <w:t>Registru ekonomických subjektů</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bankovní spojení:</w:t>
            </w:r>
          </w:p>
        </w:tc>
        <w:tc>
          <w:tcPr>
            <w:tcW w:w="4360" w:type="dxa"/>
            <w:tcBorders>
              <w:top w:val="nil"/>
              <w:left w:val="nil"/>
              <w:bottom w:val="nil"/>
              <w:right w:val="nil"/>
            </w:tcBorders>
            <w:shd w:val="clear" w:color="auto" w:fill="auto"/>
            <w:hideMark/>
          </w:tcPr>
          <w:p w:rsidR="005C3285" w:rsidRPr="00DB634A" w:rsidRDefault="006925D7"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Česká národní banka</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číslo účtu:</w:t>
            </w:r>
          </w:p>
        </w:tc>
        <w:tc>
          <w:tcPr>
            <w:tcW w:w="4360" w:type="dxa"/>
            <w:tcBorders>
              <w:top w:val="nil"/>
              <w:left w:val="nil"/>
              <w:bottom w:val="nil"/>
              <w:right w:val="nil"/>
            </w:tcBorders>
            <w:shd w:val="clear" w:color="auto" w:fill="auto"/>
            <w:hideMark/>
          </w:tcPr>
          <w:p w:rsidR="005C3285" w:rsidRPr="00DB634A" w:rsidRDefault="00455D8B"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1529-811/0710</w:t>
            </w:r>
          </w:p>
        </w:tc>
      </w:tr>
      <w:tr w:rsidR="005C3285" w:rsidRPr="00DB634A" w:rsidTr="004E005F">
        <w:trPr>
          <w:trHeight w:val="300"/>
        </w:trPr>
        <w:tc>
          <w:tcPr>
            <w:tcW w:w="2860" w:type="dxa"/>
            <w:tcBorders>
              <w:top w:val="nil"/>
              <w:left w:val="nil"/>
              <w:bottom w:val="nil"/>
              <w:right w:val="nil"/>
            </w:tcBorders>
            <w:shd w:val="clear" w:color="auto" w:fill="auto"/>
            <w:hideMark/>
          </w:tcPr>
          <w:p w:rsidR="005C3285" w:rsidRPr="00DB634A" w:rsidRDefault="005C3285"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korespondenční adresa:</w:t>
            </w:r>
          </w:p>
        </w:tc>
        <w:tc>
          <w:tcPr>
            <w:tcW w:w="4360" w:type="dxa"/>
            <w:tcBorders>
              <w:top w:val="nil"/>
              <w:left w:val="nil"/>
              <w:bottom w:val="nil"/>
              <w:right w:val="nil"/>
            </w:tcBorders>
            <w:shd w:val="clear" w:color="auto" w:fill="auto"/>
            <w:hideMark/>
          </w:tcPr>
          <w:p w:rsidR="005C3285" w:rsidRPr="00DB634A" w:rsidRDefault="00455D8B"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Vrchní soud v Olomouci, Masarykova třída 1, 771 11 Olomouc</w:t>
            </w:r>
          </w:p>
        </w:tc>
      </w:tr>
      <w:tr w:rsidR="005C3285" w:rsidRPr="00DB634A" w:rsidTr="009870AB">
        <w:trPr>
          <w:trHeight w:val="457"/>
        </w:trPr>
        <w:tc>
          <w:tcPr>
            <w:tcW w:w="2860" w:type="dxa"/>
            <w:tcBorders>
              <w:top w:val="nil"/>
              <w:left w:val="nil"/>
              <w:bottom w:val="nil"/>
              <w:right w:val="nil"/>
            </w:tcBorders>
            <w:shd w:val="clear" w:color="auto" w:fill="auto"/>
            <w:hideMark/>
          </w:tcPr>
          <w:p w:rsidR="00882020" w:rsidRPr="00DB634A" w:rsidRDefault="00882020" w:rsidP="004E005F">
            <w:pPr>
              <w:spacing w:after="0" w:line="240" w:lineRule="auto"/>
              <w:jc w:val="left"/>
              <w:rPr>
                <w:rFonts w:ascii="Tahoma" w:eastAsia="Times New Roman" w:hAnsi="Tahoma" w:cs="Tahoma"/>
                <w:bCs/>
                <w:sz w:val="20"/>
                <w:szCs w:val="20"/>
                <w:lang w:eastAsia="cs-CZ"/>
              </w:rPr>
            </w:pPr>
            <w:r w:rsidRPr="00DB634A">
              <w:rPr>
                <w:rFonts w:ascii="Tahoma" w:eastAsia="Times New Roman" w:hAnsi="Tahoma" w:cs="Tahoma"/>
                <w:bCs/>
                <w:sz w:val="20"/>
                <w:szCs w:val="20"/>
                <w:lang w:eastAsia="cs-CZ"/>
              </w:rPr>
              <w:t>Přidělené ID CČK složky:</w:t>
            </w:r>
          </w:p>
        </w:tc>
        <w:tc>
          <w:tcPr>
            <w:tcW w:w="4360" w:type="dxa"/>
            <w:tcBorders>
              <w:top w:val="nil"/>
              <w:left w:val="nil"/>
              <w:bottom w:val="nil"/>
              <w:right w:val="nil"/>
            </w:tcBorders>
            <w:shd w:val="clear" w:color="auto" w:fill="auto"/>
            <w:hideMark/>
          </w:tcPr>
          <w:p w:rsidR="005C3285" w:rsidRPr="00DB634A" w:rsidRDefault="00267CA9" w:rsidP="004E005F">
            <w:pPr>
              <w:spacing w:after="0" w:line="240" w:lineRule="auto"/>
              <w:jc w:val="left"/>
              <w:rPr>
                <w:rFonts w:ascii="Tahoma" w:eastAsia="Times New Roman" w:hAnsi="Tahoma" w:cs="Tahoma"/>
                <w:bCs/>
                <w:sz w:val="20"/>
                <w:szCs w:val="20"/>
                <w:lang w:eastAsia="cs-CZ"/>
              </w:rPr>
            </w:pPr>
            <w:r>
              <w:rPr>
                <w:rFonts w:ascii="Tahoma" w:eastAsia="Times New Roman" w:hAnsi="Tahoma" w:cs="Tahoma"/>
                <w:bCs/>
                <w:sz w:val="20"/>
                <w:szCs w:val="20"/>
                <w:lang w:eastAsia="cs-CZ"/>
              </w:rPr>
              <w:t>XXX</w:t>
            </w:r>
          </w:p>
        </w:tc>
      </w:tr>
    </w:tbl>
    <w:p w:rsidR="007E5108" w:rsidRPr="00DB634A" w:rsidRDefault="00FA62EB" w:rsidP="00882020">
      <w:pPr>
        <w:spacing w:after="0"/>
        <w:rPr>
          <w:rFonts w:ascii="Tahoma" w:eastAsia="Times New Roman" w:hAnsi="Tahoma" w:cs="Tahoma"/>
          <w:bCs/>
          <w:sz w:val="20"/>
          <w:szCs w:val="20"/>
          <w:lang w:eastAsia="cs-CZ"/>
        </w:rPr>
      </w:pPr>
      <w:r>
        <w:rPr>
          <w:rFonts w:ascii="Tahoma" w:eastAsia="Times New Roman" w:hAnsi="Tahoma" w:cs="Tahoma"/>
          <w:bCs/>
          <w:sz w:val="20"/>
          <w:szCs w:val="20"/>
          <w:lang w:eastAsia="cs-CZ"/>
        </w:rPr>
        <w:t xml:space="preserve"> </w:t>
      </w:r>
      <w:r w:rsidR="005C3285" w:rsidRPr="00DB634A">
        <w:rPr>
          <w:rFonts w:ascii="Tahoma" w:eastAsia="Times New Roman" w:hAnsi="Tahoma" w:cs="Tahoma"/>
          <w:bCs/>
          <w:sz w:val="20"/>
          <w:szCs w:val="20"/>
          <w:lang w:eastAsia="cs-CZ"/>
        </w:rPr>
        <w:t>Dále jen „Objednatel“</w:t>
      </w: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Default="00E2360E" w:rsidP="00882020">
      <w:pPr>
        <w:spacing w:after="0"/>
      </w:pPr>
    </w:p>
    <w:p w:rsidR="00E2360E" w:rsidRPr="00E2360E" w:rsidRDefault="00E2360E" w:rsidP="00882020">
      <w:pPr>
        <w:spacing w:after="0"/>
      </w:pPr>
    </w:p>
    <w:p w:rsidR="00DB634A" w:rsidRDefault="00DB634A" w:rsidP="00DB634A">
      <w:pPr>
        <w:pStyle w:val="P-HEAD-ODST"/>
        <w:numPr>
          <w:ilvl w:val="0"/>
          <w:numId w:val="0"/>
        </w:numPr>
        <w:spacing w:before="240" w:after="120"/>
        <w:rPr>
          <w:rFonts w:cs="Tahoma"/>
        </w:rPr>
      </w:pPr>
      <w:r>
        <w:rPr>
          <w:rFonts w:cs="Tahoma"/>
        </w:rPr>
        <w:lastRenderedPageBreak/>
        <w:t>I. UJEDNÁNÍ</w:t>
      </w:r>
    </w:p>
    <w:p w:rsidR="00DB634A" w:rsidRPr="001752DD" w:rsidRDefault="00DB634A" w:rsidP="00FA62EB">
      <w:pPr>
        <w:pStyle w:val="Perfekt"/>
        <w:numPr>
          <w:ilvl w:val="1"/>
          <w:numId w:val="19"/>
        </w:numPr>
        <w:rPr>
          <w:rFonts w:ascii="Tahoma" w:hAnsi="Tahoma" w:cs="Tahoma"/>
          <w:sz w:val="20"/>
          <w:szCs w:val="20"/>
        </w:rPr>
      </w:pPr>
      <w:r w:rsidRPr="00F71F50">
        <w:rPr>
          <w:rFonts w:ascii="Tahoma" w:hAnsi="Tahoma" w:cs="Tahoma"/>
          <w:sz w:val="20"/>
          <w:szCs w:val="20"/>
        </w:rPr>
        <w:t>Smluvní st</w:t>
      </w:r>
      <w:r>
        <w:rPr>
          <w:rFonts w:ascii="Tahoma" w:hAnsi="Tahoma" w:cs="Tahoma"/>
          <w:sz w:val="20"/>
          <w:szCs w:val="20"/>
        </w:rPr>
        <w:t xml:space="preserve">rany se dohodly na změně obsahu Smlouvy </w:t>
      </w:r>
      <w:r w:rsidR="00FA62EB">
        <w:rPr>
          <w:rFonts w:ascii="Tahoma" w:hAnsi="Tahoma" w:cs="Tahoma"/>
          <w:sz w:val="20"/>
          <w:szCs w:val="20"/>
        </w:rPr>
        <w:t>o svozu a rozvozu</w:t>
      </w:r>
      <w:r>
        <w:rPr>
          <w:rFonts w:ascii="Tahoma" w:hAnsi="Tahoma" w:cs="Tahoma"/>
          <w:sz w:val="20"/>
          <w:szCs w:val="20"/>
        </w:rPr>
        <w:t xml:space="preserve"> poštovních zásilek číslo 2013/0619</w:t>
      </w:r>
      <w:r w:rsidRPr="00F71F50">
        <w:rPr>
          <w:rFonts w:ascii="Tahoma" w:hAnsi="Tahoma" w:cs="Tahoma"/>
          <w:sz w:val="20"/>
          <w:szCs w:val="20"/>
        </w:rPr>
        <w:t xml:space="preserve"> </w:t>
      </w:r>
      <w:r>
        <w:rPr>
          <w:rFonts w:ascii="Tahoma" w:hAnsi="Tahoma" w:cs="Tahoma"/>
          <w:sz w:val="20"/>
          <w:szCs w:val="20"/>
        </w:rPr>
        <w:t xml:space="preserve"> </w:t>
      </w:r>
      <w:r w:rsidRPr="00F71F50">
        <w:rPr>
          <w:rFonts w:ascii="Tahoma" w:hAnsi="Tahoma" w:cs="Tahoma"/>
          <w:sz w:val="20"/>
          <w:szCs w:val="20"/>
        </w:rPr>
        <w:t xml:space="preserve">ze dne </w:t>
      </w:r>
      <w:proofErr w:type="gramStart"/>
      <w:r>
        <w:rPr>
          <w:rStyle w:val="P-HEAD-WBULLETSChar"/>
          <w:sz w:val="20"/>
          <w:szCs w:val="20"/>
        </w:rPr>
        <w:t>17.6.2013</w:t>
      </w:r>
      <w:proofErr w:type="gramEnd"/>
      <w:r w:rsidR="00FA62EB">
        <w:rPr>
          <w:rStyle w:val="P-HEAD-WBULLETSChar"/>
          <w:sz w:val="20"/>
          <w:szCs w:val="20"/>
        </w:rPr>
        <w:t xml:space="preserve"> a Dodatku č. 1 ze dne 29.11.2014</w:t>
      </w:r>
      <w:r w:rsidR="00E7211C">
        <w:rPr>
          <w:rStyle w:val="P-HEAD-WBULLETSChar"/>
          <w:sz w:val="20"/>
          <w:szCs w:val="20"/>
        </w:rPr>
        <w:t xml:space="preserve"> (dále jen Smlouva)</w:t>
      </w:r>
      <w:r w:rsidRPr="00F71F50">
        <w:rPr>
          <w:rFonts w:ascii="Tahoma" w:hAnsi="Tahoma" w:cs="Tahoma"/>
          <w:sz w:val="20"/>
          <w:szCs w:val="20"/>
        </w:rPr>
        <w:t>, a to následujícím způsobem</w:t>
      </w:r>
      <w:r>
        <w:rPr>
          <w:rFonts w:ascii="Tahoma" w:hAnsi="Tahoma" w:cs="Tahoma"/>
          <w:sz w:val="20"/>
          <w:szCs w:val="20"/>
        </w:rPr>
        <w:t>:</w:t>
      </w:r>
      <w:r w:rsidRPr="002A26E7">
        <w:rPr>
          <w:rFonts w:ascii="Tahoma" w:hAnsi="Tahoma" w:cs="Tahoma"/>
          <w:sz w:val="20"/>
          <w:szCs w:val="20"/>
        </w:rPr>
        <w:t xml:space="preserve"> </w:t>
      </w:r>
    </w:p>
    <w:p w:rsidR="00DB634A" w:rsidRPr="001D698D" w:rsidRDefault="00DB634A" w:rsidP="00DB634A">
      <w:pPr>
        <w:pStyle w:val="Perfekt"/>
        <w:ind w:left="851"/>
        <w:rPr>
          <w:rFonts w:ascii="Tahoma" w:hAnsi="Tahoma" w:cs="Tahoma"/>
          <w:bCs w:val="0"/>
          <w:sz w:val="20"/>
          <w:szCs w:val="20"/>
        </w:rPr>
      </w:pPr>
    </w:p>
    <w:p w:rsidR="00651832" w:rsidRPr="00E707A8" w:rsidRDefault="00FA62EB" w:rsidP="00E707A8">
      <w:pPr>
        <w:pStyle w:val="Perfekt"/>
        <w:numPr>
          <w:ilvl w:val="1"/>
          <w:numId w:val="19"/>
        </w:numPr>
        <w:tabs>
          <w:tab w:val="num" w:pos="1134"/>
        </w:tabs>
        <w:rPr>
          <w:rFonts w:ascii="Tahoma" w:hAnsi="Tahoma" w:cs="Tahoma"/>
          <w:sz w:val="20"/>
          <w:szCs w:val="20"/>
        </w:rPr>
      </w:pPr>
      <w:r w:rsidRPr="00FA62EB">
        <w:rPr>
          <w:rFonts w:ascii="Tahoma" w:hAnsi="Tahoma" w:cs="Tahoma"/>
          <w:sz w:val="20"/>
          <w:szCs w:val="20"/>
        </w:rPr>
        <w:t xml:space="preserve">Smluvní strany se dohodly na úpravě výše Jednotkové měsíční ceny v Příloze č. 2 </w:t>
      </w:r>
      <w:r w:rsidR="00E707A8">
        <w:rPr>
          <w:rFonts w:ascii="Tahoma" w:hAnsi="Tahoma" w:cs="Tahoma"/>
          <w:sz w:val="20"/>
          <w:szCs w:val="20"/>
        </w:rPr>
        <w:t xml:space="preserve">Smlouvy tak, že </w:t>
      </w:r>
      <w:r w:rsidRPr="00E707A8">
        <w:rPr>
          <w:rFonts w:ascii="Tahoma" w:hAnsi="Tahoma" w:cs="Tahoma"/>
          <w:sz w:val="20"/>
          <w:szCs w:val="20"/>
        </w:rPr>
        <w:t xml:space="preserve">Jednotková měsíční cena nově činí </w:t>
      </w:r>
      <w:r w:rsidR="00267CA9">
        <w:rPr>
          <w:rFonts w:ascii="Tahoma" w:hAnsi="Tahoma" w:cs="Tahoma"/>
          <w:sz w:val="20"/>
          <w:szCs w:val="20"/>
        </w:rPr>
        <w:t>XXX</w:t>
      </w:r>
      <w:bookmarkStart w:id="0" w:name="_GoBack"/>
      <w:bookmarkEnd w:id="0"/>
      <w:r w:rsidRPr="00E707A8">
        <w:rPr>
          <w:rFonts w:ascii="Tahoma" w:hAnsi="Tahoma" w:cs="Tahoma"/>
          <w:sz w:val="20"/>
          <w:szCs w:val="20"/>
        </w:rPr>
        <w:t xml:space="preserve"> Kč bez DPH.</w:t>
      </w:r>
    </w:p>
    <w:p w:rsidR="00651832" w:rsidRPr="00651832" w:rsidRDefault="00651832" w:rsidP="00651832">
      <w:pPr>
        <w:pStyle w:val="Perfekt"/>
        <w:rPr>
          <w:rFonts w:ascii="Tahoma" w:hAnsi="Tahoma" w:cs="Tahoma"/>
          <w:sz w:val="20"/>
          <w:szCs w:val="20"/>
        </w:rPr>
      </w:pPr>
    </w:p>
    <w:p w:rsidR="00651832" w:rsidRPr="00ED2421"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5.3</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cpodstavecslovan1"/>
        <w:numPr>
          <w:ilvl w:val="0"/>
          <w:numId w:val="0"/>
        </w:numPr>
        <w:ind w:left="360"/>
        <w:rPr>
          <w:rFonts w:ascii="Tahoma" w:hAnsi="Tahoma" w:cs="Tahoma"/>
          <w:sz w:val="20"/>
          <w:szCs w:val="20"/>
        </w:rPr>
      </w:pPr>
      <w:r w:rsidRPr="00ED2421">
        <w:rPr>
          <w:rFonts w:ascii="Tahoma" w:hAnsi="Tahoma" w:cs="Tahoma"/>
          <w:bCs/>
          <w:sz w:val="20"/>
          <w:szCs w:val="20"/>
        </w:rPr>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w:t>
      </w:r>
      <w:r w:rsidRPr="00ED2421">
        <w:rPr>
          <w:rFonts w:ascii="Tahoma" w:hAnsi="Tahoma" w:cs="Tahoma"/>
          <w:sz w:val="20"/>
          <w:szCs w:val="20"/>
        </w:rPr>
        <w:t xml:space="preserve"> poskytované plnění nad rámec veřejně přístupných informací. </w:t>
      </w: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5.4</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cpodstavecslovan1"/>
        <w:numPr>
          <w:ilvl w:val="0"/>
          <w:numId w:val="0"/>
        </w:numPr>
        <w:ind w:left="360"/>
        <w:rPr>
          <w:rFonts w:ascii="Tahoma" w:hAnsi="Tahoma" w:cs="Tahoma"/>
          <w:sz w:val="20"/>
          <w:szCs w:val="20"/>
        </w:rPr>
      </w:pPr>
      <w:r w:rsidRPr="00ED2421">
        <w:rPr>
          <w:rFonts w:ascii="Tahoma" w:hAnsi="Tahoma" w:cs="Tahoma"/>
          <w:sz w:val="20"/>
          <w:szCs w:val="20"/>
        </w:rP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5.5</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Perfekt"/>
        <w:ind w:left="360"/>
        <w:rPr>
          <w:rFonts w:ascii="Tahoma" w:hAnsi="Tahoma" w:cs="Tahoma"/>
          <w:sz w:val="20"/>
          <w:szCs w:val="20"/>
        </w:rPr>
      </w:pPr>
      <w:r w:rsidRPr="00ED2421">
        <w:rPr>
          <w:rFonts w:ascii="Tahoma" w:hAnsi="Tahoma" w:cs="Tahoma"/>
          <w:sz w:val="20"/>
          <w:szCs w:val="20"/>
        </w:rPr>
        <w:t xml:space="preserve">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 </w:t>
      </w:r>
    </w:p>
    <w:p w:rsidR="00651832" w:rsidRDefault="00651832" w:rsidP="00651832">
      <w:pPr>
        <w:pStyle w:val="Perfekt"/>
        <w:ind w:left="360"/>
        <w:rPr>
          <w:rFonts w:ascii="Tahoma" w:hAnsi="Tahoma" w:cs="Tahoma"/>
          <w:sz w:val="20"/>
          <w:szCs w:val="20"/>
        </w:rPr>
      </w:pP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5.6</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Perfekt"/>
        <w:ind w:left="360"/>
        <w:rPr>
          <w:rFonts w:ascii="Tahoma" w:hAnsi="Tahoma" w:cs="Tahoma"/>
          <w:sz w:val="20"/>
          <w:szCs w:val="20"/>
        </w:rPr>
      </w:pPr>
      <w:r w:rsidRPr="00ED2421">
        <w:rPr>
          <w:rFonts w:ascii="Tahoma" w:hAnsi="Tahoma" w:cs="Tahoma"/>
          <w:sz w:val="20"/>
          <w:szCs w:val="20"/>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rsidR="00651832" w:rsidRDefault="00651832" w:rsidP="00651832">
      <w:pPr>
        <w:pStyle w:val="Perfekt"/>
        <w:ind w:left="360"/>
        <w:rPr>
          <w:rFonts w:ascii="Tahoma" w:hAnsi="Tahoma" w:cs="Tahoma"/>
          <w:sz w:val="20"/>
          <w:szCs w:val="20"/>
        </w:rPr>
      </w:pP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5.7</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Perfekt"/>
        <w:ind w:left="360"/>
        <w:rPr>
          <w:rFonts w:ascii="Tahoma" w:hAnsi="Tahoma" w:cs="Tahoma"/>
          <w:sz w:val="20"/>
          <w:szCs w:val="20"/>
        </w:rPr>
      </w:pPr>
      <w:r w:rsidRPr="00ED2421">
        <w:rPr>
          <w:rFonts w:ascii="Tahoma" w:hAnsi="Tahoma" w:cs="Tahoma"/>
          <w:sz w:val="20"/>
          <w:szCs w:val="20"/>
        </w:rPr>
        <w:t>Povinnost mlčenlivosti trvá bez ohledu na ukončení smluvního vztahu založeného touto Smlouvou.</w:t>
      </w:r>
    </w:p>
    <w:p w:rsidR="00651832" w:rsidRDefault="00651832" w:rsidP="00651832">
      <w:pPr>
        <w:pStyle w:val="Perfekt"/>
        <w:ind w:left="792"/>
        <w:rPr>
          <w:rFonts w:ascii="Tahoma" w:hAnsi="Tahoma" w:cs="Tahoma"/>
          <w:sz w:val="20"/>
          <w:szCs w:val="20"/>
        </w:rPr>
      </w:pP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5.8</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Perfekt"/>
        <w:ind w:left="360"/>
        <w:rPr>
          <w:rFonts w:ascii="Tahoma" w:hAnsi="Tahoma" w:cs="Tahoma"/>
          <w:sz w:val="20"/>
          <w:szCs w:val="20"/>
        </w:rPr>
      </w:pPr>
      <w:r w:rsidRPr="00ED2421">
        <w:rPr>
          <w:rFonts w:ascii="Tahoma" w:hAnsi="Tahoma" w:cs="Tahoma"/>
          <w:sz w:val="20"/>
          <w:szCs w:val="20"/>
        </w:rPr>
        <w:t>ČP jako správce zpracovává osobní údaje Objednatele, je-li Objednatelem fyzická osoba, a osobní údaje jeho kontaktních osob poskytnuté v tomto dodatku, popřípadě osobní údaje dalších osob poskytnuté v rámci Smlouvy (dále jen „subjekty údajů“ a „osobní údaje“), výhradně pro účely související s plněním Smlouvy, a to po dobu trvání Smlouvy, resp. pro účely vyplývající z právních předpisů, a to po dobu delší, je-li odůvodněna dle platných právních předpisů. Objednatel</w:t>
      </w:r>
      <w:r w:rsidRPr="00ED2421">
        <w:t xml:space="preserve"> </w:t>
      </w:r>
      <w:r w:rsidRPr="00ED2421">
        <w:rPr>
          <w:rFonts w:ascii="Tahoma" w:hAnsi="Tahoma" w:cs="Tahoma"/>
          <w:sz w:val="20"/>
          <w:szCs w:val="20"/>
        </w:rPr>
        <w:t xml:space="preserve">je povinen informovat obdobně fyzické osoby, jejichž osobní údaje pro účely související s plněním Smlouvy ČP předává. Další informace související se zpracováním osobních údajů včetně práv subjektů s tímto zpracováním souvisejících jsou k dispozici v aktuální verzi dokumentu „Informace o zpracování osobních údajů“ na webových stránkách ČP na adrese </w:t>
      </w:r>
      <w:hyperlink r:id="rId9" w:history="1">
        <w:r w:rsidRPr="00F306E1">
          <w:rPr>
            <w:rStyle w:val="Hypertextovodkaz"/>
            <w:rFonts w:ascii="Tahoma" w:hAnsi="Tahoma" w:cs="Tahoma"/>
            <w:sz w:val="20"/>
            <w:szCs w:val="20"/>
          </w:rPr>
          <w:t>www.ceskaposta.cz</w:t>
        </w:r>
      </w:hyperlink>
      <w:r w:rsidRPr="00ED2421">
        <w:rPr>
          <w:rFonts w:ascii="Tahoma" w:hAnsi="Tahoma" w:cs="Tahoma"/>
          <w:sz w:val="20"/>
          <w:szCs w:val="20"/>
        </w:rPr>
        <w:t>.</w:t>
      </w:r>
    </w:p>
    <w:p w:rsidR="00651832" w:rsidRDefault="00651832" w:rsidP="00651832">
      <w:pPr>
        <w:pStyle w:val="Perfekt"/>
        <w:ind w:left="360"/>
        <w:rPr>
          <w:rFonts w:ascii="Tahoma" w:hAnsi="Tahoma" w:cs="Tahoma"/>
          <w:sz w:val="20"/>
          <w:szCs w:val="20"/>
        </w:rPr>
      </w:pPr>
    </w:p>
    <w:p w:rsidR="00651832" w:rsidRDefault="00651832" w:rsidP="00651832">
      <w:pPr>
        <w:pStyle w:val="Perfekt"/>
        <w:numPr>
          <w:ilvl w:val="1"/>
          <w:numId w:val="19"/>
        </w:numPr>
        <w:tabs>
          <w:tab w:val="num" w:pos="1134"/>
        </w:tabs>
        <w:rPr>
          <w:rFonts w:ascii="Tahoma" w:hAnsi="Tahoma" w:cs="Tahoma"/>
          <w:sz w:val="20"/>
          <w:szCs w:val="20"/>
        </w:rPr>
      </w:pPr>
      <w:r w:rsidRPr="00ED2421">
        <w:rPr>
          <w:rFonts w:ascii="Tahoma" w:hAnsi="Tahoma" w:cs="Tahoma"/>
          <w:sz w:val="20"/>
          <w:szCs w:val="20"/>
        </w:rPr>
        <w:t>Smluvní strany se dohodly na d</w:t>
      </w:r>
      <w:r>
        <w:rPr>
          <w:rFonts w:ascii="Tahoma" w:hAnsi="Tahoma" w:cs="Tahoma"/>
          <w:sz w:val="20"/>
          <w:szCs w:val="20"/>
        </w:rPr>
        <w:t>oplnění stávajícího textu Čl. 5</w:t>
      </w:r>
      <w:r w:rsidRPr="00ED2421">
        <w:rPr>
          <w:rFonts w:ascii="Tahoma" w:hAnsi="Tahoma" w:cs="Tahoma"/>
          <w:sz w:val="20"/>
          <w:szCs w:val="20"/>
        </w:rPr>
        <w:t xml:space="preserve">. </w:t>
      </w:r>
      <w:r>
        <w:rPr>
          <w:rFonts w:ascii="Tahoma" w:hAnsi="Tahoma" w:cs="Tahoma"/>
          <w:sz w:val="20"/>
          <w:szCs w:val="20"/>
        </w:rPr>
        <w:t xml:space="preserve">Závěrečná ustanovení o bod č. </w:t>
      </w:r>
      <w:proofErr w:type="gramStart"/>
      <w:r>
        <w:rPr>
          <w:rFonts w:ascii="Tahoma" w:hAnsi="Tahoma" w:cs="Tahoma"/>
          <w:sz w:val="20"/>
          <w:szCs w:val="20"/>
        </w:rPr>
        <w:t>5.9</w:t>
      </w:r>
      <w:r w:rsidRPr="00ED2421">
        <w:rPr>
          <w:rFonts w:ascii="Tahoma" w:hAnsi="Tahoma" w:cs="Tahoma"/>
          <w:sz w:val="20"/>
          <w:szCs w:val="20"/>
        </w:rPr>
        <w:t>., a to</w:t>
      </w:r>
      <w:proofErr w:type="gramEnd"/>
      <w:r w:rsidRPr="00ED2421">
        <w:rPr>
          <w:rFonts w:ascii="Tahoma" w:hAnsi="Tahoma" w:cs="Tahoma"/>
          <w:sz w:val="20"/>
          <w:szCs w:val="20"/>
        </w:rPr>
        <w:t xml:space="preserve"> o text:</w:t>
      </w:r>
    </w:p>
    <w:p w:rsidR="00651832" w:rsidRDefault="00651832" w:rsidP="00651832">
      <w:pPr>
        <w:pStyle w:val="Perfekt"/>
        <w:ind w:left="360"/>
        <w:rPr>
          <w:rFonts w:ascii="Tahoma" w:hAnsi="Tahoma" w:cs="Tahoma"/>
          <w:sz w:val="20"/>
          <w:szCs w:val="20"/>
        </w:rPr>
      </w:pPr>
    </w:p>
    <w:p w:rsidR="00651832" w:rsidRPr="00ED2421" w:rsidRDefault="00651832" w:rsidP="00651832">
      <w:pPr>
        <w:pStyle w:val="Perfekt"/>
        <w:ind w:left="774"/>
        <w:rPr>
          <w:rFonts w:ascii="Tahoma" w:hAnsi="Tahoma" w:cs="Tahoma"/>
          <w:sz w:val="20"/>
          <w:szCs w:val="20"/>
        </w:rPr>
      </w:pPr>
      <w:r w:rsidRPr="00A26776">
        <w:rPr>
          <w:rFonts w:ascii="Tahoma" w:hAnsi="Tahoma" w:cs="Tahoma"/>
          <w:sz w:val="20"/>
          <w:szCs w:val="20"/>
        </w:rPr>
        <w:t xml:space="preserve">Tato </w:t>
      </w:r>
      <w:r>
        <w:rPr>
          <w:rFonts w:ascii="Tahoma" w:hAnsi="Tahoma" w:cs="Tahoma"/>
          <w:sz w:val="20"/>
          <w:szCs w:val="20"/>
        </w:rPr>
        <w:t>Smlouva</w:t>
      </w:r>
      <w:r w:rsidRPr="00A26776">
        <w:rPr>
          <w:rFonts w:ascii="Tahoma" w:hAnsi="Tahoma" w:cs="Tahoma"/>
          <w:sz w:val="20"/>
          <w:szCs w:val="20"/>
        </w:rPr>
        <w:t xml:space="preserve"> bude uveřejněna v registru smluv dle zákona č. 340/2015 Sb., o zvláštních podmínkách účinnosti některých smluv, uveřejňování těchto smluv a o registru smluv (zákon o registru smluv). Dle </w:t>
      </w:r>
      <w:r>
        <w:rPr>
          <w:rFonts w:ascii="Tahoma" w:hAnsi="Tahoma" w:cs="Tahoma"/>
          <w:sz w:val="20"/>
          <w:szCs w:val="20"/>
        </w:rPr>
        <w:t>Smluvních stran Smlouvy</w:t>
      </w:r>
      <w:r w:rsidRPr="00A26776">
        <w:rPr>
          <w:rFonts w:ascii="Tahoma" w:hAnsi="Tahoma" w:cs="Tahoma"/>
          <w:sz w:val="20"/>
          <w:szCs w:val="20"/>
        </w:rPr>
        <w:t xml:space="preserve"> zajistí odeslání této </w:t>
      </w:r>
      <w:r>
        <w:rPr>
          <w:rFonts w:ascii="Tahoma" w:hAnsi="Tahoma" w:cs="Tahoma"/>
          <w:sz w:val="20"/>
          <w:szCs w:val="20"/>
        </w:rPr>
        <w:t>Smlouvy</w:t>
      </w:r>
      <w:r w:rsidRPr="00A26776">
        <w:rPr>
          <w:rFonts w:ascii="Tahoma" w:hAnsi="Tahoma" w:cs="Tahoma"/>
          <w:sz w:val="20"/>
          <w:szCs w:val="20"/>
        </w:rPr>
        <w:t xml:space="preserve"> správci registru smluv ČP. ČP je oprávněna před odesláním </w:t>
      </w:r>
      <w:r>
        <w:rPr>
          <w:rFonts w:ascii="Tahoma" w:hAnsi="Tahoma" w:cs="Tahoma"/>
          <w:sz w:val="20"/>
          <w:szCs w:val="20"/>
        </w:rPr>
        <w:t xml:space="preserve">Smlouvy správci registru smluv ve Smlouvě </w:t>
      </w:r>
      <w:r w:rsidRPr="00A26776">
        <w:rPr>
          <w:rFonts w:ascii="Tahoma" w:hAnsi="Tahoma" w:cs="Tahoma"/>
          <w:sz w:val="20"/>
          <w:szCs w:val="20"/>
        </w:rPr>
        <w:t xml:space="preserve">znečitelnit informace, na něž se nevztahuje </w:t>
      </w:r>
      <w:proofErr w:type="spellStart"/>
      <w:r w:rsidRPr="00A26776">
        <w:rPr>
          <w:rFonts w:ascii="Tahoma" w:hAnsi="Tahoma" w:cs="Tahoma"/>
          <w:sz w:val="20"/>
          <w:szCs w:val="20"/>
        </w:rPr>
        <w:t>uveřejňovací</w:t>
      </w:r>
      <w:proofErr w:type="spellEnd"/>
      <w:r w:rsidRPr="00A26776">
        <w:rPr>
          <w:rFonts w:ascii="Tahoma" w:hAnsi="Tahoma" w:cs="Tahoma"/>
          <w:sz w:val="20"/>
          <w:szCs w:val="20"/>
        </w:rPr>
        <w:t xml:space="preserve"> povinnost podle zákona o registru smluv.</w:t>
      </w:r>
    </w:p>
    <w:p w:rsidR="00651832" w:rsidRPr="00ED2421" w:rsidRDefault="00651832" w:rsidP="00651832">
      <w:pPr>
        <w:pStyle w:val="Perfekt"/>
        <w:ind w:left="340" w:firstLine="340"/>
        <w:rPr>
          <w:rFonts w:ascii="Tahoma" w:hAnsi="Tahoma" w:cs="Tahoma"/>
          <w:sz w:val="20"/>
          <w:szCs w:val="20"/>
        </w:rPr>
      </w:pPr>
    </w:p>
    <w:p w:rsidR="00DB634A" w:rsidRPr="007B6EAD" w:rsidRDefault="00DB634A" w:rsidP="00E707A8">
      <w:pPr>
        <w:pStyle w:val="Perfekt"/>
        <w:rPr>
          <w:rFonts w:ascii="Tahoma" w:hAnsi="Tahoma" w:cs="Tahoma"/>
          <w:sz w:val="20"/>
          <w:szCs w:val="20"/>
        </w:rPr>
      </w:pPr>
    </w:p>
    <w:p w:rsidR="00DB634A" w:rsidRPr="008704F2" w:rsidRDefault="00DB634A" w:rsidP="00DB634A">
      <w:pPr>
        <w:pStyle w:val="P-HEAD-ODST"/>
        <w:numPr>
          <w:ilvl w:val="0"/>
          <w:numId w:val="0"/>
        </w:numPr>
        <w:spacing w:before="240" w:after="120"/>
        <w:rPr>
          <w:rFonts w:cs="Tahoma"/>
        </w:rPr>
      </w:pPr>
      <w:r w:rsidRPr="008704F2">
        <w:rPr>
          <w:rFonts w:cs="Tahoma"/>
        </w:rPr>
        <w:t>II. ZÁVĚREČNÁ USTANOVENÍ</w:t>
      </w:r>
    </w:p>
    <w:p w:rsidR="00DB634A" w:rsidRPr="00F71F50" w:rsidRDefault="00DB634A" w:rsidP="00DB634A">
      <w:pPr>
        <w:pStyle w:val="Perfekt"/>
        <w:numPr>
          <w:ilvl w:val="0"/>
          <w:numId w:val="17"/>
        </w:numPr>
        <w:rPr>
          <w:rFonts w:ascii="Tahoma" w:hAnsi="Tahoma" w:cs="Tahoma"/>
          <w:sz w:val="20"/>
          <w:szCs w:val="20"/>
        </w:rPr>
      </w:pPr>
      <w:r w:rsidRPr="00F71F50">
        <w:rPr>
          <w:rFonts w:ascii="Tahoma" w:hAnsi="Tahoma" w:cs="Tahoma"/>
          <w:sz w:val="20"/>
          <w:szCs w:val="20"/>
        </w:rPr>
        <w:t>Ostatní ujednání Smlouvy se nemění a zůstávají nadále v platnosti.</w:t>
      </w:r>
    </w:p>
    <w:p w:rsidR="00DB634A" w:rsidRPr="00F71F50" w:rsidRDefault="00DB634A" w:rsidP="00DB634A">
      <w:pPr>
        <w:pStyle w:val="Perfekt"/>
        <w:ind w:left="540"/>
        <w:rPr>
          <w:rFonts w:ascii="Tahoma" w:hAnsi="Tahoma" w:cs="Tahoma"/>
          <w:sz w:val="20"/>
          <w:szCs w:val="20"/>
        </w:rPr>
      </w:pPr>
    </w:p>
    <w:p w:rsidR="005A4595" w:rsidRPr="00825887" w:rsidRDefault="005A4595" w:rsidP="005A4595">
      <w:pPr>
        <w:pStyle w:val="Perfekt"/>
        <w:numPr>
          <w:ilvl w:val="0"/>
          <w:numId w:val="17"/>
        </w:numPr>
        <w:rPr>
          <w:rFonts w:ascii="Tahoma" w:hAnsi="Tahoma" w:cs="Tahoma"/>
          <w:bCs w:val="0"/>
          <w:iCs/>
          <w:sz w:val="20"/>
          <w:szCs w:val="20"/>
        </w:rPr>
      </w:pPr>
      <w:r w:rsidRPr="00825887">
        <w:rPr>
          <w:rFonts w:ascii="Tahoma" w:hAnsi="Tahoma" w:cs="Tahoma"/>
          <w:sz w:val="20"/>
          <w:szCs w:val="20"/>
        </w:rPr>
        <w:t xml:space="preserve">Dodatek č. </w:t>
      </w:r>
      <w:r>
        <w:rPr>
          <w:rFonts w:ascii="Tahoma" w:hAnsi="Tahoma" w:cs="Tahoma"/>
          <w:sz w:val="20"/>
          <w:szCs w:val="20"/>
        </w:rPr>
        <w:t>2</w:t>
      </w:r>
      <w:r w:rsidRPr="00825887">
        <w:rPr>
          <w:rStyle w:val="P-HEAD-WBULLETSChar"/>
          <w:sz w:val="20"/>
          <w:szCs w:val="20"/>
        </w:rPr>
        <w:t xml:space="preserve"> </w:t>
      </w:r>
      <w:r w:rsidRPr="00825887">
        <w:rPr>
          <w:rFonts w:ascii="Tahoma" w:hAnsi="Tahoma" w:cs="Tahoma"/>
          <w:sz w:val="20"/>
          <w:szCs w:val="20"/>
        </w:rPr>
        <w:t xml:space="preserve">je uzavřen dnem jeho podpisu oběma </w:t>
      </w:r>
      <w:r w:rsidR="009F45F8">
        <w:rPr>
          <w:rFonts w:ascii="Tahoma" w:hAnsi="Tahoma" w:cs="Tahoma"/>
          <w:sz w:val="20"/>
          <w:szCs w:val="20"/>
        </w:rPr>
        <w:t>Smluvními stranami</w:t>
      </w:r>
      <w:r w:rsidRPr="00825887">
        <w:rPr>
          <w:rFonts w:ascii="Tahoma" w:hAnsi="Tahoma" w:cs="Tahoma"/>
          <w:sz w:val="20"/>
          <w:szCs w:val="20"/>
        </w:rPr>
        <w:t xml:space="preserve"> a účinný dnem uveřejnění v registru smluv. Na plnění uvedená v tomto Dodatku poskytnutá od 1. 1. 2020 do nabytí účinnosti tohoto Dodatku se tam, kde to nevylučuje povaha věci, pohlíží jako na plnění poskytnutá za její účinnosti.</w:t>
      </w:r>
    </w:p>
    <w:p w:rsidR="0091178F" w:rsidRPr="0091178F" w:rsidRDefault="0091178F" w:rsidP="0091178F">
      <w:pPr>
        <w:pStyle w:val="Perfekt"/>
        <w:rPr>
          <w:rFonts w:ascii="Tahoma" w:hAnsi="Tahoma" w:cs="Tahoma"/>
          <w:sz w:val="20"/>
          <w:szCs w:val="20"/>
        </w:rPr>
      </w:pPr>
    </w:p>
    <w:p w:rsidR="00DB634A" w:rsidRDefault="00DB634A" w:rsidP="00DB634A">
      <w:pPr>
        <w:pStyle w:val="Perfekt"/>
        <w:numPr>
          <w:ilvl w:val="0"/>
          <w:numId w:val="17"/>
        </w:numPr>
        <w:rPr>
          <w:rFonts w:ascii="Tahoma" w:hAnsi="Tahoma" w:cs="Tahoma"/>
          <w:sz w:val="20"/>
          <w:szCs w:val="20"/>
        </w:rPr>
      </w:pPr>
      <w:r>
        <w:rPr>
          <w:rFonts w:ascii="Tahoma" w:hAnsi="Tahoma" w:cs="Tahoma"/>
          <w:sz w:val="20"/>
          <w:szCs w:val="20"/>
        </w:rPr>
        <w:t xml:space="preserve">Dodatek č. </w:t>
      </w:r>
      <w:r w:rsidR="00E707A8">
        <w:rPr>
          <w:rFonts w:ascii="Tahoma" w:hAnsi="Tahoma" w:cs="Tahoma"/>
          <w:sz w:val="20"/>
          <w:szCs w:val="20"/>
        </w:rPr>
        <w:t>2</w:t>
      </w:r>
      <w:r>
        <w:rPr>
          <w:rFonts w:ascii="Tahoma" w:hAnsi="Tahoma" w:cs="Tahoma"/>
          <w:sz w:val="20"/>
          <w:szCs w:val="20"/>
        </w:rPr>
        <w:t xml:space="preserve"> je sepsán</w:t>
      </w:r>
      <w:r w:rsidRPr="00F71F50">
        <w:rPr>
          <w:rFonts w:ascii="Tahoma" w:hAnsi="Tahoma" w:cs="Tahoma"/>
          <w:sz w:val="20"/>
          <w:szCs w:val="20"/>
        </w:rPr>
        <w:t xml:space="preserve"> ve čtyřech vyhotoveních s platností originálu, z nichž každá ze stran obdrží po dvou výtiscích</w:t>
      </w:r>
      <w:r>
        <w:rPr>
          <w:rFonts w:ascii="Tahoma" w:hAnsi="Tahoma" w:cs="Tahoma"/>
          <w:sz w:val="20"/>
          <w:szCs w:val="20"/>
        </w:rPr>
        <w:t>.</w:t>
      </w:r>
    </w:p>
    <w:p w:rsidR="00DB634A" w:rsidRPr="00F71F50" w:rsidRDefault="00DB634A" w:rsidP="00DB634A">
      <w:pPr>
        <w:pStyle w:val="Perfekt"/>
        <w:rPr>
          <w:rFonts w:ascii="Tahoma" w:hAnsi="Tahoma" w:cs="Tahoma"/>
          <w:sz w:val="20"/>
          <w:szCs w:val="20"/>
        </w:rPr>
      </w:pPr>
    </w:p>
    <w:p w:rsidR="00DB634A" w:rsidRPr="00F71F50" w:rsidRDefault="00DB634A" w:rsidP="00DB634A">
      <w:pPr>
        <w:spacing w:before="120"/>
        <w:ind w:left="360" w:firstLine="340"/>
        <w:rPr>
          <w:rStyle w:val="P-HEAD-WBULLETSChar"/>
        </w:rPr>
      </w:pPr>
    </w:p>
    <w:p w:rsidR="00E2360E" w:rsidRPr="00DB634A" w:rsidRDefault="00E2360E" w:rsidP="00E2360E">
      <w:pPr>
        <w:pStyle w:val="cpodrky1"/>
        <w:numPr>
          <w:ilvl w:val="0"/>
          <w:numId w:val="0"/>
        </w:numPr>
        <w:rPr>
          <w:rFonts w:ascii="Tahoma" w:eastAsia="Times New Roman" w:hAnsi="Tahoma" w:cs="Tahoma"/>
          <w:bCs/>
          <w:sz w:val="20"/>
          <w:szCs w:val="20"/>
          <w:lang w:eastAsia="cs-CZ"/>
        </w:rPr>
      </w:pPr>
    </w:p>
    <w:tbl>
      <w:tblPr>
        <w:tblpPr w:leftFromText="141" w:rightFromText="141" w:vertAnchor="text" w:horzAnchor="margin" w:tblpY="95"/>
        <w:tblW w:w="0" w:type="auto"/>
        <w:tblLook w:val="00A0" w:firstRow="1" w:lastRow="0" w:firstColumn="1" w:lastColumn="0" w:noHBand="0" w:noVBand="0"/>
      </w:tblPr>
      <w:tblGrid>
        <w:gridCol w:w="4889"/>
        <w:gridCol w:w="4889"/>
      </w:tblGrid>
      <w:tr w:rsidR="00E2360E" w:rsidRPr="00DB634A" w:rsidTr="008425B7">
        <w:trPr>
          <w:trHeight w:val="709"/>
        </w:trPr>
        <w:tc>
          <w:tcPr>
            <w:tcW w:w="4889" w:type="dxa"/>
          </w:tcPr>
          <w:p w:rsidR="00E2360E" w:rsidRPr="00DB634A" w:rsidRDefault="00E2360E" w:rsidP="008425B7">
            <w:pPr>
              <w:pStyle w:val="cpodstavecslovan1"/>
              <w:numPr>
                <w:ilvl w:val="0"/>
                <w:numId w:val="0"/>
              </w:numPr>
              <w:rPr>
                <w:rFonts w:ascii="Tahoma" w:hAnsi="Tahoma" w:cs="Tahoma"/>
                <w:bCs/>
                <w:sz w:val="20"/>
                <w:szCs w:val="20"/>
              </w:rPr>
            </w:pPr>
            <w:r w:rsidRPr="00DB634A">
              <w:rPr>
                <w:rFonts w:ascii="Tahoma" w:hAnsi="Tahoma" w:cs="Tahoma"/>
                <w:bCs/>
                <w:sz w:val="20"/>
                <w:szCs w:val="20"/>
              </w:rPr>
              <w:t xml:space="preserve">V Praze dne </w:t>
            </w:r>
            <w:r w:rsidR="002C5660" w:rsidRPr="00DB634A">
              <w:rPr>
                <w:rFonts w:ascii="Tahoma" w:hAnsi="Tahoma" w:cs="Tahoma"/>
                <w:bCs/>
                <w:sz w:val="20"/>
                <w:szCs w:val="20"/>
              </w:rPr>
              <w:fldChar w:fldCharType="begin">
                <w:ffData>
                  <w:name w:val="Text1"/>
                  <w:enabled/>
                  <w:calcOnExit w:val="0"/>
                  <w:textInput/>
                </w:ffData>
              </w:fldChar>
            </w:r>
            <w:r w:rsidRPr="00DB634A">
              <w:rPr>
                <w:rFonts w:ascii="Tahoma" w:hAnsi="Tahoma" w:cs="Tahoma"/>
                <w:bCs/>
                <w:sz w:val="20"/>
                <w:szCs w:val="20"/>
              </w:rPr>
              <w:instrText xml:space="preserve"> FORMTEXT </w:instrText>
            </w:r>
            <w:r w:rsidR="002C5660" w:rsidRPr="00DB634A">
              <w:rPr>
                <w:rFonts w:ascii="Tahoma" w:hAnsi="Tahoma" w:cs="Tahoma"/>
                <w:bCs/>
                <w:sz w:val="20"/>
                <w:szCs w:val="20"/>
              </w:rPr>
            </w:r>
            <w:r w:rsidR="002C5660" w:rsidRPr="00DB634A">
              <w:rPr>
                <w:rFonts w:ascii="Tahoma" w:hAnsi="Tahoma" w:cs="Tahoma"/>
                <w:bCs/>
                <w:sz w:val="20"/>
                <w:szCs w:val="20"/>
              </w:rPr>
              <w:fldChar w:fldCharType="separate"/>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002C5660" w:rsidRPr="00DB634A">
              <w:rPr>
                <w:rFonts w:ascii="Tahoma" w:hAnsi="Tahoma" w:cs="Tahoma"/>
                <w:bCs/>
                <w:sz w:val="20"/>
                <w:szCs w:val="20"/>
              </w:rPr>
              <w:fldChar w:fldCharType="end"/>
            </w:r>
          </w:p>
        </w:tc>
        <w:tc>
          <w:tcPr>
            <w:tcW w:w="4889" w:type="dxa"/>
          </w:tcPr>
          <w:p w:rsidR="00E2360E" w:rsidRPr="00DB634A" w:rsidRDefault="00E2360E" w:rsidP="008425B7">
            <w:pPr>
              <w:pStyle w:val="cpodstavecslovan1"/>
              <w:numPr>
                <w:ilvl w:val="0"/>
                <w:numId w:val="0"/>
              </w:numPr>
              <w:rPr>
                <w:rFonts w:ascii="Tahoma" w:hAnsi="Tahoma" w:cs="Tahoma"/>
                <w:bCs/>
                <w:sz w:val="20"/>
                <w:szCs w:val="20"/>
              </w:rPr>
            </w:pPr>
            <w:r w:rsidRPr="00DB634A">
              <w:rPr>
                <w:rFonts w:ascii="Tahoma" w:hAnsi="Tahoma" w:cs="Tahoma"/>
                <w:bCs/>
                <w:sz w:val="20"/>
                <w:szCs w:val="20"/>
              </w:rPr>
              <w:t xml:space="preserve">V Olomouci dne </w:t>
            </w:r>
            <w:r w:rsidR="002C5660" w:rsidRPr="00DB634A">
              <w:rPr>
                <w:rFonts w:ascii="Tahoma" w:hAnsi="Tahoma" w:cs="Tahoma"/>
                <w:bCs/>
                <w:sz w:val="20"/>
                <w:szCs w:val="20"/>
              </w:rPr>
              <w:fldChar w:fldCharType="begin">
                <w:ffData>
                  <w:name w:val="Text1"/>
                  <w:enabled/>
                  <w:calcOnExit w:val="0"/>
                  <w:textInput/>
                </w:ffData>
              </w:fldChar>
            </w:r>
            <w:r w:rsidRPr="00DB634A">
              <w:rPr>
                <w:rFonts w:ascii="Tahoma" w:hAnsi="Tahoma" w:cs="Tahoma"/>
                <w:bCs/>
                <w:sz w:val="20"/>
                <w:szCs w:val="20"/>
              </w:rPr>
              <w:instrText xml:space="preserve"> FORMTEXT </w:instrText>
            </w:r>
            <w:r w:rsidR="002C5660" w:rsidRPr="00DB634A">
              <w:rPr>
                <w:rFonts w:ascii="Tahoma" w:hAnsi="Tahoma" w:cs="Tahoma"/>
                <w:bCs/>
                <w:sz w:val="20"/>
                <w:szCs w:val="20"/>
              </w:rPr>
            </w:r>
            <w:r w:rsidR="002C5660" w:rsidRPr="00DB634A">
              <w:rPr>
                <w:rFonts w:ascii="Tahoma" w:hAnsi="Tahoma" w:cs="Tahoma"/>
                <w:bCs/>
                <w:sz w:val="20"/>
                <w:szCs w:val="20"/>
              </w:rPr>
              <w:fldChar w:fldCharType="separate"/>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Pr="00DB634A">
              <w:rPr>
                <w:rFonts w:ascii="Tahoma" w:hAnsi="Tahoma" w:cs="Tahoma"/>
                <w:bCs/>
                <w:sz w:val="20"/>
                <w:szCs w:val="20"/>
              </w:rPr>
              <w:t> </w:t>
            </w:r>
            <w:r w:rsidR="002C5660" w:rsidRPr="00DB634A">
              <w:rPr>
                <w:rFonts w:ascii="Tahoma" w:hAnsi="Tahoma" w:cs="Tahoma"/>
                <w:bCs/>
                <w:sz w:val="20"/>
                <w:szCs w:val="20"/>
              </w:rPr>
              <w:fldChar w:fldCharType="end"/>
            </w:r>
          </w:p>
        </w:tc>
      </w:tr>
      <w:tr w:rsidR="00E2360E" w:rsidRPr="00DB634A" w:rsidTr="008425B7">
        <w:trPr>
          <w:trHeight w:val="703"/>
        </w:trPr>
        <w:tc>
          <w:tcPr>
            <w:tcW w:w="4889" w:type="dxa"/>
          </w:tcPr>
          <w:p w:rsidR="00E2360E" w:rsidRPr="00DB634A" w:rsidRDefault="00E2360E" w:rsidP="008425B7">
            <w:pPr>
              <w:pStyle w:val="cpodstavecslovan1"/>
              <w:numPr>
                <w:ilvl w:val="0"/>
                <w:numId w:val="0"/>
              </w:numPr>
              <w:rPr>
                <w:rFonts w:ascii="Tahoma" w:hAnsi="Tahoma" w:cs="Tahoma"/>
                <w:bCs/>
                <w:sz w:val="20"/>
                <w:szCs w:val="20"/>
              </w:rPr>
            </w:pPr>
            <w:r w:rsidRPr="00DB634A">
              <w:rPr>
                <w:rFonts w:ascii="Tahoma" w:hAnsi="Tahoma" w:cs="Tahoma"/>
                <w:bCs/>
                <w:sz w:val="20"/>
                <w:szCs w:val="20"/>
              </w:rPr>
              <w:t>za ČP:</w:t>
            </w:r>
          </w:p>
        </w:tc>
        <w:tc>
          <w:tcPr>
            <w:tcW w:w="4889" w:type="dxa"/>
          </w:tcPr>
          <w:p w:rsidR="00E2360E" w:rsidRPr="00DB634A" w:rsidRDefault="00E2360E" w:rsidP="008425B7">
            <w:pPr>
              <w:pStyle w:val="cpodstavecslovan1"/>
              <w:numPr>
                <w:ilvl w:val="0"/>
                <w:numId w:val="0"/>
              </w:numPr>
              <w:rPr>
                <w:rFonts w:ascii="Tahoma" w:hAnsi="Tahoma" w:cs="Tahoma"/>
                <w:bCs/>
                <w:sz w:val="20"/>
                <w:szCs w:val="20"/>
              </w:rPr>
            </w:pPr>
            <w:r w:rsidRPr="00DB634A">
              <w:rPr>
                <w:rFonts w:ascii="Tahoma" w:hAnsi="Tahoma" w:cs="Tahoma"/>
                <w:bCs/>
                <w:sz w:val="20"/>
                <w:szCs w:val="20"/>
              </w:rPr>
              <w:t>za Objednatele:</w:t>
            </w:r>
          </w:p>
        </w:tc>
      </w:tr>
      <w:tr w:rsidR="00E2360E" w:rsidRPr="00DB634A" w:rsidTr="008425B7">
        <w:trPr>
          <w:trHeight w:val="583"/>
        </w:trPr>
        <w:tc>
          <w:tcPr>
            <w:tcW w:w="4889" w:type="dxa"/>
          </w:tcPr>
          <w:p w:rsidR="00E2360E" w:rsidRPr="00DB634A" w:rsidRDefault="00E2360E" w:rsidP="008425B7">
            <w:pPr>
              <w:pStyle w:val="cpodstavecslovan1"/>
              <w:numPr>
                <w:ilvl w:val="0"/>
                <w:numId w:val="0"/>
              </w:numPr>
              <w:pBdr>
                <w:bottom w:val="single" w:sz="6" w:space="1" w:color="auto"/>
              </w:pBdr>
              <w:spacing w:after="0" w:line="180" w:lineRule="exact"/>
              <w:rPr>
                <w:rFonts w:ascii="Tahoma" w:hAnsi="Tahoma" w:cs="Tahoma"/>
                <w:bCs/>
                <w:sz w:val="20"/>
                <w:szCs w:val="20"/>
              </w:rPr>
            </w:pPr>
          </w:p>
          <w:p w:rsidR="00E2360E" w:rsidRPr="00DB634A" w:rsidRDefault="00E2360E" w:rsidP="008425B7">
            <w:pPr>
              <w:pStyle w:val="cpodstavecslovan1"/>
              <w:numPr>
                <w:ilvl w:val="0"/>
                <w:numId w:val="0"/>
              </w:numPr>
              <w:spacing w:after="0" w:line="180" w:lineRule="exact"/>
              <w:rPr>
                <w:rFonts w:ascii="Tahoma" w:hAnsi="Tahoma" w:cs="Tahoma"/>
                <w:bCs/>
                <w:sz w:val="20"/>
                <w:szCs w:val="20"/>
              </w:rPr>
            </w:pPr>
          </w:p>
        </w:tc>
        <w:tc>
          <w:tcPr>
            <w:tcW w:w="4889" w:type="dxa"/>
          </w:tcPr>
          <w:p w:rsidR="00E2360E" w:rsidRPr="00DB634A" w:rsidRDefault="00E2360E" w:rsidP="008425B7">
            <w:pPr>
              <w:pStyle w:val="cpodstavecslovan1"/>
              <w:numPr>
                <w:ilvl w:val="0"/>
                <w:numId w:val="0"/>
              </w:numPr>
              <w:pBdr>
                <w:bottom w:val="single" w:sz="6" w:space="1" w:color="auto"/>
              </w:pBdr>
              <w:spacing w:after="0" w:line="180" w:lineRule="exact"/>
              <w:rPr>
                <w:rFonts w:ascii="Tahoma" w:hAnsi="Tahoma" w:cs="Tahoma"/>
                <w:bCs/>
                <w:sz w:val="20"/>
                <w:szCs w:val="20"/>
              </w:rPr>
            </w:pPr>
          </w:p>
          <w:p w:rsidR="00E2360E" w:rsidRPr="00DB634A" w:rsidRDefault="00E2360E" w:rsidP="008425B7">
            <w:pPr>
              <w:pStyle w:val="cpodstavecslovan1"/>
              <w:numPr>
                <w:ilvl w:val="0"/>
                <w:numId w:val="0"/>
              </w:numPr>
              <w:spacing w:after="0" w:line="180" w:lineRule="exact"/>
              <w:rPr>
                <w:rFonts w:ascii="Tahoma" w:hAnsi="Tahoma" w:cs="Tahoma"/>
                <w:bCs/>
                <w:sz w:val="20"/>
                <w:szCs w:val="20"/>
              </w:rPr>
            </w:pPr>
          </w:p>
        </w:tc>
      </w:tr>
      <w:tr w:rsidR="00E2360E" w:rsidRPr="00DB634A" w:rsidTr="008425B7">
        <w:tc>
          <w:tcPr>
            <w:tcW w:w="4889" w:type="dxa"/>
          </w:tcPr>
          <w:p w:rsidR="00E2360E" w:rsidRPr="00DB634A" w:rsidRDefault="00E2360E" w:rsidP="008425B7">
            <w:pPr>
              <w:pStyle w:val="cpodstavecslovan1"/>
              <w:numPr>
                <w:ilvl w:val="0"/>
                <w:numId w:val="0"/>
              </w:numPr>
              <w:spacing w:after="0"/>
              <w:jc w:val="center"/>
              <w:rPr>
                <w:rFonts w:ascii="Tahoma" w:hAnsi="Tahoma" w:cs="Tahoma"/>
                <w:bCs/>
                <w:sz w:val="20"/>
                <w:szCs w:val="20"/>
              </w:rPr>
            </w:pPr>
            <w:r w:rsidRPr="00DB634A">
              <w:rPr>
                <w:rFonts w:ascii="Tahoma" w:hAnsi="Tahoma" w:cs="Tahoma"/>
                <w:bCs/>
                <w:sz w:val="20"/>
                <w:szCs w:val="20"/>
              </w:rPr>
              <w:t>Patrik Steidl</w:t>
            </w:r>
          </w:p>
          <w:p w:rsidR="00E2360E" w:rsidRDefault="006A28DF" w:rsidP="008425B7">
            <w:pPr>
              <w:pStyle w:val="cpodstavecslovan1"/>
              <w:numPr>
                <w:ilvl w:val="0"/>
                <w:numId w:val="0"/>
              </w:numPr>
              <w:spacing w:after="0"/>
              <w:jc w:val="center"/>
              <w:rPr>
                <w:rFonts w:ascii="Tahoma" w:hAnsi="Tahoma" w:cs="Tahoma"/>
                <w:bCs/>
                <w:sz w:val="20"/>
                <w:szCs w:val="20"/>
              </w:rPr>
            </w:pPr>
            <w:r>
              <w:rPr>
                <w:rFonts w:ascii="Tahoma" w:hAnsi="Tahoma" w:cs="Tahoma"/>
                <w:bCs/>
                <w:sz w:val="20"/>
                <w:szCs w:val="20"/>
              </w:rPr>
              <w:t>Key Account Manager</w:t>
            </w:r>
          </w:p>
          <w:p w:rsidR="006A28DF" w:rsidRPr="00DB634A" w:rsidRDefault="006A28DF" w:rsidP="008425B7">
            <w:pPr>
              <w:pStyle w:val="cpodstavecslovan1"/>
              <w:numPr>
                <w:ilvl w:val="0"/>
                <w:numId w:val="0"/>
              </w:numPr>
              <w:spacing w:after="0"/>
              <w:jc w:val="center"/>
              <w:rPr>
                <w:rFonts w:ascii="Tahoma" w:hAnsi="Tahoma" w:cs="Tahoma"/>
                <w:bCs/>
                <w:sz w:val="20"/>
                <w:szCs w:val="20"/>
              </w:rPr>
            </w:pPr>
          </w:p>
        </w:tc>
        <w:tc>
          <w:tcPr>
            <w:tcW w:w="4889" w:type="dxa"/>
          </w:tcPr>
          <w:p w:rsidR="000B76C8" w:rsidRDefault="00E706C7" w:rsidP="008425B7">
            <w:pPr>
              <w:pStyle w:val="cpodstavecslovan1"/>
              <w:numPr>
                <w:ilvl w:val="0"/>
                <w:numId w:val="0"/>
              </w:numPr>
              <w:spacing w:after="0"/>
              <w:jc w:val="center"/>
              <w:rPr>
                <w:rFonts w:ascii="Tahoma" w:hAnsi="Tahoma" w:cs="Tahoma"/>
                <w:bCs/>
                <w:sz w:val="20"/>
                <w:szCs w:val="20"/>
              </w:rPr>
            </w:pPr>
            <w:r>
              <w:rPr>
                <w:rFonts w:ascii="Tahoma" w:hAnsi="Tahoma" w:cs="Tahoma"/>
                <w:sz w:val="20"/>
                <w:szCs w:val="20"/>
              </w:rPr>
              <w:t>JUDr. Václav Čapka</w:t>
            </w:r>
          </w:p>
          <w:p w:rsidR="00E2360E" w:rsidRPr="00DB634A" w:rsidRDefault="00E2360E" w:rsidP="008425B7">
            <w:pPr>
              <w:pStyle w:val="cpodstavecslovan1"/>
              <w:numPr>
                <w:ilvl w:val="0"/>
                <w:numId w:val="0"/>
              </w:numPr>
              <w:spacing w:after="0"/>
              <w:jc w:val="center"/>
              <w:rPr>
                <w:rFonts w:ascii="Tahoma" w:hAnsi="Tahoma" w:cs="Tahoma"/>
                <w:bCs/>
                <w:sz w:val="20"/>
                <w:szCs w:val="20"/>
              </w:rPr>
            </w:pPr>
            <w:r w:rsidRPr="00DB634A">
              <w:rPr>
                <w:rFonts w:ascii="Tahoma" w:hAnsi="Tahoma" w:cs="Tahoma"/>
                <w:bCs/>
                <w:sz w:val="20"/>
                <w:szCs w:val="20"/>
              </w:rPr>
              <w:t>předseda soudu</w:t>
            </w:r>
          </w:p>
        </w:tc>
      </w:tr>
    </w:tbl>
    <w:p w:rsidR="00E2360E" w:rsidRPr="00DB634A" w:rsidRDefault="00E2360E" w:rsidP="00E2360E">
      <w:pPr>
        <w:pStyle w:val="cpodstavecslovan1"/>
        <w:numPr>
          <w:ilvl w:val="0"/>
          <w:numId w:val="0"/>
        </w:numPr>
        <w:spacing w:after="0"/>
        <w:rPr>
          <w:rFonts w:ascii="Tahoma" w:hAnsi="Tahoma" w:cs="Tahoma"/>
          <w:bCs/>
          <w:sz w:val="20"/>
          <w:szCs w:val="20"/>
        </w:rPr>
      </w:pPr>
    </w:p>
    <w:p w:rsidR="00E2360E" w:rsidRPr="00DB634A" w:rsidRDefault="00E2360E">
      <w:pPr>
        <w:pStyle w:val="Odstavecseseznamem"/>
        <w:spacing w:after="0"/>
        <w:ind w:left="766"/>
        <w:rPr>
          <w:rFonts w:ascii="Tahoma" w:eastAsia="Times New Roman" w:hAnsi="Tahoma" w:cs="Tahoma"/>
          <w:bCs/>
          <w:sz w:val="20"/>
          <w:szCs w:val="20"/>
          <w:lang w:eastAsia="cs-CZ"/>
        </w:rPr>
      </w:pPr>
    </w:p>
    <w:p w:rsidR="004A4946" w:rsidRPr="00DB634A" w:rsidRDefault="004A4946" w:rsidP="00E2360E">
      <w:pPr>
        <w:spacing w:after="0"/>
        <w:rPr>
          <w:rFonts w:ascii="Tahoma" w:eastAsia="Times New Roman" w:hAnsi="Tahoma" w:cs="Tahoma"/>
          <w:bCs/>
          <w:sz w:val="20"/>
          <w:szCs w:val="20"/>
          <w:lang w:eastAsia="cs-CZ"/>
        </w:rPr>
      </w:pPr>
    </w:p>
    <w:sectPr w:rsidR="004A4946" w:rsidRPr="00DB634A" w:rsidSect="00AC7B21">
      <w:headerReference w:type="default" r:id="rId10"/>
      <w:footerReference w:type="default" r:id="rId11"/>
      <w:pgSz w:w="11906" w:h="16838" w:code="9"/>
      <w:pgMar w:top="1985" w:right="991" w:bottom="1276" w:left="1134" w:header="709" w:footer="45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E66" w:rsidRDefault="00473E66" w:rsidP="00BB2C84">
      <w:pPr>
        <w:spacing w:after="0" w:line="240" w:lineRule="auto"/>
      </w:pPr>
      <w:r>
        <w:separator/>
      </w:r>
    </w:p>
  </w:endnote>
  <w:endnote w:type="continuationSeparator" w:id="0">
    <w:p w:rsidR="00473E66" w:rsidRDefault="00473E66"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194" w:rsidRDefault="00715194">
    <w:pPr>
      <w:pStyle w:val="Zpat"/>
    </w:pPr>
  </w:p>
  <w:p w:rsidR="00715194" w:rsidRDefault="0071519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E66" w:rsidRDefault="00473E66" w:rsidP="00BB2C84">
      <w:pPr>
        <w:spacing w:after="0" w:line="240" w:lineRule="auto"/>
      </w:pPr>
      <w:r>
        <w:separator/>
      </w:r>
    </w:p>
  </w:footnote>
  <w:footnote w:type="continuationSeparator" w:id="0">
    <w:p w:rsidR="00473E66" w:rsidRDefault="00473E66" w:rsidP="00BB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77A" w:rsidRPr="00E6080F" w:rsidRDefault="00DA250D" w:rsidP="002D5FA0">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70016" behindDoc="0" locked="0" layoutInCell="1" allowOverlap="1">
              <wp:simplePos x="0" y="0"/>
              <wp:positionH relativeFrom="page">
                <wp:posOffset>1565909</wp:posOffset>
              </wp:positionH>
              <wp:positionV relativeFrom="paragraph">
                <wp:posOffset>3810</wp:posOffset>
              </wp:positionV>
              <wp:extent cx="0" cy="467995"/>
              <wp:effectExtent l="0" t="0" r="19050" b="27305"/>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6A23A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70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GB1v8h0CAAA7BAAADgAAAAAAAAAAAAAAAAAuAgAAZHJzL2Uyb0RvYy54bWxQSwECLQAUAAYA&#10;CAAAACEAPJ4eldgAAAAHAQAADwAAAAAAAAAAAAAAAAB3BAAAZHJzL2Rvd25yZXYueG1sUEsFBgAA&#10;AAAEAAQA8wAAAHwFAAAAAA==&#10;" strokeweight="1pt">
              <w10:wrap anchorx="page"/>
            </v:shape>
          </w:pict>
        </mc:Fallback>
      </mc:AlternateContent>
    </w:r>
  </w:p>
  <w:p w:rsidR="0005277A" w:rsidRPr="00E2360E" w:rsidRDefault="0005277A" w:rsidP="002D5FA0">
    <w:pPr>
      <w:pStyle w:val="Zhlav"/>
      <w:ind w:left="1701"/>
      <w:rPr>
        <w:rFonts w:ascii="Arial" w:hAnsi="Arial" w:cs="Arial"/>
        <w:sz w:val="20"/>
        <w:szCs w:val="20"/>
      </w:rPr>
    </w:pPr>
    <w:r w:rsidRPr="00E2360E">
      <w:rPr>
        <w:rFonts w:ascii="Arial" w:hAnsi="Arial" w:cs="Arial"/>
        <w:noProof/>
        <w:sz w:val="20"/>
        <w:szCs w:val="20"/>
        <w:lang w:eastAsia="cs-CZ"/>
      </w:rPr>
      <w:drawing>
        <wp:anchor distT="0" distB="0" distL="114300" distR="114300" simplePos="0" relativeHeight="25166899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1"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707325">
      <w:rPr>
        <w:rFonts w:ascii="Arial" w:hAnsi="Arial" w:cs="Arial"/>
        <w:sz w:val="20"/>
        <w:szCs w:val="20"/>
      </w:rPr>
      <w:t>Dodatek č.</w:t>
    </w:r>
    <w:r w:rsidR="00FA62EB">
      <w:rPr>
        <w:rFonts w:ascii="Arial" w:hAnsi="Arial" w:cs="Arial"/>
        <w:sz w:val="20"/>
        <w:szCs w:val="20"/>
      </w:rPr>
      <w:t xml:space="preserve"> 2 ke Smlouvě o svozu a rozvozu poš</w:t>
    </w:r>
    <w:r w:rsidRPr="00E2360E">
      <w:rPr>
        <w:rFonts w:ascii="Arial" w:hAnsi="Arial" w:cs="Arial"/>
        <w:sz w:val="20"/>
        <w:szCs w:val="20"/>
      </w:rPr>
      <w:t>tovních zásilek</w:t>
    </w:r>
  </w:p>
  <w:p w:rsidR="0005277A" w:rsidRPr="00E2360E" w:rsidRDefault="0005277A" w:rsidP="005F7766">
    <w:pPr>
      <w:pStyle w:val="Zhlav"/>
      <w:ind w:left="1701"/>
      <w:rPr>
        <w:sz w:val="20"/>
        <w:szCs w:val="20"/>
      </w:rPr>
    </w:pPr>
    <w:r w:rsidRPr="00E2360E">
      <w:rPr>
        <w:noProof/>
        <w:sz w:val="20"/>
        <w:szCs w:val="20"/>
        <w:lang w:eastAsia="cs-CZ"/>
      </w:rPr>
      <w:drawing>
        <wp:anchor distT="0" distB="0" distL="114300" distR="114300" simplePos="0" relativeHeight="251671040"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726C3B">
      <w:rPr>
        <w:rFonts w:ascii="Arial" w:hAnsi="Arial" w:cs="Arial"/>
        <w:sz w:val="20"/>
        <w:szCs w:val="20"/>
      </w:rPr>
      <w:t>č</w:t>
    </w:r>
    <w:r w:rsidR="00467CE7" w:rsidRPr="00E2360E">
      <w:rPr>
        <w:rFonts w:ascii="Arial" w:hAnsi="Arial" w:cs="Arial"/>
        <w:sz w:val="20"/>
        <w:szCs w:val="20"/>
      </w:rPr>
      <w:t>íslo 2013</w:t>
    </w:r>
    <w:r w:rsidR="00726C3B">
      <w:rPr>
        <w:rFonts w:ascii="Arial" w:hAnsi="Arial" w:cs="Arial"/>
        <w:sz w:val="20"/>
        <w:szCs w:val="20"/>
      </w:rPr>
      <w:t>/</w:t>
    </w:r>
    <w:r w:rsidR="00892E7B" w:rsidRPr="00E2360E">
      <w:rPr>
        <w:rFonts w:ascii="Arial" w:hAnsi="Arial" w:cs="Arial"/>
        <w:sz w:val="20"/>
        <w:szCs w:val="20"/>
      </w:rPr>
      <w:t>0619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21"/>
    <w:lvl w:ilvl="0">
      <w:start w:val="1"/>
      <w:numFmt w:val="decimal"/>
      <w:lvlText w:val="9.%1."/>
      <w:lvlJc w:val="left"/>
      <w:pPr>
        <w:tabs>
          <w:tab w:val="num" w:pos="360"/>
        </w:tabs>
        <w:ind w:left="360" w:hanging="360"/>
      </w:pPr>
      <w:rPr>
        <w:rFonts w:ascii="Times New Roman" w:hAnsi="Times New Roman" w:cs="Times New Roman"/>
        <w:b w:val="0"/>
        <w:i w:val="0"/>
        <w:sz w:val="24"/>
      </w:rPr>
    </w:lvl>
    <w:lvl w:ilvl="1">
      <w:start w:val="1"/>
      <w:numFmt w:val="decimal"/>
      <w:lvlText w:val="8.%2."/>
      <w:lvlJc w:val="left"/>
      <w:pPr>
        <w:tabs>
          <w:tab w:val="num" w:pos="567"/>
        </w:tabs>
        <w:ind w:left="567" w:hanging="567"/>
      </w:pPr>
      <w:rPr>
        <w:rFonts w:cs="Times New Roman"/>
      </w:rPr>
    </w:lvl>
    <w:lvl w:ilvl="2">
      <w:start w:val="1"/>
      <w:numFmt w:val="decimal"/>
      <w:lvlText w:val="3.2.%3."/>
      <w:lvlJc w:val="left"/>
      <w:pPr>
        <w:tabs>
          <w:tab w:val="num" w:pos="567"/>
        </w:tabs>
        <w:ind w:left="567" w:hanging="567"/>
      </w:pPr>
      <w:rPr>
        <w:rFonts w:cs="Times New Roman"/>
      </w:rPr>
    </w:lvl>
    <w:lvl w:ilvl="3">
      <w:start w:val="1"/>
      <w:numFmt w:val="decimal"/>
      <w:lvlText w:val="%1.%2.%3.%4."/>
      <w:lvlJc w:val="left"/>
      <w:pPr>
        <w:tabs>
          <w:tab w:val="num" w:pos="737"/>
        </w:tabs>
        <w:ind w:left="737" w:hanging="73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6D36C8F"/>
    <w:multiLevelType w:val="hybridMultilevel"/>
    <w:tmpl w:val="810E73E6"/>
    <w:lvl w:ilvl="0" w:tplc="04765B36">
      <w:numFmt w:val="bullet"/>
      <w:lvlText w:val=""/>
      <w:lvlJc w:val="left"/>
      <w:pPr>
        <w:ind w:left="1210" w:hanging="360"/>
      </w:pPr>
      <w:rPr>
        <w:rFonts w:ascii="Symbol" w:eastAsia="Calibri" w:hAnsi="Symbol" w:cs="Times New Roman" w:hint="default"/>
      </w:rPr>
    </w:lvl>
    <w:lvl w:ilvl="1" w:tplc="04050003" w:tentative="1">
      <w:start w:val="1"/>
      <w:numFmt w:val="bullet"/>
      <w:lvlText w:val="o"/>
      <w:lvlJc w:val="left"/>
      <w:pPr>
        <w:ind w:left="1930" w:hanging="360"/>
      </w:pPr>
      <w:rPr>
        <w:rFonts w:ascii="Courier New" w:hAnsi="Courier New" w:cs="Courier New" w:hint="default"/>
      </w:rPr>
    </w:lvl>
    <w:lvl w:ilvl="2" w:tplc="04050005" w:tentative="1">
      <w:start w:val="1"/>
      <w:numFmt w:val="bullet"/>
      <w:lvlText w:val=""/>
      <w:lvlJc w:val="left"/>
      <w:pPr>
        <w:ind w:left="2650" w:hanging="360"/>
      </w:pPr>
      <w:rPr>
        <w:rFonts w:ascii="Wingdings" w:hAnsi="Wingdings" w:hint="default"/>
      </w:rPr>
    </w:lvl>
    <w:lvl w:ilvl="3" w:tplc="04050001" w:tentative="1">
      <w:start w:val="1"/>
      <w:numFmt w:val="bullet"/>
      <w:lvlText w:val=""/>
      <w:lvlJc w:val="left"/>
      <w:pPr>
        <w:ind w:left="3370" w:hanging="360"/>
      </w:pPr>
      <w:rPr>
        <w:rFonts w:ascii="Symbol" w:hAnsi="Symbol" w:hint="default"/>
      </w:rPr>
    </w:lvl>
    <w:lvl w:ilvl="4" w:tplc="04050003" w:tentative="1">
      <w:start w:val="1"/>
      <w:numFmt w:val="bullet"/>
      <w:lvlText w:val="o"/>
      <w:lvlJc w:val="left"/>
      <w:pPr>
        <w:ind w:left="4090" w:hanging="360"/>
      </w:pPr>
      <w:rPr>
        <w:rFonts w:ascii="Courier New" w:hAnsi="Courier New" w:cs="Courier New" w:hint="default"/>
      </w:rPr>
    </w:lvl>
    <w:lvl w:ilvl="5" w:tplc="04050005" w:tentative="1">
      <w:start w:val="1"/>
      <w:numFmt w:val="bullet"/>
      <w:lvlText w:val=""/>
      <w:lvlJc w:val="left"/>
      <w:pPr>
        <w:ind w:left="4810" w:hanging="360"/>
      </w:pPr>
      <w:rPr>
        <w:rFonts w:ascii="Wingdings" w:hAnsi="Wingdings" w:hint="default"/>
      </w:rPr>
    </w:lvl>
    <w:lvl w:ilvl="6" w:tplc="04050001" w:tentative="1">
      <w:start w:val="1"/>
      <w:numFmt w:val="bullet"/>
      <w:lvlText w:val=""/>
      <w:lvlJc w:val="left"/>
      <w:pPr>
        <w:ind w:left="5530" w:hanging="360"/>
      </w:pPr>
      <w:rPr>
        <w:rFonts w:ascii="Symbol" w:hAnsi="Symbol" w:hint="default"/>
      </w:rPr>
    </w:lvl>
    <w:lvl w:ilvl="7" w:tplc="04050003" w:tentative="1">
      <w:start w:val="1"/>
      <w:numFmt w:val="bullet"/>
      <w:lvlText w:val="o"/>
      <w:lvlJc w:val="left"/>
      <w:pPr>
        <w:ind w:left="6250" w:hanging="360"/>
      </w:pPr>
      <w:rPr>
        <w:rFonts w:ascii="Courier New" w:hAnsi="Courier New" w:cs="Courier New" w:hint="default"/>
      </w:rPr>
    </w:lvl>
    <w:lvl w:ilvl="8" w:tplc="04050005" w:tentative="1">
      <w:start w:val="1"/>
      <w:numFmt w:val="bullet"/>
      <w:lvlText w:val=""/>
      <w:lvlJc w:val="left"/>
      <w:pPr>
        <w:ind w:left="6970" w:hanging="360"/>
      </w:pPr>
      <w:rPr>
        <w:rFonts w:ascii="Wingdings" w:hAnsi="Wingdings" w:hint="default"/>
      </w:rPr>
    </w:lvl>
  </w:abstractNum>
  <w:abstractNum w:abstractNumId="2" w15:restartNumberingAfterBreak="0">
    <w:nsid w:val="1BE2633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lvl>
    <w:lvl w:ilvl="1" w:tplc="A2D2C7C4">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3826905"/>
    <w:multiLevelType w:val="multilevel"/>
    <w:tmpl w:val="94FAC99A"/>
    <w:lvl w:ilvl="0">
      <w:start w:val="1"/>
      <w:numFmt w:val="decimal"/>
      <w:lvlText w:val="%1."/>
      <w:lvlJc w:val="left"/>
      <w:pPr>
        <w:tabs>
          <w:tab w:val="num" w:pos="720"/>
        </w:tabs>
        <w:ind w:left="720" w:hanging="360"/>
      </w:p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5" w15:restartNumberingAfterBreak="0">
    <w:nsid w:val="39E24224"/>
    <w:multiLevelType w:val="hybridMultilevel"/>
    <w:tmpl w:val="9F703BBA"/>
    <w:lvl w:ilvl="0" w:tplc="05EEE0B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3BF320A1"/>
    <w:multiLevelType w:val="hybridMultilevel"/>
    <w:tmpl w:val="002C0DD0"/>
    <w:lvl w:ilvl="0" w:tplc="E390B8EA">
      <w:start w:val="1"/>
      <w:numFmt w:val="upperLetter"/>
      <w:lvlText w:val="%1."/>
      <w:lvlJc w:val="left"/>
      <w:pPr>
        <w:tabs>
          <w:tab w:val="num" w:pos="937"/>
        </w:tabs>
        <w:ind w:left="937" w:hanging="397"/>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7"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95777A"/>
    <w:multiLevelType w:val="hybridMultilevel"/>
    <w:tmpl w:val="CA5CD1DA"/>
    <w:lvl w:ilvl="0" w:tplc="368CF4E6">
      <w:start w:val="1"/>
      <w:numFmt w:val="upp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38D0307"/>
    <w:multiLevelType w:val="hybridMultilevel"/>
    <w:tmpl w:val="86E0D4AA"/>
    <w:lvl w:ilvl="0" w:tplc="4AE81AB6">
      <w:start w:val="1"/>
      <w:numFmt w:val="bullet"/>
      <w:pStyle w:val="cpodrky1"/>
      <w:lvlText w:val=""/>
      <w:lvlJc w:val="left"/>
      <w:pPr>
        <w:tabs>
          <w:tab w:val="num" w:pos="1430"/>
        </w:tabs>
        <w:ind w:left="1430" w:hanging="360"/>
      </w:pPr>
      <w:rPr>
        <w:rFonts w:ascii="Wingdings 2" w:hAnsi="Wingdings 2" w:hint="default"/>
      </w:rPr>
    </w:lvl>
    <w:lvl w:ilvl="1" w:tplc="360A7C94">
      <w:start w:val="1"/>
      <w:numFmt w:val="bullet"/>
      <w:pStyle w:val="cpodrky2"/>
      <w:lvlText w:val="–"/>
      <w:lvlJc w:val="left"/>
      <w:pPr>
        <w:tabs>
          <w:tab w:val="num" w:pos="1430"/>
        </w:tabs>
        <w:ind w:left="1430" w:hanging="360"/>
      </w:pPr>
      <w:rPr>
        <w:rFonts w:ascii="Times New Roman" w:hAnsi="Times New Roman" w:hint="default"/>
      </w:rPr>
    </w:lvl>
    <w:lvl w:ilvl="2" w:tplc="04050005">
      <w:start w:val="1"/>
      <w:numFmt w:val="bullet"/>
      <w:lvlText w:val=""/>
      <w:lvlJc w:val="left"/>
      <w:pPr>
        <w:tabs>
          <w:tab w:val="num" w:pos="2150"/>
        </w:tabs>
        <w:ind w:left="2150" w:hanging="360"/>
      </w:pPr>
      <w:rPr>
        <w:rFonts w:ascii="Wingdings" w:hAnsi="Wingdings" w:hint="default"/>
      </w:rPr>
    </w:lvl>
    <w:lvl w:ilvl="3" w:tplc="04050001">
      <w:start w:val="1"/>
      <w:numFmt w:val="bullet"/>
      <w:lvlText w:val=""/>
      <w:lvlJc w:val="left"/>
      <w:pPr>
        <w:tabs>
          <w:tab w:val="num" w:pos="2870"/>
        </w:tabs>
        <w:ind w:left="2870" w:hanging="360"/>
      </w:pPr>
      <w:rPr>
        <w:rFonts w:ascii="Symbol" w:hAnsi="Symbol" w:hint="default"/>
      </w:rPr>
    </w:lvl>
    <w:lvl w:ilvl="4" w:tplc="04050003" w:tentative="1">
      <w:start w:val="1"/>
      <w:numFmt w:val="bullet"/>
      <w:lvlText w:val="o"/>
      <w:lvlJc w:val="left"/>
      <w:pPr>
        <w:tabs>
          <w:tab w:val="num" w:pos="3590"/>
        </w:tabs>
        <w:ind w:left="3590" w:hanging="360"/>
      </w:pPr>
      <w:rPr>
        <w:rFonts w:ascii="Courier New" w:hAnsi="Courier New" w:hint="default"/>
      </w:rPr>
    </w:lvl>
    <w:lvl w:ilvl="5" w:tplc="04050005" w:tentative="1">
      <w:start w:val="1"/>
      <w:numFmt w:val="bullet"/>
      <w:lvlText w:val=""/>
      <w:lvlJc w:val="left"/>
      <w:pPr>
        <w:tabs>
          <w:tab w:val="num" w:pos="4310"/>
        </w:tabs>
        <w:ind w:left="4310" w:hanging="360"/>
      </w:pPr>
      <w:rPr>
        <w:rFonts w:ascii="Wingdings" w:hAnsi="Wingdings" w:hint="default"/>
      </w:rPr>
    </w:lvl>
    <w:lvl w:ilvl="6" w:tplc="04050001" w:tentative="1">
      <w:start w:val="1"/>
      <w:numFmt w:val="bullet"/>
      <w:lvlText w:val=""/>
      <w:lvlJc w:val="left"/>
      <w:pPr>
        <w:tabs>
          <w:tab w:val="num" w:pos="5030"/>
        </w:tabs>
        <w:ind w:left="5030" w:hanging="360"/>
      </w:pPr>
      <w:rPr>
        <w:rFonts w:ascii="Symbol" w:hAnsi="Symbol" w:hint="default"/>
      </w:rPr>
    </w:lvl>
    <w:lvl w:ilvl="7" w:tplc="04050003" w:tentative="1">
      <w:start w:val="1"/>
      <w:numFmt w:val="bullet"/>
      <w:lvlText w:val="o"/>
      <w:lvlJc w:val="left"/>
      <w:pPr>
        <w:tabs>
          <w:tab w:val="num" w:pos="5750"/>
        </w:tabs>
        <w:ind w:left="5750" w:hanging="360"/>
      </w:pPr>
      <w:rPr>
        <w:rFonts w:ascii="Courier New" w:hAnsi="Courier New" w:hint="default"/>
      </w:rPr>
    </w:lvl>
    <w:lvl w:ilvl="8" w:tplc="04050005" w:tentative="1">
      <w:start w:val="1"/>
      <w:numFmt w:val="bullet"/>
      <w:lvlText w:val=""/>
      <w:lvlJc w:val="left"/>
      <w:pPr>
        <w:tabs>
          <w:tab w:val="num" w:pos="6470"/>
        </w:tabs>
        <w:ind w:left="6470" w:hanging="360"/>
      </w:pPr>
      <w:rPr>
        <w:rFonts w:ascii="Wingdings" w:hAnsi="Wingdings" w:hint="default"/>
      </w:rPr>
    </w:lvl>
  </w:abstractNum>
  <w:abstractNum w:abstractNumId="11" w15:restartNumberingAfterBreak="0">
    <w:nsid w:val="576D4A15"/>
    <w:multiLevelType w:val="hybridMultilevel"/>
    <w:tmpl w:val="D65C417E"/>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2" w15:restartNumberingAfterBreak="0">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13" w15:restartNumberingAfterBreak="0">
    <w:nsid w:val="72DA6832"/>
    <w:multiLevelType w:val="hybridMultilevel"/>
    <w:tmpl w:val="9D1CD110"/>
    <w:lvl w:ilvl="0" w:tplc="57746612">
      <w:start w:val="1"/>
      <w:numFmt w:val="decimal"/>
      <w:lvlText w:val="%1."/>
      <w:lvlJc w:val="left"/>
      <w:pPr>
        <w:tabs>
          <w:tab w:val="num" w:pos="700"/>
        </w:tabs>
        <w:ind w:left="700" w:hanging="360"/>
      </w:pPr>
      <w:rPr>
        <w:rFonts w:hint="default"/>
      </w:rPr>
    </w:lvl>
    <w:lvl w:ilvl="1" w:tplc="04050001">
      <w:start w:val="1"/>
      <w:numFmt w:val="bullet"/>
      <w:lvlText w:val=""/>
      <w:lvlJc w:val="left"/>
      <w:pPr>
        <w:tabs>
          <w:tab w:val="num" w:pos="1240"/>
        </w:tabs>
        <w:ind w:left="1240" w:hanging="360"/>
      </w:pPr>
      <w:rPr>
        <w:rFonts w:ascii="Symbol" w:hAnsi="Symbol" w:hint="default"/>
      </w:rPr>
    </w:lvl>
    <w:lvl w:ilvl="2" w:tplc="0405001B" w:tentative="1">
      <w:start w:val="1"/>
      <w:numFmt w:val="lowerRoman"/>
      <w:lvlText w:val="%3."/>
      <w:lvlJc w:val="right"/>
      <w:pPr>
        <w:tabs>
          <w:tab w:val="num" w:pos="1960"/>
        </w:tabs>
        <w:ind w:left="1960" w:hanging="180"/>
      </w:pPr>
    </w:lvl>
    <w:lvl w:ilvl="3" w:tplc="0405000F" w:tentative="1">
      <w:start w:val="1"/>
      <w:numFmt w:val="decimal"/>
      <w:lvlText w:val="%4."/>
      <w:lvlJc w:val="left"/>
      <w:pPr>
        <w:tabs>
          <w:tab w:val="num" w:pos="2680"/>
        </w:tabs>
        <w:ind w:left="2680" w:hanging="360"/>
      </w:pPr>
    </w:lvl>
    <w:lvl w:ilvl="4" w:tplc="04050019" w:tentative="1">
      <w:start w:val="1"/>
      <w:numFmt w:val="lowerLetter"/>
      <w:lvlText w:val="%5."/>
      <w:lvlJc w:val="left"/>
      <w:pPr>
        <w:tabs>
          <w:tab w:val="num" w:pos="3400"/>
        </w:tabs>
        <w:ind w:left="3400" w:hanging="360"/>
      </w:pPr>
    </w:lvl>
    <w:lvl w:ilvl="5" w:tplc="0405001B" w:tentative="1">
      <w:start w:val="1"/>
      <w:numFmt w:val="lowerRoman"/>
      <w:lvlText w:val="%6."/>
      <w:lvlJc w:val="right"/>
      <w:pPr>
        <w:tabs>
          <w:tab w:val="num" w:pos="4120"/>
        </w:tabs>
        <w:ind w:left="4120" w:hanging="180"/>
      </w:pPr>
    </w:lvl>
    <w:lvl w:ilvl="6" w:tplc="0405000F" w:tentative="1">
      <w:start w:val="1"/>
      <w:numFmt w:val="decimal"/>
      <w:lvlText w:val="%7."/>
      <w:lvlJc w:val="left"/>
      <w:pPr>
        <w:tabs>
          <w:tab w:val="num" w:pos="4840"/>
        </w:tabs>
        <w:ind w:left="4840" w:hanging="360"/>
      </w:pPr>
    </w:lvl>
    <w:lvl w:ilvl="7" w:tplc="04050019" w:tentative="1">
      <w:start w:val="1"/>
      <w:numFmt w:val="lowerLetter"/>
      <w:lvlText w:val="%8."/>
      <w:lvlJc w:val="left"/>
      <w:pPr>
        <w:tabs>
          <w:tab w:val="num" w:pos="5560"/>
        </w:tabs>
        <w:ind w:left="5560" w:hanging="360"/>
      </w:pPr>
    </w:lvl>
    <w:lvl w:ilvl="8" w:tplc="0405001B" w:tentative="1">
      <w:start w:val="1"/>
      <w:numFmt w:val="lowerRoman"/>
      <w:lvlText w:val="%9."/>
      <w:lvlJc w:val="right"/>
      <w:pPr>
        <w:tabs>
          <w:tab w:val="num" w:pos="6280"/>
        </w:tabs>
        <w:ind w:left="6280" w:hanging="180"/>
      </w:pPr>
    </w:lvl>
  </w:abstractNum>
  <w:abstractNum w:abstractNumId="14" w15:restartNumberingAfterBreak="0">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7AA9778E"/>
    <w:multiLevelType w:val="multilevel"/>
    <w:tmpl w:val="E3BA1250"/>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766"/>
        </w:tabs>
        <w:ind w:left="766" w:hanging="624"/>
      </w:pPr>
      <w:rPr>
        <w:rFonts w:ascii="Times New Roman" w:hAnsi="Times New Roman" w:cs="Times New Roman" w:hint="default"/>
        <w:b w:val="0"/>
        <w:i w:val="0"/>
        <w:iCs w:val="0"/>
        <w:caps w:val="0"/>
        <w:strike w:val="0"/>
        <w:dstrike w:val="0"/>
        <w:vanish w:val="0"/>
        <w:color w:val="auto"/>
        <w:spacing w:val="0"/>
        <w:kern w:val="0"/>
        <w:position w:val="0"/>
        <w:sz w:val="22"/>
        <w:szCs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7DCC4D23"/>
    <w:multiLevelType w:val="hybridMultilevel"/>
    <w:tmpl w:val="0762842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num w:numId="1">
    <w:abstractNumId w:val="15"/>
  </w:num>
  <w:num w:numId="2">
    <w:abstractNumId w:val="9"/>
  </w:num>
  <w:num w:numId="3">
    <w:abstractNumId w:val="10"/>
  </w:num>
  <w:num w:numId="4">
    <w:abstractNumId w:val="14"/>
  </w:num>
  <w:num w:numId="5">
    <w:abstractNumId w:val="12"/>
  </w:num>
  <w:num w:numId="6">
    <w:abstractNumId w:val="16"/>
  </w:num>
  <w:num w:numId="7">
    <w:abstractNumId w:val="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7"/>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5"/>
  </w:num>
  <w:num w:numId="15">
    <w:abstractNumId w:val="1"/>
  </w:num>
  <w:num w:numId="16">
    <w:abstractNumId w:val="4"/>
  </w:num>
  <w:num w:numId="17">
    <w:abstractNumId w:val="13"/>
  </w:num>
  <w:num w:numId="18">
    <w:abstractNumId w:val="5"/>
  </w:num>
  <w:num w:numId="1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02"/>
    <w:rsid w:val="0000645E"/>
    <w:rsid w:val="00012164"/>
    <w:rsid w:val="00015E20"/>
    <w:rsid w:val="0005277A"/>
    <w:rsid w:val="00054997"/>
    <w:rsid w:val="00054DA1"/>
    <w:rsid w:val="00060D0F"/>
    <w:rsid w:val="000923A8"/>
    <w:rsid w:val="00095C37"/>
    <w:rsid w:val="000A50F2"/>
    <w:rsid w:val="000A7A4A"/>
    <w:rsid w:val="000B76C8"/>
    <w:rsid w:val="000C0B03"/>
    <w:rsid w:val="000E34B0"/>
    <w:rsid w:val="000E6649"/>
    <w:rsid w:val="001166D7"/>
    <w:rsid w:val="00133CF5"/>
    <w:rsid w:val="00160A6D"/>
    <w:rsid w:val="00171ACF"/>
    <w:rsid w:val="00181A9D"/>
    <w:rsid w:val="001A298D"/>
    <w:rsid w:val="001A493A"/>
    <w:rsid w:val="001A77DD"/>
    <w:rsid w:val="001C0DBC"/>
    <w:rsid w:val="001F0245"/>
    <w:rsid w:val="001F46E3"/>
    <w:rsid w:val="001F6B5D"/>
    <w:rsid w:val="0021165B"/>
    <w:rsid w:val="002235CC"/>
    <w:rsid w:val="00227E68"/>
    <w:rsid w:val="00232CBE"/>
    <w:rsid w:val="00262BBD"/>
    <w:rsid w:val="00267CA9"/>
    <w:rsid w:val="002760E3"/>
    <w:rsid w:val="00277DCC"/>
    <w:rsid w:val="00283EF6"/>
    <w:rsid w:val="0029035A"/>
    <w:rsid w:val="002C5660"/>
    <w:rsid w:val="002C5D47"/>
    <w:rsid w:val="002D5FA0"/>
    <w:rsid w:val="002E001B"/>
    <w:rsid w:val="002E4508"/>
    <w:rsid w:val="002E70BE"/>
    <w:rsid w:val="002F6815"/>
    <w:rsid w:val="00310A4D"/>
    <w:rsid w:val="0033029E"/>
    <w:rsid w:val="003317F4"/>
    <w:rsid w:val="00335627"/>
    <w:rsid w:val="00336410"/>
    <w:rsid w:val="00350953"/>
    <w:rsid w:val="00353046"/>
    <w:rsid w:val="00355FFC"/>
    <w:rsid w:val="00393929"/>
    <w:rsid w:val="00395BA6"/>
    <w:rsid w:val="00396464"/>
    <w:rsid w:val="003B6AE7"/>
    <w:rsid w:val="003C5BF8"/>
    <w:rsid w:val="003E0E92"/>
    <w:rsid w:val="003E37F8"/>
    <w:rsid w:val="003E78DD"/>
    <w:rsid w:val="003F72C1"/>
    <w:rsid w:val="003F7F14"/>
    <w:rsid w:val="00407DEC"/>
    <w:rsid w:val="004404E9"/>
    <w:rsid w:val="004433EA"/>
    <w:rsid w:val="004478FB"/>
    <w:rsid w:val="004530CF"/>
    <w:rsid w:val="00455D8B"/>
    <w:rsid w:val="00460E56"/>
    <w:rsid w:val="004612B9"/>
    <w:rsid w:val="00464AE8"/>
    <w:rsid w:val="00467CE7"/>
    <w:rsid w:val="00473E66"/>
    <w:rsid w:val="0048065C"/>
    <w:rsid w:val="00497025"/>
    <w:rsid w:val="004A4946"/>
    <w:rsid w:val="004B7BD0"/>
    <w:rsid w:val="004D5596"/>
    <w:rsid w:val="004D5969"/>
    <w:rsid w:val="004F3078"/>
    <w:rsid w:val="004F52EB"/>
    <w:rsid w:val="00504C6F"/>
    <w:rsid w:val="005161A8"/>
    <w:rsid w:val="00526B24"/>
    <w:rsid w:val="00527700"/>
    <w:rsid w:val="005312E5"/>
    <w:rsid w:val="00531413"/>
    <w:rsid w:val="00537E8B"/>
    <w:rsid w:val="00540525"/>
    <w:rsid w:val="00545A5B"/>
    <w:rsid w:val="00547970"/>
    <w:rsid w:val="005722BF"/>
    <w:rsid w:val="005746B6"/>
    <w:rsid w:val="005762FE"/>
    <w:rsid w:val="00585BF2"/>
    <w:rsid w:val="005A41F7"/>
    <w:rsid w:val="005A4595"/>
    <w:rsid w:val="005A5625"/>
    <w:rsid w:val="005C3285"/>
    <w:rsid w:val="005D325A"/>
    <w:rsid w:val="005F2375"/>
    <w:rsid w:val="005F2E4B"/>
    <w:rsid w:val="005F7766"/>
    <w:rsid w:val="00602989"/>
    <w:rsid w:val="00612237"/>
    <w:rsid w:val="006158BF"/>
    <w:rsid w:val="0061794D"/>
    <w:rsid w:val="00630CE3"/>
    <w:rsid w:val="00635546"/>
    <w:rsid w:val="00651832"/>
    <w:rsid w:val="00655C67"/>
    <w:rsid w:val="0068300A"/>
    <w:rsid w:val="006925D7"/>
    <w:rsid w:val="00693A44"/>
    <w:rsid w:val="006A1A4D"/>
    <w:rsid w:val="006A28DF"/>
    <w:rsid w:val="006A33AF"/>
    <w:rsid w:val="006A738C"/>
    <w:rsid w:val="006B13BF"/>
    <w:rsid w:val="006B2C75"/>
    <w:rsid w:val="006C3B0E"/>
    <w:rsid w:val="006E12C6"/>
    <w:rsid w:val="006E6E4E"/>
    <w:rsid w:val="006E7F15"/>
    <w:rsid w:val="00705DEA"/>
    <w:rsid w:val="00707325"/>
    <w:rsid w:val="00715194"/>
    <w:rsid w:val="00716D6F"/>
    <w:rsid w:val="00725778"/>
    <w:rsid w:val="00726C3B"/>
    <w:rsid w:val="007318D8"/>
    <w:rsid w:val="00731911"/>
    <w:rsid w:val="0073595F"/>
    <w:rsid w:val="007377BC"/>
    <w:rsid w:val="007547AF"/>
    <w:rsid w:val="00783882"/>
    <w:rsid w:val="00786E3F"/>
    <w:rsid w:val="007943ED"/>
    <w:rsid w:val="007A1C7C"/>
    <w:rsid w:val="007A5452"/>
    <w:rsid w:val="007A7D2B"/>
    <w:rsid w:val="007B2F16"/>
    <w:rsid w:val="007B3A46"/>
    <w:rsid w:val="007C7269"/>
    <w:rsid w:val="007D0342"/>
    <w:rsid w:val="007D05BA"/>
    <w:rsid w:val="007D2C36"/>
    <w:rsid w:val="007E36E6"/>
    <w:rsid w:val="007E5108"/>
    <w:rsid w:val="007F103C"/>
    <w:rsid w:val="00814ECF"/>
    <w:rsid w:val="00820367"/>
    <w:rsid w:val="00824930"/>
    <w:rsid w:val="0082561C"/>
    <w:rsid w:val="00834B01"/>
    <w:rsid w:val="00834D33"/>
    <w:rsid w:val="00843CA0"/>
    <w:rsid w:val="00857729"/>
    <w:rsid w:val="008610AA"/>
    <w:rsid w:val="00882020"/>
    <w:rsid w:val="008917CD"/>
    <w:rsid w:val="00892E7B"/>
    <w:rsid w:val="008976D2"/>
    <w:rsid w:val="008A07A1"/>
    <w:rsid w:val="008A08ED"/>
    <w:rsid w:val="008A356E"/>
    <w:rsid w:val="008A791A"/>
    <w:rsid w:val="008B3FCD"/>
    <w:rsid w:val="00910C51"/>
    <w:rsid w:val="0091178F"/>
    <w:rsid w:val="00933CD6"/>
    <w:rsid w:val="009424EB"/>
    <w:rsid w:val="00961B68"/>
    <w:rsid w:val="00980651"/>
    <w:rsid w:val="009870AB"/>
    <w:rsid w:val="00993718"/>
    <w:rsid w:val="009B70CB"/>
    <w:rsid w:val="009C2EA7"/>
    <w:rsid w:val="009D2805"/>
    <w:rsid w:val="009E322D"/>
    <w:rsid w:val="009E3EF0"/>
    <w:rsid w:val="009F45F8"/>
    <w:rsid w:val="00A11BB2"/>
    <w:rsid w:val="00A40F40"/>
    <w:rsid w:val="00A41437"/>
    <w:rsid w:val="00A47954"/>
    <w:rsid w:val="00A548F7"/>
    <w:rsid w:val="00A703EF"/>
    <w:rsid w:val="00A75464"/>
    <w:rsid w:val="00A773CA"/>
    <w:rsid w:val="00A77E95"/>
    <w:rsid w:val="00A96A52"/>
    <w:rsid w:val="00AA0618"/>
    <w:rsid w:val="00AA2C3F"/>
    <w:rsid w:val="00AA40B8"/>
    <w:rsid w:val="00AB284E"/>
    <w:rsid w:val="00AC1D48"/>
    <w:rsid w:val="00AC7B21"/>
    <w:rsid w:val="00AD7E14"/>
    <w:rsid w:val="00AE693B"/>
    <w:rsid w:val="00B0168C"/>
    <w:rsid w:val="00B21782"/>
    <w:rsid w:val="00B313CF"/>
    <w:rsid w:val="00B417E6"/>
    <w:rsid w:val="00B44451"/>
    <w:rsid w:val="00B55EA0"/>
    <w:rsid w:val="00B65C46"/>
    <w:rsid w:val="00B66D64"/>
    <w:rsid w:val="00B71512"/>
    <w:rsid w:val="00B9156A"/>
    <w:rsid w:val="00BB2C84"/>
    <w:rsid w:val="00BC5E11"/>
    <w:rsid w:val="00BE4009"/>
    <w:rsid w:val="00C20618"/>
    <w:rsid w:val="00C342D1"/>
    <w:rsid w:val="00C364BA"/>
    <w:rsid w:val="00C37FAC"/>
    <w:rsid w:val="00C57295"/>
    <w:rsid w:val="00C60999"/>
    <w:rsid w:val="00C64597"/>
    <w:rsid w:val="00C80BEC"/>
    <w:rsid w:val="00C903FB"/>
    <w:rsid w:val="00CA4DFA"/>
    <w:rsid w:val="00CB1E2D"/>
    <w:rsid w:val="00CB5621"/>
    <w:rsid w:val="00CB7473"/>
    <w:rsid w:val="00CC416D"/>
    <w:rsid w:val="00CE27A9"/>
    <w:rsid w:val="00CF0A11"/>
    <w:rsid w:val="00CF4318"/>
    <w:rsid w:val="00CF7F33"/>
    <w:rsid w:val="00D066B0"/>
    <w:rsid w:val="00D11957"/>
    <w:rsid w:val="00D15E02"/>
    <w:rsid w:val="00D33AD6"/>
    <w:rsid w:val="00D37F53"/>
    <w:rsid w:val="00D71390"/>
    <w:rsid w:val="00D800BC"/>
    <w:rsid w:val="00D856C6"/>
    <w:rsid w:val="00D92C68"/>
    <w:rsid w:val="00D93DFA"/>
    <w:rsid w:val="00D943B1"/>
    <w:rsid w:val="00D95E63"/>
    <w:rsid w:val="00DA250D"/>
    <w:rsid w:val="00DA28D4"/>
    <w:rsid w:val="00DB0282"/>
    <w:rsid w:val="00DB634A"/>
    <w:rsid w:val="00DB6675"/>
    <w:rsid w:val="00DC4359"/>
    <w:rsid w:val="00DF2ACC"/>
    <w:rsid w:val="00E0756D"/>
    <w:rsid w:val="00E117F9"/>
    <w:rsid w:val="00E13657"/>
    <w:rsid w:val="00E17391"/>
    <w:rsid w:val="00E2360E"/>
    <w:rsid w:val="00E23ABA"/>
    <w:rsid w:val="00E25713"/>
    <w:rsid w:val="00E30D6D"/>
    <w:rsid w:val="00E3283A"/>
    <w:rsid w:val="00E42826"/>
    <w:rsid w:val="00E5459E"/>
    <w:rsid w:val="00E6080F"/>
    <w:rsid w:val="00E63EFB"/>
    <w:rsid w:val="00E706C7"/>
    <w:rsid w:val="00E707A8"/>
    <w:rsid w:val="00E7211C"/>
    <w:rsid w:val="00E75510"/>
    <w:rsid w:val="00E757CB"/>
    <w:rsid w:val="00E75F08"/>
    <w:rsid w:val="00E93C2D"/>
    <w:rsid w:val="00EB25AF"/>
    <w:rsid w:val="00EB5CFF"/>
    <w:rsid w:val="00EB5E3C"/>
    <w:rsid w:val="00EB7944"/>
    <w:rsid w:val="00EC0B2E"/>
    <w:rsid w:val="00EC60F6"/>
    <w:rsid w:val="00ED1270"/>
    <w:rsid w:val="00EE243C"/>
    <w:rsid w:val="00EE5C1C"/>
    <w:rsid w:val="00EE6955"/>
    <w:rsid w:val="00EF1AF2"/>
    <w:rsid w:val="00EF3CBB"/>
    <w:rsid w:val="00F04458"/>
    <w:rsid w:val="00F06ACD"/>
    <w:rsid w:val="00F15FA1"/>
    <w:rsid w:val="00F232E9"/>
    <w:rsid w:val="00F26938"/>
    <w:rsid w:val="00F47DFA"/>
    <w:rsid w:val="00F5065B"/>
    <w:rsid w:val="00F5777A"/>
    <w:rsid w:val="00F61D1B"/>
    <w:rsid w:val="00F71747"/>
    <w:rsid w:val="00F7733B"/>
    <w:rsid w:val="00F9410D"/>
    <w:rsid w:val="00FA10CB"/>
    <w:rsid w:val="00FA62EB"/>
    <w:rsid w:val="00FC283F"/>
    <w:rsid w:val="00FC6791"/>
    <w:rsid w:val="00FC6E51"/>
    <w:rsid w:val="00FC7E50"/>
    <w:rsid w:val="00FD00BC"/>
    <w:rsid w:val="00FE06C3"/>
    <w:rsid w:val="00FE2F79"/>
    <w:rsid w:val="00FE3D38"/>
    <w:rsid w:val="00FF37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A60CDD"/>
  <w15:docId w15:val="{F73CC472-83EB-474C-A4A1-2AEAEF24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next w:val="Normln"/>
    <w:link w:val="Nadpis2Char"/>
    <w:semiHidden/>
    <w:unhideWhenUsed/>
    <w:qFormat/>
    <w:locked/>
    <w:rsid w:val="005C32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qFormat/>
    <w:rsid w:val="006E6E4E"/>
    <w:pPr>
      <w:numPr>
        <w:numId w:val="1"/>
      </w:numPr>
      <w:spacing w:before="480" w:line="260" w:lineRule="exact"/>
    </w:pPr>
    <w:rPr>
      <w:rFonts w:cs="Times New Roman"/>
      <w:sz w:val="24"/>
      <w:szCs w:val="24"/>
    </w:rPr>
  </w:style>
  <w:style w:type="paragraph" w:customStyle="1" w:styleId="cpodstavecslovan1">
    <w:name w:val="cp_odstavec číslovaný 1"/>
    <w:basedOn w:val="Odstavec2"/>
    <w:qFormat/>
    <w:rsid w:val="00857729"/>
    <w:pPr>
      <w:numPr>
        <w:ilvl w:val="1"/>
        <w:numId w:val="1"/>
      </w:numPr>
      <w:spacing w:line="260" w:lineRule="exact"/>
    </w:pPr>
    <w:rPr>
      <w:sz w:val="22"/>
      <w:szCs w:val="22"/>
    </w:rPr>
  </w:style>
  <w:style w:type="paragraph" w:styleId="Zhlav">
    <w:name w:val="header"/>
    <w:basedOn w:val="Normln"/>
    <w:link w:val="ZhlavChar"/>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character" w:styleId="Hypertextovodkaz">
    <w:name w:val="Hyperlink"/>
    <w:basedOn w:val="Standardnpsmoodstavce"/>
    <w:uiPriority w:val="99"/>
    <w:rsid w:val="00C64597"/>
    <w:rPr>
      <w:rFonts w:cs="Times New Roman"/>
      <w:color w:val="0000FF"/>
      <w:u w:val="single"/>
    </w:rPr>
  </w:style>
  <w:style w:type="numbering" w:customStyle="1" w:styleId="StylVcerovovTun">
    <w:name w:val="Styl Víceúrovňové Tučné"/>
    <w:rsid w:val="00826E9B"/>
    <w:pPr>
      <w:numPr>
        <w:numId w:val="4"/>
      </w:numPr>
    </w:pPr>
  </w:style>
  <w:style w:type="paragraph" w:customStyle="1" w:styleId="P-HEAD-ODST">
    <w:name w:val="ČP-HEAD-ODST"/>
    <w:rsid w:val="00AA2C3F"/>
    <w:pPr>
      <w:numPr>
        <w:numId w:val="7"/>
      </w:numPr>
      <w:jc w:val="center"/>
    </w:pPr>
    <w:rPr>
      <w:rFonts w:ascii="Tahoma" w:eastAsia="Times New Roman" w:hAnsi="Tahoma"/>
      <w:b/>
      <w:sz w:val="24"/>
      <w:szCs w:val="24"/>
    </w:rPr>
  </w:style>
  <w:style w:type="paragraph" w:customStyle="1" w:styleId="P-HLTITULEK">
    <w:name w:val="ČP - HL.TITULEK"/>
    <w:basedOn w:val="Normln"/>
    <w:rsid w:val="00FA10CB"/>
    <w:pPr>
      <w:spacing w:after="0" w:line="240" w:lineRule="auto"/>
      <w:jc w:val="center"/>
    </w:pPr>
    <w:rPr>
      <w:rFonts w:ascii="Tahoma" w:eastAsia="Times New Roman" w:hAnsi="Tahoma"/>
      <w:b/>
      <w:sz w:val="28"/>
      <w:szCs w:val="20"/>
      <w:lang w:eastAsia="cs-CZ"/>
    </w:rPr>
  </w:style>
  <w:style w:type="paragraph" w:customStyle="1" w:styleId="P-NORMAL-TEXT">
    <w:name w:val="ČP-NORMAL-TEXT"/>
    <w:rsid w:val="00FA10CB"/>
    <w:pPr>
      <w:tabs>
        <w:tab w:val="left" w:pos="1701"/>
      </w:tabs>
    </w:pPr>
    <w:rPr>
      <w:rFonts w:ascii="Tahoma" w:eastAsia="Times New Roman" w:hAnsi="Tahoma"/>
    </w:rPr>
  </w:style>
  <w:style w:type="paragraph" w:customStyle="1" w:styleId="P-HEAD-1">
    <w:name w:val="ČP-HEAD-1"/>
    <w:basedOn w:val="Normln"/>
    <w:next w:val="P-NORMAL-TEXT"/>
    <w:rsid w:val="002D5FA0"/>
    <w:pPr>
      <w:numPr>
        <w:numId w:val="11"/>
      </w:numPr>
      <w:spacing w:after="0" w:line="240" w:lineRule="auto"/>
      <w:jc w:val="left"/>
    </w:pPr>
    <w:rPr>
      <w:rFonts w:ascii="Tahoma" w:eastAsia="Times New Roman" w:hAnsi="Tahoma"/>
      <w:b/>
      <w:sz w:val="20"/>
      <w:szCs w:val="20"/>
      <w:lang w:eastAsia="cs-CZ"/>
    </w:rPr>
  </w:style>
  <w:style w:type="paragraph" w:customStyle="1" w:styleId="P-HEAD-WBULLETS">
    <w:name w:val="ČP-HEAD-WBULLETS"/>
    <w:basedOn w:val="P-NORMAL-TEXT"/>
    <w:rsid w:val="002D5FA0"/>
    <w:pPr>
      <w:tabs>
        <w:tab w:val="clear" w:pos="1701"/>
        <w:tab w:val="left" w:pos="2835"/>
      </w:tabs>
      <w:ind w:left="340"/>
    </w:pPr>
  </w:style>
  <w:style w:type="character" w:customStyle="1" w:styleId="P-HEAD-WBULLETSChar">
    <w:name w:val="ČP-HEAD-WBULLETS Char"/>
    <w:basedOn w:val="Standardnpsmoodstavce"/>
    <w:rsid w:val="009B70CB"/>
    <w:rPr>
      <w:rFonts w:ascii="Tahoma" w:hAnsi="Tahoma" w:cs="Tahoma" w:hint="default"/>
      <w:lang w:val="cs-CZ" w:eastAsia="cs-CZ" w:bidi="ar-SA"/>
    </w:rPr>
  </w:style>
  <w:style w:type="character" w:customStyle="1" w:styleId="Nadpis2Char">
    <w:name w:val="Nadpis 2 Char"/>
    <w:basedOn w:val="Standardnpsmoodstavce"/>
    <w:link w:val="Nadpis2"/>
    <w:semiHidden/>
    <w:rsid w:val="005C3285"/>
    <w:rPr>
      <w:rFonts w:asciiTheme="majorHAnsi" w:eastAsiaTheme="majorEastAsia" w:hAnsiTheme="majorHAnsi" w:cstheme="majorBidi"/>
      <w:b/>
      <w:bCs/>
      <w:color w:val="4F81BD" w:themeColor="accent1"/>
      <w:sz w:val="26"/>
      <w:szCs w:val="26"/>
      <w:lang w:eastAsia="en-US"/>
    </w:rPr>
  </w:style>
  <w:style w:type="paragraph" w:styleId="Odstavecseseznamem">
    <w:name w:val="List Paragraph"/>
    <w:basedOn w:val="Normln"/>
    <w:uiPriority w:val="34"/>
    <w:qFormat/>
    <w:rsid w:val="0000645E"/>
    <w:pPr>
      <w:ind w:left="720"/>
      <w:contextualSpacing/>
    </w:pPr>
  </w:style>
  <w:style w:type="paragraph" w:styleId="Revize">
    <w:name w:val="Revision"/>
    <w:hidden/>
    <w:uiPriority w:val="99"/>
    <w:semiHidden/>
    <w:rsid w:val="002F6815"/>
    <w:rPr>
      <w:rFonts w:ascii="Times New Roman" w:hAnsi="Times New Roman"/>
      <w:sz w:val="22"/>
      <w:szCs w:val="22"/>
      <w:lang w:eastAsia="en-US"/>
    </w:rPr>
  </w:style>
  <w:style w:type="paragraph" w:customStyle="1" w:styleId="Perfekt">
    <w:name w:val="Perfekt"/>
    <w:basedOn w:val="Zkladntextodsazen"/>
    <w:rsid w:val="00DB634A"/>
    <w:pPr>
      <w:spacing w:after="0" w:line="240" w:lineRule="auto"/>
      <w:ind w:left="0"/>
    </w:pPr>
    <w:rPr>
      <w:rFonts w:eastAsia="Times New Roman"/>
      <w:bCs/>
      <w:sz w:val="24"/>
      <w:szCs w:val="24"/>
      <w:lang w:eastAsia="cs-CZ"/>
    </w:rPr>
  </w:style>
  <w:style w:type="paragraph" w:styleId="Zkladntextodsazen">
    <w:name w:val="Body Text Indent"/>
    <w:basedOn w:val="Normln"/>
    <w:link w:val="ZkladntextodsazenChar"/>
    <w:uiPriority w:val="99"/>
    <w:semiHidden/>
    <w:unhideWhenUsed/>
    <w:rsid w:val="00DB634A"/>
    <w:pPr>
      <w:spacing w:after="120"/>
      <w:ind w:left="283"/>
    </w:pPr>
  </w:style>
  <w:style w:type="character" w:customStyle="1" w:styleId="ZkladntextodsazenChar">
    <w:name w:val="Základní text odsazený Char"/>
    <w:basedOn w:val="Standardnpsmoodstavce"/>
    <w:link w:val="Zkladntextodsazen"/>
    <w:uiPriority w:val="99"/>
    <w:semiHidden/>
    <w:rsid w:val="00DB634A"/>
    <w:rPr>
      <w:rFonts w:ascii="Times New Roman" w:hAnsi="Times New Roman"/>
      <w:sz w:val="22"/>
      <w:szCs w:val="22"/>
      <w:lang w:eastAsia="en-US"/>
    </w:rPr>
  </w:style>
  <w:style w:type="character" w:styleId="Siln">
    <w:name w:val="Strong"/>
    <w:basedOn w:val="Standardnpsmoodstavce"/>
    <w:uiPriority w:val="22"/>
    <w:qFormat/>
    <w:locked/>
    <w:rsid w:val="006A2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1647">
      <w:bodyDiv w:val="1"/>
      <w:marLeft w:val="0"/>
      <w:marRight w:val="0"/>
      <w:marTop w:val="0"/>
      <w:marBottom w:val="0"/>
      <w:divBdr>
        <w:top w:val="none" w:sz="0" w:space="0" w:color="auto"/>
        <w:left w:val="none" w:sz="0" w:space="0" w:color="auto"/>
        <w:bottom w:val="none" w:sz="0" w:space="0" w:color="auto"/>
        <w:right w:val="none" w:sz="0" w:space="0" w:color="auto"/>
      </w:divBdr>
    </w:div>
    <w:div w:id="279343404">
      <w:marLeft w:val="0"/>
      <w:marRight w:val="0"/>
      <w:marTop w:val="0"/>
      <w:marBottom w:val="0"/>
      <w:divBdr>
        <w:top w:val="none" w:sz="0" w:space="0" w:color="auto"/>
        <w:left w:val="none" w:sz="0" w:space="0" w:color="auto"/>
        <w:bottom w:val="none" w:sz="0" w:space="0" w:color="auto"/>
        <w:right w:val="none" w:sz="0" w:space="0" w:color="auto"/>
      </w:divBdr>
    </w:div>
    <w:div w:id="279343405">
      <w:marLeft w:val="0"/>
      <w:marRight w:val="0"/>
      <w:marTop w:val="0"/>
      <w:marBottom w:val="0"/>
      <w:divBdr>
        <w:top w:val="none" w:sz="0" w:space="0" w:color="auto"/>
        <w:left w:val="none" w:sz="0" w:space="0" w:color="auto"/>
        <w:bottom w:val="none" w:sz="0" w:space="0" w:color="auto"/>
        <w:right w:val="none" w:sz="0" w:space="0" w:color="auto"/>
      </w:divBdr>
    </w:div>
    <w:div w:id="283198159">
      <w:bodyDiv w:val="1"/>
      <w:marLeft w:val="0"/>
      <w:marRight w:val="0"/>
      <w:marTop w:val="0"/>
      <w:marBottom w:val="0"/>
      <w:divBdr>
        <w:top w:val="none" w:sz="0" w:space="0" w:color="auto"/>
        <w:left w:val="none" w:sz="0" w:space="0" w:color="auto"/>
        <w:bottom w:val="none" w:sz="0" w:space="0" w:color="auto"/>
        <w:right w:val="none" w:sz="0" w:space="0" w:color="auto"/>
      </w:divBdr>
    </w:div>
    <w:div w:id="753164158">
      <w:bodyDiv w:val="1"/>
      <w:marLeft w:val="0"/>
      <w:marRight w:val="0"/>
      <w:marTop w:val="0"/>
      <w:marBottom w:val="0"/>
      <w:divBdr>
        <w:top w:val="none" w:sz="0" w:space="0" w:color="auto"/>
        <w:left w:val="none" w:sz="0" w:space="0" w:color="auto"/>
        <w:bottom w:val="none" w:sz="0" w:space="0" w:color="auto"/>
        <w:right w:val="none" w:sz="0" w:space="0" w:color="auto"/>
      </w:divBdr>
    </w:div>
    <w:div w:id="883063358">
      <w:bodyDiv w:val="1"/>
      <w:marLeft w:val="0"/>
      <w:marRight w:val="0"/>
      <w:marTop w:val="0"/>
      <w:marBottom w:val="0"/>
      <w:divBdr>
        <w:top w:val="none" w:sz="0" w:space="0" w:color="auto"/>
        <w:left w:val="none" w:sz="0" w:space="0" w:color="auto"/>
        <w:bottom w:val="none" w:sz="0" w:space="0" w:color="auto"/>
        <w:right w:val="none" w:sz="0" w:space="0" w:color="auto"/>
      </w:divBdr>
    </w:div>
    <w:div w:id="1347713108">
      <w:bodyDiv w:val="1"/>
      <w:marLeft w:val="0"/>
      <w:marRight w:val="0"/>
      <w:marTop w:val="0"/>
      <w:marBottom w:val="0"/>
      <w:divBdr>
        <w:top w:val="none" w:sz="0" w:space="0" w:color="auto"/>
        <w:left w:val="none" w:sz="0" w:space="0" w:color="auto"/>
        <w:bottom w:val="none" w:sz="0" w:space="0" w:color="auto"/>
        <w:right w:val="none" w:sz="0" w:space="0" w:color="auto"/>
      </w:divBdr>
    </w:div>
    <w:div w:id="143335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eskaposta.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y\Work\CI\&#353;ablony\smlouvy\Sablona_typove_smlouvy_doho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65DD-6B04-483D-AE45-E3738B6D88CF}">
  <ds:schemaRefs>
    <ds:schemaRef ds:uri="http://schemas.openxmlformats.org/officeDocument/2006/bibliography"/>
  </ds:schemaRefs>
</ds:datastoreItem>
</file>

<file path=customXml/itemProps2.xml><?xml version="1.0" encoding="utf-8"?>
<ds:datastoreItem xmlns:ds="http://schemas.openxmlformats.org/officeDocument/2006/customXml" ds:itemID="{40A8525F-3485-4916-9F1D-EA96675C1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Sablona_typove_smlouvy_dohody</Template>
  <TotalTime>0</TotalTime>
  <Pages>3</Pages>
  <Words>880</Words>
  <Characters>5198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Název Smlouvy</vt:lpstr>
    </vt:vector>
  </TitlesOfParts>
  <Company>Česká pošta, s.p.</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Smlouvy</dc:title>
  <dc:creator>martinovska</dc:creator>
  <cp:lastModifiedBy>Jana Bakanová</cp:lastModifiedBy>
  <cp:revision>3</cp:revision>
  <cp:lastPrinted>2012-12-04T11:00:00Z</cp:lastPrinted>
  <dcterms:created xsi:type="dcterms:W3CDTF">2019-12-22T18:29:00Z</dcterms:created>
  <dcterms:modified xsi:type="dcterms:W3CDTF">2019-12-22T18:29:00Z</dcterms:modified>
</cp:coreProperties>
</file>