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144" w:rsidRPr="00CA75E9" w:rsidRDefault="00280144" w:rsidP="00280144">
      <w:pPr>
        <w:spacing w:after="0" w:line="240" w:lineRule="auto"/>
        <w:rPr>
          <w:rFonts w:ascii="Arial Narrow" w:hAnsi="Arial Narrow" w:cs="Arial"/>
          <w:snapToGrid w:val="0"/>
          <w:sz w:val="24"/>
          <w:szCs w:val="24"/>
        </w:rPr>
      </w:pPr>
      <w:bookmarkStart w:id="0" w:name="_GoBack"/>
      <w:bookmarkEnd w:id="0"/>
      <w:r w:rsidRPr="00CA75E9">
        <w:rPr>
          <w:rFonts w:ascii="Arial Narrow" w:hAnsi="Arial Narrow" w:cs="Arial"/>
          <w:sz w:val="24"/>
          <w:szCs w:val="24"/>
        </w:rPr>
        <w:t xml:space="preserve">číslo Smlouvy Objednatele: </w:t>
      </w:r>
      <w:r w:rsidR="000F2D0B">
        <w:rPr>
          <w:rFonts w:ascii="Arial Narrow" w:hAnsi="Arial Narrow" w:cs="Arial"/>
          <w:sz w:val="24"/>
          <w:szCs w:val="24"/>
        </w:rPr>
        <w:t>SO2011-092-05</w:t>
      </w:r>
    </w:p>
    <w:p w:rsidR="00280144" w:rsidRPr="00CA75E9" w:rsidRDefault="00280144" w:rsidP="00280144">
      <w:pPr>
        <w:spacing w:after="0" w:line="240" w:lineRule="auto"/>
        <w:rPr>
          <w:rFonts w:ascii="Arial Narrow" w:hAnsi="Arial Narrow" w:cs="Arial"/>
          <w:sz w:val="24"/>
          <w:szCs w:val="24"/>
        </w:rPr>
      </w:pPr>
    </w:p>
    <w:p w:rsidR="00280144" w:rsidRPr="00CA75E9" w:rsidRDefault="00280144" w:rsidP="00280144">
      <w:pPr>
        <w:spacing w:after="0" w:line="240" w:lineRule="auto"/>
        <w:rPr>
          <w:rFonts w:ascii="Arial Narrow" w:hAnsi="Arial Narrow" w:cs="Arial"/>
          <w:b/>
          <w:sz w:val="24"/>
          <w:szCs w:val="24"/>
        </w:rPr>
      </w:pPr>
      <w:r w:rsidRPr="00CA75E9">
        <w:rPr>
          <w:rFonts w:ascii="Arial Narrow" w:hAnsi="Arial Narrow" w:cs="Arial"/>
          <w:sz w:val="24"/>
          <w:szCs w:val="24"/>
        </w:rPr>
        <w:t xml:space="preserve">číslo Smlouvy Poskytovatele: </w:t>
      </w:r>
      <w:r w:rsidR="000F2D0B">
        <w:rPr>
          <w:rFonts w:ascii="Arial Narrow" w:hAnsi="Arial Narrow" w:cs="Arial"/>
          <w:sz w:val="24"/>
          <w:szCs w:val="24"/>
        </w:rPr>
        <w:t>111202-05</w:t>
      </w:r>
    </w:p>
    <w:p w:rsidR="00280144" w:rsidRPr="00CA75E9" w:rsidRDefault="00280144" w:rsidP="00280144">
      <w:pPr>
        <w:spacing w:after="0" w:line="240" w:lineRule="auto"/>
        <w:rPr>
          <w:rFonts w:ascii="Arial Narrow" w:hAnsi="Arial Narrow" w:cs="Arial"/>
          <w:b/>
          <w:sz w:val="24"/>
          <w:szCs w:val="24"/>
        </w:rPr>
      </w:pPr>
    </w:p>
    <w:p w:rsidR="00280144" w:rsidRPr="00CA75E9" w:rsidRDefault="00280144" w:rsidP="00280144">
      <w:pPr>
        <w:spacing w:after="0" w:line="240" w:lineRule="auto"/>
        <w:rPr>
          <w:rFonts w:ascii="Arial Narrow" w:hAnsi="Arial Narrow" w:cs="Arial"/>
          <w:b/>
          <w:sz w:val="24"/>
          <w:szCs w:val="24"/>
        </w:rPr>
      </w:pPr>
    </w:p>
    <w:p w:rsidR="00280144" w:rsidRPr="00CA75E9" w:rsidRDefault="00280144" w:rsidP="00280144">
      <w:pPr>
        <w:spacing w:after="0" w:line="240" w:lineRule="auto"/>
        <w:rPr>
          <w:rFonts w:ascii="Arial Narrow" w:hAnsi="Arial Narrow" w:cs="Arial"/>
          <w:b/>
          <w:sz w:val="24"/>
          <w:szCs w:val="24"/>
        </w:rPr>
      </w:pPr>
      <w:r w:rsidRPr="00CA75E9">
        <w:rPr>
          <w:rFonts w:ascii="Arial Narrow" w:hAnsi="Arial Narrow" w:cs="Arial"/>
          <w:b/>
          <w:sz w:val="24"/>
          <w:szCs w:val="24"/>
        </w:rPr>
        <w:t>Česká republika – Správa úložišť radioaktivních odpadů</w:t>
      </w:r>
    </w:p>
    <w:p w:rsidR="00280144" w:rsidRPr="00CA75E9" w:rsidRDefault="00280144" w:rsidP="00280144">
      <w:pPr>
        <w:spacing w:after="0" w:line="240" w:lineRule="auto"/>
        <w:rPr>
          <w:rFonts w:ascii="Arial Narrow" w:hAnsi="Arial Narrow" w:cs="Arial"/>
          <w:sz w:val="24"/>
          <w:szCs w:val="24"/>
        </w:rPr>
      </w:pPr>
      <w:r w:rsidRPr="00CA75E9">
        <w:rPr>
          <w:rFonts w:ascii="Arial Narrow" w:hAnsi="Arial Narrow" w:cs="Arial"/>
          <w:sz w:val="24"/>
          <w:szCs w:val="24"/>
        </w:rPr>
        <w:t>se sídlem Praha 1, Dlážděná 6, PSČ: 110 00</w:t>
      </w:r>
    </w:p>
    <w:p w:rsidR="00280144" w:rsidRPr="00CA75E9" w:rsidRDefault="00280144" w:rsidP="00280144">
      <w:pPr>
        <w:spacing w:after="0" w:line="240" w:lineRule="auto"/>
        <w:rPr>
          <w:rFonts w:ascii="Arial Narrow" w:hAnsi="Arial Narrow" w:cs="Arial"/>
          <w:sz w:val="24"/>
          <w:szCs w:val="24"/>
        </w:rPr>
      </w:pPr>
      <w:r w:rsidRPr="00CA75E9">
        <w:rPr>
          <w:rFonts w:ascii="Arial Narrow" w:hAnsi="Arial Narrow" w:cs="Arial"/>
          <w:sz w:val="24"/>
          <w:szCs w:val="24"/>
        </w:rPr>
        <w:t>IČ: 66000769</w:t>
      </w:r>
    </w:p>
    <w:p w:rsidR="00280144" w:rsidRPr="00CA75E9" w:rsidRDefault="00280144" w:rsidP="00280144">
      <w:pPr>
        <w:spacing w:after="0" w:line="240" w:lineRule="auto"/>
        <w:rPr>
          <w:rFonts w:ascii="Arial Narrow" w:hAnsi="Arial Narrow" w:cs="Arial"/>
          <w:sz w:val="24"/>
          <w:szCs w:val="24"/>
        </w:rPr>
      </w:pPr>
      <w:r w:rsidRPr="00CA75E9">
        <w:rPr>
          <w:rFonts w:ascii="Arial Narrow" w:hAnsi="Arial Narrow" w:cs="Arial"/>
          <w:sz w:val="24"/>
          <w:szCs w:val="24"/>
        </w:rPr>
        <w:t>DIČ: CZ66000769</w:t>
      </w:r>
    </w:p>
    <w:p w:rsidR="00280144" w:rsidRPr="00CA75E9" w:rsidRDefault="00280144" w:rsidP="00280144">
      <w:pPr>
        <w:spacing w:after="0" w:line="240" w:lineRule="auto"/>
        <w:rPr>
          <w:rFonts w:ascii="Arial Narrow" w:hAnsi="Arial Narrow" w:cs="Arial"/>
          <w:sz w:val="24"/>
          <w:szCs w:val="24"/>
        </w:rPr>
      </w:pPr>
      <w:r w:rsidRPr="00CA75E9">
        <w:rPr>
          <w:rFonts w:ascii="Arial Narrow" w:hAnsi="Arial Narrow" w:cs="Arial"/>
          <w:sz w:val="24"/>
          <w:szCs w:val="24"/>
        </w:rPr>
        <w:t>zastoupená: JUDr. Janem Prachařem, ředitelem</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z w:val="24"/>
          <w:szCs w:val="24"/>
        </w:rPr>
        <w:t>osoby pověřené k jednání ve věcech technických a smluvních: Ing. Tomáš Kovalovský, RNDr. Lukáš Vondrovic, Ph.D. a Ing. Martina Máčelová</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 xml:space="preserve">bankovní spojení: </w:t>
      </w:r>
      <w:r w:rsidRPr="00CA75E9">
        <w:rPr>
          <w:rFonts w:ascii="Arial Narrow" w:hAnsi="Arial Narrow" w:cs="Arial"/>
          <w:sz w:val="24"/>
          <w:szCs w:val="24"/>
        </w:rPr>
        <w:t>Česká národní banka</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číslo účtu: 64726011/0710</w:t>
      </w:r>
    </w:p>
    <w:p w:rsidR="00280144" w:rsidRPr="00CA75E9" w:rsidRDefault="00280144" w:rsidP="00280144">
      <w:pPr>
        <w:spacing w:after="0" w:line="240" w:lineRule="auto"/>
        <w:rPr>
          <w:rFonts w:ascii="Arial Narrow" w:hAnsi="Arial Narrow" w:cs="Arial"/>
          <w:snapToGrid w:val="0"/>
          <w:sz w:val="24"/>
          <w:szCs w:val="24"/>
        </w:rPr>
      </w:pP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(dále pouze „</w:t>
      </w:r>
      <w:r w:rsidRPr="00CA75E9">
        <w:rPr>
          <w:rFonts w:ascii="Arial Narrow" w:hAnsi="Arial Narrow" w:cs="Arial"/>
          <w:b/>
          <w:snapToGrid w:val="0"/>
          <w:sz w:val="24"/>
          <w:szCs w:val="24"/>
        </w:rPr>
        <w:t>Objednatel</w:t>
      </w:r>
      <w:r w:rsidRPr="00CA75E9">
        <w:rPr>
          <w:rFonts w:ascii="Arial Narrow" w:hAnsi="Arial Narrow" w:cs="Arial"/>
          <w:snapToGrid w:val="0"/>
          <w:sz w:val="24"/>
          <w:szCs w:val="24"/>
        </w:rPr>
        <w:t xml:space="preserve">“)     </w:t>
      </w:r>
    </w:p>
    <w:p w:rsidR="00280144" w:rsidRPr="00CA75E9" w:rsidRDefault="00280144" w:rsidP="00280144">
      <w:pPr>
        <w:spacing w:after="0" w:line="240" w:lineRule="auto"/>
        <w:rPr>
          <w:rFonts w:ascii="Arial Narrow" w:hAnsi="Arial Narrow" w:cs="Arial"/>
          <w:snapToGrid w:val="0"/>
          <w:sz w:val="24"/>
          <w:szCs w:val="24"/>
        </w:rPr>
      </w:pP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a</w:t>
      </w:r>
    </w:p>
    <w:p w:rsidR="00280144" w:rsidRPr="00CA75E9" w:rsidRDefault="00280144" w:rsidP="00280144">
      <w:pPr>
        <w:spacing w:after="0" w:line="240" w:lineRule="auto"/>
        <w:rPr>
          <w:rFonts w:ascii="Arial Narrow" w:hAnsi="Arial Narrow" w:cs="Arial"/>
          <w:snapToGrid w:val="0"/>
          <w:sz w:val="24"/>
          <w:szCs w:val="24"/>
        </w:rPr>
      </w:pPr>
    </w:p>
    <w:p w:rsidR="00280144" w:rsidRPr="00CA75E9" w:rsidRDefault="00280144" w:rsidP="00280144">
      <w:pPr>
        <w:spacing w:after="0" w:line="240" w:lineRule="auto"/>
        <w:rPr>
          <w:rFonts w:ascii="Arial Narrow" w:hAnsi="Arial Narrow" w:cs="Arial"/>
          <w:b/>
          <w:bCs/>
          <w:snapToGrid w:val="0"/>
          <w:sz w:val="24"/>
          <w:szCs w:val="24"/>
        </w:rPr>
      </w:pPr>
      <w:r w:rsidRPr="00CA75E9">
        <w:rPr>
          <w:rFonts w:ascii="Arial Narrow" w:hAnsi="Arial Narrow" w:cs="Arial"/>
          <w:b/>
          <w:bCs/>
          <w:snapToGrid w:val="0"/>
          <w:sz w:val="24"/>
          <w:szCs w:val="24"/>
        </w:rPr>
        <w:t>PRO ENGINEERING, s.r.o.</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se sídlem Praha 10 – Malešice, Počernická 96, PSČ: 108 00</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IČ: 25793934</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DIČ: CZ25793934</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zapsána v obchodním rejstříku vedeném městským soudem v Praze, oddíl C, vložka 70836</w:t>
      </w:r>
    </w:p>
    <w:p w:rsidR="00280144" w:rsidRPr="00CA75E9" w:rsidRDefault="00280144" w:rsidP="00280144">
      <w:pPr>
        <w:spacing w:after="0" w:line="240" w:lineRule="auto"/>
        <w:rPr>
          <w:rFonts w:ascii="Arial Narrow" w:hAnsi="Arial Narrow" w:cs="Arial"/>
          <w:snapToGrid w:val="0"/>
          <w:sz w:val="24"/>
          <w:szCs w:val="24"/>
        </w:rPr>
      </w:pPr>
      <w:r w:rsidRPr="00CA75E9">
        <w:rPr>
          <w:rFonts w:ascii="Arial Narrow" w:hAnsi="Arial Narrow" w:cs="Arial"/>
          <w:snapToGrid w:val="0"/>
          <w:sz w:val="24"/>
          <w:szCs w:val="24"/>
        </w:rPr>
        <w:t>zastoupena: Ing. Pavlem Čechem, MBA, jednatelem</w:t>
      </w:r>
    </w:p>
    <w:p w:rsidR="00280144" w:rsidRPr="00CA75E9" w:rsidRDefault="00280144" w:rsidP="00280144">
      <w:pPr>
        <w:spacing w:after="0" w:line="240" w:lineRule="auto"/>
        <w:rPr>
          <w:rFonts w:ascii="Arial Narrow" w:hAnsi="Arial Narrow"/>
          <w:sz w:val="24"/>
          <w:szCs w:val="24"/>
        </w:rPr>
      </w:pPr>
      <w:r w:rsidRPr="00CA75E9">
        <w:rPr>
          <w:rFonts w:ascii="Arial Narrow" w:hAnsi="Arial Narrow"/>
          <w:sz w:val="24"/>
          <w:szCs w:val="24"/>
        </w:rPr>
        <w:t>osoby oprávněné k jednání ve věcech technických a smluvních: Ing. Pavel Čech, MBA a Ing Jan Antoš</w:t>
      </w:r>
    </w:p>
    <w:p w:rsidR="00280144" w:rsidRPr="00CA75E9" w:rsidRDefault="00280144" w:rsidP="00280144">
      <w:pPr>
        <w:spacing w:after="0" w:line="240" w:lineRule="auto"/>
        <w:rPr>
          <w:rFonts w:ascii="Arial Narrow" w:hAnsi="Arial Narrow"/>
          <w:sz w:val="24"/>
          <w:szCs w:val="24"/>
        </w:rPr>
      </w:pPr>
      <w:r w:rsidRPr="00CA75E9">
        <w:rPr>
          <w:rFonts w:ascii="Arial Narrow" w:hAnsi="Arial Narrow"/>
          <w:sz w:val="24"/>
          <w:szCs w:val="24"/>
        </w:rPr>
        <w:t>bankovní spojení: Československá obchodní banka, a.s.</w:t>
      </w:r>
    </w:p>
    <w:p w:rsidR="00280144" w:rsidRPr="00CA75E9" w:rsidRDefault="00280144" w:rsidP="00280144">
      <w:pPr>
        <w:spacing w:after="0" w:line="240" w:lineRule="auto"/>
        <w:rPr>
          <w:rFonts w:ascii="Arial Narrow" w:hAnsi="Arial Narrow"/>
          <w:sz w:val="24"/>
          <w:szCs w:val="24"/>
        </w:rPr>
      </w:pPr>
      <w:r w:rsidRPr="00CA75E9">
        <w:rPr>
          <w:rFonts w:ascii="Arial Narrow" w:hAnsi="Arial Narrow"/>
          <w:sz w:val="24"/>
          <w:szCs w:val="24"/>
        </w:rPr>
        <w:t>číslo účtu: 159070326/0300</w:t>
      </w:r>
    </w:p>
    <w:p w:rsidR="00280144" w:rsidRPr="00CA75E9" w:rsidRDefault="00280144" w:rsidP="00280144">
      <w:pPr>
        <w:spacing w:after="0" w:line="240" w:lineRule="auto"/>
        <w:rPr>
          <w:rFonts w:ascii="Arial Narrow" w:hAnsi="Arial Narrow"/>
          <w:sz w:val="24"/>
          <w:szCs w:val="24"/>
        </w:rPr>
      </w:pPr>
    </w:p>
    <w:p w:rsidR="00280144" w:rsidRPr="00CA75E9" w:rsidRDefault="00280144" w:rsidP="00280144">
      <w:pPr>
        <w:spacing w:after="0" w:line="240" w:lineRule="auto"/>
        <w:rPr>
          <w:rFonts w:ascii="Arial Narrow" w:hAnsi="Arial Narrow"/>
          <w:sz w:val="24"/>
          <w:szCs w:val="24"/>
        </w:rPr>
      </w:pPr>
      <w:r w:rsidRPr="00CA75E9">
        <w:rPr>
          <w:rFonts w:ascii="Arial Narrow" w:hAnsi="Arial Narrow"/>
          <w:sz w:val="24"/>
          <w:szCs w:val="24"/>
        </w:rPr>
        <w:t>(dále pouze „</w:t>
      </w:r>
      <w:r w:rsidRPr="00CA75E9">
        <w:rPr>
          <w:rFonts w:ascii="Arial Narrow" w:hAnsi="Arial Narrow"/>
          <w:b/>
          <w:bCs/>
          <w:sz w:val="24"/>
          <w:szCs w:val="24"/>
        </w:rPr>
        <w:t>Poskytovatel</w:t>
      </w:r>
      <w:r w:rsidRPr="00CA75E9">
        <w:rPr>
          <w:rFonts w:ascii="Arial Narrow" w:hAnsi="Arial Narrow"/>
          <w:sz w:val="24"/>
          <w:szCs w:val="24"/>
        </w:rPr>
        <w:t>“, společně s Objednatelem dále pouze „</w:t>
      </w:r>
      <w:r w:rsidRPr="00CA75E9">
        <w:rPr>
          <w:rFonts w:ascii="Arial Narrow" w:hAnsi="Arial Narrow"/>
          <w:b/>
          <w:bCs/>
          <w:sz w:val="24"/>
          <w:szCs w:val="24"/>
        </w:rPr>
        <w:t>Smluvní strany</w:t>
      </w:r>
      <w:r w:rsidRPr="00CA75E9">
        <w:rPr>
          <w:rFonts w:ascii="Arial Narrow" w:hAnsi="Arial Narrow"/>
          <w:sz w:val="24"/>
          <w:szCs w:val="24"/>
        </w:rPr>
        <w:t>“)</w:t>
      </w:r>
    </w:p>
    <w:p w:rsidR="00280144" w:rsidRPr="00CA75E9" w:rsidRDefault="00280144" w:rsidP="00280144">
      <w:pPr>
        <w:spacing w:after="0" w:line="240" w:lineRule="auto"/>
        <w:rPr>
          <w:rFonts w:ascii="Arial Narrow" w:hAnsi="Arial Narrow"/>
          <w:sz w:val="24"/>
          <w:szCs w:val="24"/>
        </w:rPr>
      </w:pPr>
    </w:p>
    <w:p w:rsidR="00280144" w:rsidRPr="00CA75E9" w:rsidRDefault="00280144" w:rsidP="00280144">
      <w:pPr>
        <w:spacing w:after="0" w:line="240" w:lineRule="auto"/>
        <w:rPr>
          <w:rFonts w:ascii="Arial Narrow" w:hAnsi="Arial Narrow"/>
          <w:sz w:val="24"/>
          <w:szCs w:val="24"/>
        </w:rPr>
      </w:pPr>
      <w:r w:rsidRPr="00CA75E9">
        <w:rPr>
          <w:rFonts w:ascii="Arial Narrow" w:hAnsi="Arial Narrow"/>
          <w:sz w:val="24"/>
          <w:szCs w:val="24"/>
        </w:rPr>
        <w:t>uzavírají níže uvedeného dne, měsíce a roku následující</w:t>
      </w:r>
    </w:p>
    <w:p w:rsidR="00280144" w:rsidRPr="00CA75E9" w:rsidRDefault="00280144" w:rsidP="00280144">
      <w:pPr>
        <w:spacing w:after="0" w:line="240" w:lineRule="auto"/>
        <w:rPr>
          <w:rFonts w:ascii="Arial Narrow" w:hAnsi="Arial Narrow"/>
          <w:sz w:val="24"/>
          <w:szCs w:val="24"/>
        </w:rPr>
      </w:pPr>
    </w:p>
    <w:p w:rsidR="00280144" w:rsidRPr="00CA75E9" w:rsidRDefault="00280144" w:rsidP="00280144">
      <w:pPr>
        <w:spacing w:after="0" w:line="240" w:lineRule="auto"/>
        <w:jc w:val="center"/>
        <w:rPr>
          <w:rFonts w:ascii="Arial Narrow" w:hAnsi="Arial Narrow"/>
          <w:sz w:val="24"/>
          <w:szCs w:val="24"/>
        </w:rPr>
      </w:pPr>
    </w:p>
    <w:p w:rsidR="00280144" w:rsidRPr="00CA75E9" w:rsidRDefault="00280144" w:rsidP="00280144">
      <w:pPr>
        <w:spacing w:after="0" w:line="240" w:lineRule="auto"/>
        <w:jc w:val="center"/>
        <w:rPr>
          <w:rFonts w:ascii="Arial Narrow" w:hAnsi="Arial Narrow"/>
          <w:b/>
          <w:bCs/>
          <w:sz w:val="32"/>
          <w:szCs w:val="32"/>
        </w:rPr>
      </w:pPr>
      <w:r w:rsidRPr="00CA75E9">
        <w:rPr>
          <w:rFonts w:ascii="Arial Narrow" w:hAnsi="Arial Narrow"/>
          <w:b/>
          <w:bCs/>
          <w:sz w:val="32"/>
          <w:szCs w:val="32"/>
        </w:rPr>
        <w:t>DODATEK Č.5</w:t>
      </w:r>
    </w:p>
    <w:p w:rsidR="00280144" w:rsidRPr="00CA75E9" w:rsidRDefault="00280144" w:rsidP="00280144">
      <w:pPr>
        <w:spacing w:after="0" w:line="240" w:lineRule="auto"/>
        <w:jc w:val="center"/>
        <w:rPr>
          <w:rFonts w:ascii="Arial Narrow" w:hAnsi="Arial Narrow"/>
          <w:sz w:val="32"/>
          <w:szCs w:val="32"/>
        </w:rPr>
      </w:pPr>
    </w:p>
    <w:p w:rsidR="00280144" w:rsidRPr="00CA75E9" w:rsidRDefault="00280144" w:rsidP="00280144">
      <w:pPr>
        <w:spacing w:after="0" w:line="240" w:lineRule="auto"/>
        <w:jc w:val="center"/>
        <w:rPr>
          <w:rFonts w:ascii="Arial Narrow" w:hAnsi="Arial Narrow"/>
          <w:sz w:val="24"/>
          <w:szCs w:val="24"/>
        </w:rPr>
      </w:pPr>
      <w:r w:rsidRPr="00CA75E9">
        <w:rPr>
          <w:rFonts w:ascii="Arial Narrow" w:hAnsi="Arial Narrow"/>
          <w:sz w:val="24"/>
          <w:szCs w:val="24"/>
        </w:rPr>
        <w:t xml:space="preserve">ke smlouvě ze dne 27.12.2011 „Odborná pomoc v oblasti </w:t>
      </w:r>
      <w:proofErr w:type="spellStart"/>
      <w:r w:rsidRPr="00CA75E9">
        <w:rPr>
          <w:rFonts w:ascii="Arial Narrow" w:hAnsi="Arial Narrow"/>
          <w:sz w:val="24"/>
          <w:szCs w:val="24"/>
        </w:rPr>
        <w:t>project</w:t>
      </w:r>
      <w:proofErr w:type="spellEnd"/>
      <w:r w:rsidRPr="00CA75E9">
        <w:rPr>
          <w:rFonts w:ascii="Arial Narrow" w:hAnsi="Arial Narrow"/>
          <w:sz w:val="24"/>
          <w:szCs w:val="24"/>
        </w:rPr>
        <w:t xml:space="preserve"> managementu výběru lokality jaderného zařízení hlubinného úložiště“ </w:t>
      </w:r>
    </w:p>
    <w:p w:rsidR="00280144" w:rsidRPr="00CA75E9" w:rsidRDefault="00280144" w:rsidP="00280144">
      <w:pPr>
        <w:spacing w:after="0" w:line="240" w:lineRule="auto"/>
        <w:jc w:val="center"/>
        <w:rPr>
          <w:rFonts w:ascii="Arial Narrow" w:hAnsi="Arial Narrow"/>
          <w:sz w:val="24"/>
          <w:szCs w:val="24"/>
        </w:rPr>
      </w:pPr>
    </w:p>
    <w:p w:rsidR="00280144" w:rsidRPr="00CA75E9" w:rsidRDefault="00280144" w:rsidP="00280144">
      <w:pPr>
        <w:spacing w:after="0" w:line="240" w:lineRule="auto"/>
        <w:jc w:val="center"/>
        <w:rPr>
          <w:rFonts w:ascii="Arial Narrow" w:hAnsi="Arial Narrow"/>
          <w:sz w:val="24"/>
          <w:szCs w:val="24"/>
        </w:rPr>
      </w:pPr>
      <w:r w:rsidRPr="00CA75E9">
        <w:rPr>
          <w:rFonts w:ascii="Arial Narrow" w:hAnsi="Arial Narrow"/>
          <w:sz w:val="24"/>
          <w:szCs w:val="24"/>
        </w:rPr>
        <w:t>(dále pouze „</w:t>
      </w:r>
      <w:r w:rsidRPr="00CA75E9">
        <w:rPr>
          <w:rFonts w:ascii="Arial Narrow" w:hAnsi="Arial Narrow"/>
          <w:b/>
          <w:bCs/>
          <w:sz w:val="24"/>
          <w:szCs w:val="24"/>
        </w:rPr>
        <w:t>Dodatek</w:t>
      </w:r>
      <w:r w:rsidRPr="00CA75E9">
        <w:rPr>
          <w:rFonts w:ascii="Arial Narrow" w:hAnsi="Arial Narrow"/>
          <w:sz w:val="24"/>
          <w:szCs w:val="24"/>
        </w:rPr>
        <w:t>“)</w:t>
      </w:r>
    </w:p>
    <w:p w:rsidR="00280144" w:rsidRPr="00CA75E9" w:rsidRDefault="00280144" w:rsidP="00280144">
      <w:pPr>
        <w:spacing w:after="0" w:line="240" w:lineRule="auto"/>
        <w:jc w:val="center"/>
        <w:rPr>
          <w:rFonts w:ascii="Arial Narrow" w:hAnsi="Arial Narrow"/>
          <w:sz w:val="24"/>
          <w:szCs w:val="24"/>
        </w:rPr>
      </w:pPr>
    </w:p>
    <w:p w:rsidR="00280144" w:rsidRPr="0036577A" w:rsidRDefault="00280144" w:rsidP="00280144">
      <w:pPr>
        <w:spacing w:after="0" w:line="240" w:lineRule="auto"/>
        <w:jc w:val="center"/>
        <w:rPr>
          <w:rFonts w:ascii="Arial Narrow" w:hAnsi="Arial Narrow"/>
          <w:b/>
          <w:bCs/>
          <w:sz w:val="24"/>
          <w:szCs w:val="24"/>
        </w:rPr>
      </w:pPr>
    </w:p>
    <w:p w:rsidR="00280144" w:rsidRPr="0036577A" w:rsidRDefault="00280144" w:rsidP="00280144">
      <w:pPr>
        <w:spacing w:after="0" w:line="240" w:lineRule="auto"/>
        <w:jc w:val="center"/>
        <w:rPr>
          <w:rFonts w:ascii="Arial Narrow" w:hAnsi="Arial Narrow"/>
          <w:b/>
          <w:bCs/>
          <w:sz w:val="24"/>
          <w:szCs w:val="24"/>
        </w:rPr>
      </w:pPr>
      <w:r w:rsidRPr="0036577A">
        <w:rPr>
          <w:rFonts w:ascii="Arial Narrow" w:hAnsi="Arial Narrow"/>
          <w:b/>
          <w:bCs/>
          <w:sz w:val="24"/>
          <w:szCs w:val="24"/>
        </w:rPr>
        <w:t>I.</w:t>
      </w:r>
    </w:p>
    <w:p w:rsidR="00CA75E9" w:rsidRPr="0036577A" w:rsidRDefault="00CA75E9" w:rsidP="00280144">
      <w:pPr>
        <w:spacing w:after="0" w:line="240" w:lineRule="auto"/>
        <w:jc w:val="center"/>
        <w:rPr>
          <w:rFonts w:ascii="Arial Narrow" w:hAnsi="Arial Narrow"/>
          <w:b/>
          <w:bCs/>
          <w:sz w:val="24"/>
          <w:szCs w:val="24"/>
        </w:rPr>
      </w:pPr>
      <w:r w:rsidRPr="0036577A">
        <w:rPr>
          <w:rFonts w:ascii="Arial Narrow" w:hAnsi="Arial Narrow"/>
          <w:b/>
          <w:bCs/>
          <w:sz w:val="24"/>
          <w:szCs w:val="24"/>
        </w:rPr>
        <w:t>Úvodní ustanovení</w:t>
      </w:r>
    </w:p>
    <w:p w:rsidR="00CA75E9" w:rsidRPr="00CA75E9" w:rsidRDefault="00CA75E9" w:rsidP="00280144">
      <w:pPr>
        <w:spacing w:after="0" w:line="240" w:lineRule="auto"/>
        <w:jc w:val="center"/>
        <w:rPr>
          <w:rFonts w:ascii="Arial Narrow" w:hAnsi="Arial Narrow"/>
          <w:sz w:val="24"/>
          <w:szCs w:val="24"/>
        </w:rPr>
      </w:pPr>
    </w:p>
    <w:p w:rsidR="00280144" w:rsidRPr="00CA75E9" w:rsidRDefault="00CA75E9" w:rsidP="00CA75E9">
      <w:pPr>
        <w:spacing w:after="0" w:line="240" w:lineRule="auto"/>
        <w:ind w:left="708" w:hanging="708"/>
        <w:jc w:val="both"/>
        <w:rPr>
          <w:rFonts w:ascii="Arial Narrow" w:hAnsi="Arial Narrow"/>
          <w:sz w:val="24"/>
          <w:szCs w:val="24"/>
        </w:rPr>
      </w:pPr>
      <w:r w:rsidRPr="00CA75E9">
        <w:rPr>
          <w:rFonts w:ascii="Arial Narrow" w:hAnsi="Arial Narrow"/>
          <w:sz w:val="24"/>
          <w:szCs w:val="24"/>
        </w:rPr>
        <w:t>1.1</w:t>
      </w:r>
      <w:r w:rsidRPr="00CA75E9">
        <w:rPr>
          <w:rFonts w:ascii="Arial Narrow" w:hAnsi="Arial Narrow"/>
          <w:sz w:val="24"/>
          <w:szCs w:val="24"/>
        </w:rPr>
        <w:tab/>
        <w:t>Na základě výběrového řízení v souladu se zákonem č. 134</w:t>
      </w:r>
      <w:r w:rsidR="00CF55B9">
        <w:rPr>
          <w:rFonts w:ascii="Arial Narrow" w:hAnsi="Arial Narrow"/>
          <w:sz w:val="24"/>
          <w:szCs w:val="24"/>
        </w:rPr>
        <w:t>/</w:t>
      </w:r>
      <w:r w:rsidRPr="00CA75E9">
        <w:rPr>
          <w:rFonts w:ascii="Arial Narrow" w:hAnsi="Arial Narrow"/>
          <w:sz w:val="24"/>
          <w:szCs w:val="24"/>
        </w:rPr>
        <w:t xml:space="preserve">2016, o zadávání veřejných zakázek byla Smluvními stranami uzavřena dne 27.12.2011 „Odborná pomoc v oblasti </w:t>
      </w:r>
      <w:proofErr w:type="spellStart"/>
      <w:r w:rsidRPr="00CA75E9">
        <w:rPr>
          <w:rFonts w:ascii="Arial Narrow" w:hAnsi="Arial Narrow"/>
          <w:sz w:val="24"/>
          <w:szCs w:val="24"/>
        </w:rPr>
        <w:t>project</w:t>
      </w:r>
      <w:proofErr w:type="spellEnd"/>
      <w:r w:rsidRPr="00CA75E9">
        <w:rPr>
          <w:rFonts w:ascii="Arial Narrow" w:hAnsi="Arial Narrow"/>
          <w:sz w:val="24"/>
          <w:szCs w:val="24"/>
        </w:rPr>
        <w:t xml:space="preserve"> managementu výběru lokality jaderného zařízení hlubinného úložiště“ k zajištění služeb nezbytných pro výběr lokality hlubinného úložiště v České republice (dále pouze „</w:t>
      </w:r>
      <w:r w:rsidRPr="00CA75E9">
        <w:rPr>
          <w:rFonts w:ascii="Arial Narrow" w:hAnsi="Arial Narrow"/>
          <w:b/>
          <w:bCs/>
          <w:sz w:val="24"/>
          <w:szCs w:val="24"/>
        </w:rPr>
        <w:t>Smlouva</w:t>
      </w:r>
      <w:r w:rsidRPr="00CA75E9">
        <w:rPr>
          <w:rFonts w:ascii="Arial Narrow" w:hAnsi="Arial Narrow"/>
          <w:sz w:val="24"/>
          <w:szCs w:val="24"/>
        </w:rPr>
        <w:t>“).</w:t>
      </w:r>
    </w:p>
    <w:p w:rsidR="00CA75E9" w:rsidRPr="00CA75E9" w:rsidRDefault="00CA75E9" w:rsidP="00CA75E9">
      <w:pPr>
        <w:spacing w:after="0" w:line="240" w:lineRule="auto"/>
        <w:ind w:left="708" w:hanging="708"/>
        <w:jc w:val="both"/>
        <w:rPr>
          <w:rFonts w:ascii="Arial Narrow" w:hAnsi="Arial Narrow"/>
          <w:sz w:val="24"/>
          <w:szCs w:val="24"/>
        </w:rPr>
      </w:pPr>
    </w:p>
    <w:p w:rsidR="00CA75E9" w:rsidRPr="00CA75E9" w:rsidRDefault="00CA75E9" w:rsidP="00CA75E9">
      <w:pPr>
        <w:spacing w:after="0" w:line="240" w:lineRule="auto"/>
        <w:ind w:left="708" w:hanging="708"/>
        <w:jc w:val="both"/>
        <w:rPr>
          <w:rFonts w:ascii="Arial Narrow" w:hAnsi="Arial Narrow"/>
          <w:sz w:val="24"/>
          <w:szCs w:val="24"/>
        </w:rPr>
      </w:pPr>
      <w:r w:rsidRPr="00CA75E9">
        <w:rPr>
          <w:rFonts w:ascii="Arial Narrow" w:hAnsi="Arial Narrow"/>
          <w:sz w:val="24"/>
          <w:szCs w:val="24"/>
        </w:rPr>
        <w:lastRenderedPageBreak/>
        <w:t>1.2</w:t>
      </w:r>
      <w:r w:rsidRPr="00CA75E9">
        <w:rPr>
          <w:rFonts w:ascii="Arial Narrow" w:hAnsi="Arial Narrow"/>
          <w:sz w:val="24"/>
          <w:szCs w:val="24"/>
        </w:rPr>
        <w:tab/>
        <w:t>Tímto Dodatkem se prodlužuje doba trvání Smlouvy s tím, že hodnota dodatečných služeb činí maximálně 2.000.000,- Kč, což odpovídá</w:t>
      </w:r>
      <w:r w:rsidR="00CF55B9">
        <w:rPr>
          <w:rFonts w:ascii="Arial Narrow" w:hAnsi="Arial Narrow"/>
          <w:sz w:val="24"/>
          <w:szCs w:val="24"/>
        </w:rPr>
        <w:t xml:space="preserve"> 7,1</w:t>
      </w:r>
      <w:r w:rsidRPr="00CA75E9">
        <w:rPr>
          <w:rFonts w:ascii="Arial Narrow" w:hAnsi="Arial Narrow"/>
          <w:sz w:val="24"/>
          <w:szCs w:val="24"/>
        </w:rPr>
        <w:t xml:space="preserve"> </w:t>
      </w:r>
      <w:r w:rsidR="0036577A">
        <w:rPr>
          <w:rFonts w:ascii="Arial Narrow" w:hAnsi="Arial Narrow"/>
          <w:sz w:val="24"/>
          <w:szCs w:val="24"/>
        </w:rPr>
        <w:t xml:space="preserve">% </w:t>
      </w:r>
      <w:r w:rsidRPr="00CA75E9">
        <w:rPr>
          <w:rFonts w:ascii="Arial Narrow" w:hAnsi="Arial Narrow"/>
          <w:sz w:val="24"/>
          <w:szCs w:val="24"/>
        </w:rPr>
        <w:t xml:space="preserve">původní </w:t>
      </w:r>
      <w:r w:rsidR="0036577A">
        <w:rPr>
          <w:rFonts w:ascii="Arial Narrow" w:hAnsi="Arial Narrow"/>
          <w:sz w:val="24"/>
          <w:szCs w:val="24"/>
        </w:rPr>
        <w:t xml:space="preserve">hodnoty </w:t>
      </w:r>
      <w:r w:rsidRPr="00CA75E9">
        <w:rPr>
          <w:rFonts w:ascii="Arial Narrow" w:hAnsi="Arial Narrow"/>
          <w:sz w:val="24"/>
          <w:szCs w:val="24"/>
        </w:rPr>
        <w:t>závazku ze Smlouvy.</w:t>
      </w:r>
    </w:p>
    <w:p w:rsidR="00CA75E9" w:rsidRPr="00CA75E9" w:rsidRDefault="00CA75E9" w:rsidP="00CA75E9">
      <w:pPr>
        <w:spacing w:after="0" w:line="240" w:lineRule="auto"/>
        <w:ind w:left="708" w:hanging="708"/>
        <w:jc w:val="both"/>
        <w:rPr>
          <w:rFonts w:ascii="Arial Narrow" w:hAnsi="Arial Narrow"/>
          <w:sz w:val="24"/>
          <w:szCs w:val="24"/>
        </w:rPr>
      </w:pPr>
    </w:p>
    <w:p w:rsidR="00CA75E9" w:rsidRDefault="00CA75E9" w:rsidP="00CA75E9">
      <w:pPr>
        <w:spacing w:after="0" w:line="240" w:lineRule="auto"/>
        <w:ind w:left="708" w:hanging="708"/>
        <w:jc w:val="both"/>
        <w:rPr>
          <w:rFonts w:ascii="Arial Narrow" w:hAnsi="Arial Narrow"/>
          <w:sz w:val="24"/>
          <w:szCs w:val="24"/>
        </w:rPr>
      </w:pPr>
      <w:r w:rsidRPr="00CA75E9">
        <w:rPr>
          <w:rFonts w:ascii="Arial Narrow" w:hAnsi="Arial Narrow"/>
          <w:sz w:val="24"/>
          <w:szCs w:val="24"/>
        </w:rPr>
        <w:t>1.3</w:t>
      </w:r>
      <w:r w:rsidRPr="00CA75E9">
        <w:rPr>
          <w:rFonts w:ascii="Arial Narrow" w:hAnsi="Arial Narrow"/>
          <w:sz w:val="24"/>
          <w:szCs w:val="24"/>
        </w:rPr>
        <w:tab/>
        <w:t>Ten</w:t>
      </w:r>
      <w:r>
        <w:rPr>
          <w:rFonts w:ascii="Arial Narrow" w:hAnsi="Arial Narrow"/>
          <w:sz w:val="24"/>
          <w:szCs w:val="24"/>
        </w:rPr>
        <w:t>to</w:t>
      </w:r>
      <w:r w:rsidRPr="00CA75E9">
        <w:rPr>
          <w:rFonts w:ascii="Arial Narrow" w:hAnsi="Arial Narrow"/>
          <w:sz w:val="24"/>
          <w:szCs w:val="24"/>
        </w:rPr>
        <w:t xml:space="preserve"> Dodatek se uzavírá v souladu s </w:t>
      </w:r>
      <w:proofErr w:type="spellStart"/>
      <w:r w:rsidRPr="00CA75E9">
        <w:rPr>
          <w:rFonts w:ascii="Arial Narrow" w:hAnsi="Arial Narrow"/>
          <w:sz w:val="24"/>
          <w:szCs w:val="24"/>
        </w:rPr>
        <w:t>ust</w:t>
      </w:r>
      <w:proofErr w:type="spellEnd"/>
      <w:r w:rsidRPr="00CA75E9">
        <w:rPr>
          <w:rFonts w:ascii="Arial Narrow" w:hAnsi="Arial Narrow"/>
          <w:sz w:val="24"/>
          <w:szCs w:val="24"/>
        </w:rPr>
        <w:t>. § 222 odst. 5 zákona č. 134/2016 Sb., o zadávání veřejných zakázek, v účinném znění, jako dodatečné služby od dodavatele původní veřejné zakázky, které nebyly zahrnuty v původním závazk</w:t>
      </w:r>
      <w:r>
        <w:rPr>
          <w:rFonts w:ascii="Arial Narrow" w:hAnsi="Arial Narrow"/>
          <w:sz w:val="24"/>
          <w:szCs w:val="24"/>
        </w:rPr>
        <w:t>u</w:t>
      </w:r>
      <w:r w:rsidRPr="00CA75E9">
        <w:rPr>
          <w:rFonts w:ascii="Arial Narrow" w:hAnsi="Arial Narrow"/>
          <w:sz w:val="24"/>
          <w:szCs w:val="24"/>
        </w:rPr>
        <w:t xml:space="preserve"> ze Smlouvy s tím, že tyto služby jsou nezbytné pro splnění účelu zakázky a změna v osobě dodavatele </w:t>
      </w:r>
      <w:r w:rsidR="0036577A">
        <w:rPr>
          <w:rFonts w:ascii="Arial Narrow" w:hAnsi="Arial Narrow"/>
          <w:sz w:val="24"/>
          <w:szCs w:val="24"/>
        </w:rPr>
        <w:t>by byla z technických důvodů značně problematická a způsobila Objednateli značné obtíže a výrazné navýšení nákladů.</w:t>
      </w:r>
    </w:p>
    <w:p w:rsidR="0036577A" w:rsidRDefault="0036577A" w:rsidP="00CA75E9">
      <w:pPr>
        <w:spacing w:after="0" w:line="240" w:lineRule="auto"/>
        <w:ind w:left="708" w:hanging="708"/>
        <w:jc w:val="both"/>
        <w:rPr>
          <w:rFonts w:ascii="Arial Narrow" w:hAnsi="Arial Narrow"/>
          <w:sz w:val="24"/>
          <w:szCs w:val="24"/>
        </w:rPr>
      </w:pPr>
    </w:p>
    <w:p w:rsidR="0036577A" w:rsidRDefault="0036577A" w:rsidP="00CA75E9">
      <w:pPr>
        <w:spacing w:after="0" w:line="240" w:lineRule="auto"/>
        <w:ind w:left="708" w:hanging="708"/>
        <w:jc w:val="both"/>
        <w:rPr>
          <w:rFonts w:ascii="Arial Narrow" w:hAnsi="Arial Narrow"/>
          <w:sz w:val="24"/>
          <w:szCs w:val="24"/>
        </w:rPr>
      </w:pPr>
    </w:p>
    <w:p w:rsidR="0036577A" w:rsidRDefault="0036577A" w:rsidP="0036577A">
      <w:pPr>
        <w:spacing w:after="0" w:line="240" w:lineRule="auto"/>
        <w:ind w:left="708" w:hanging="708"/>
        <w:jc w:val="center"/>
        <w:rPr>
          <w:rFonts w:ascii="Arial Narrow" w:hAnsi="Arial Narrow"/>
          <w:b/>
          <w:bCs/>
          <w:sz w:val="24"/>
          <w:szCs w:val="24"/>
        </w:rPr>
      </w:pPr>
      <w:r>
        <w:rPr>
          <w:rFonts w:ascii="Arial Narrow" w:hAnsi="Arial Narrow"/>
          <w:b/>
          <w:bCs/>
          <w:sz w:val="24"/>
          <w:szCs w:val="24"/>
        </w:rPr>
        <w:t>II.</w:t>
      </w:r>
    </w:p>
    <w:p w:rsidR="0036577A" w:rsidRDefault="0036577A" w:rsidP="0036577A">
      <w:pPr>
        <w:spacing w:after="0" w:line="240" w:lineRule="auto"/>
        <w:ind w:left="708" w:hanging="708"/>
        <w:jc w:val="center"/>
        <w:rPr>
          <w:rFonts w:ascii="Arial Narrow" w:hAnsi="Arial Narrow"/>
          <w:b/>
          <w:bCs/>
          <w:sz w:val="24"/>
          <w:szCs w:val="24"/>
        </w:rPr>
      </w:pPr>
      <w:r>
        <w:rPr>
          <w:rFonts w:ascii="Arial Narrow" w:hAnsi="Arial Narrow"/>
          <w:b/>
          <w:bCs/>
          <w:sz w:val="24"/>
          <w:szCs w:val="24"/>
        </w:rPr>
        <w:t>Předmět Dodatku</w:t>
      </w:r>
    </w:p>
    <w:p w:rsidR="0036577A" w:rsidRDefault="0036577A" w:rsidP="0036577A">
      <w:pPr>
        <w:spacing w:after="0" w:line="240" w:lineRule="auto"/>
        <w:ind w:left="708" w:hanging="708"/>
        <w:jc w:val="center"/>
        <w:rPr>
          <w:rFonts w:ascii="Arial Narrow" w:hAnsi="Arial Narrow"/>
          <w:b/>
          <w:bCs/>
          <w:sz w:val="24"/>
          <w:szCs w:val="24"/>
        </w:rPr>
      </w:pPr>
    </w:p>
    <w:p w:rsidR="0036577A" w:rsidRDefault="0036577A" w:rsidP="0036577A">
      <w:pPr>
        <w:spacing w:after="0" w:line="240" w:lineRule="auto"/>
        <w:ind w:left="708" w:hanging="708"/>
        <w:jc w:val="center"/>
        <w:rPr>
          <w:rFonts w:ascii="Arial Narrow" w:hAnsi="Arial Narrow"/>
          <w:b/>
          <w:bCs/>
          <w:sz w:val="24"/>
          <w:szCs w:val="24"/>
        </w:rPr>
      </w:pPr>
    </w:p>
    <w:p w:rsidR="0036577A" w:rsidRDefault="0036577A" w:rsidP="0036577A">
      <w:pPr>
        <w:spacing w:after="0" w:line="240" w:lineRule="auto"/>
        <w:ind w:left="708" w:hanging="708"/>
        <w:jc w:val="both"/>
        <w:rPr>
          <w:rFonts w:ascii="Arial Narrow" w:hAnsi="Arial Narrow"/>
          <w:b/>
          <w:bCs/>
          <w:sz w:val="24"/>
          <w:szCs w:val="24"/>
        </w:rPr>
      </w:pPr>
      <w:r>
        <w:rPr>
          <w:rFonts w:ascii="Arial Narrow" w:hAnsi="Arial Narrow"/>
          <w:sz w:val="24"/>
          <w:szCs w:val="24"/>
        </w:rPr>
        <w:t>2.1</w:t>
      </w:r>
      <w:r>
        <w:rPr>
          <w:rFonts w:ascii="Arial Narrow" w:hAnsi="Arial Narrow"/>
          <w:sz w:val="24"/>
          <w:szCs w:val="24"/>
        </w:rPr>
        <w:tab/>
      </w:r>
      <w:r>
        <w:rPr>
          <w:rFonts w:ascii="Arial Narrow" w:hAnsi="Arial Narrow"/>
          <w:b/>
          <w:bCs/>
          <w:sz w:val="24"/>
          <w:szCs w:val="24"/>
        </w:rPr>
        <w:t>V záhlaví Smlouvy se mění (u Objednatele):</w:t>
      </w:r>
    </w:p>
    <w:p w:rsidR="0036577A" w:rsidRDefault="0036577A" w:rsidP="0036577A">
      <w:pPr>
        <w:spacing w:after="0" w:line="240" w:lineRule="auto"/>
        <w:ind w:left="708" w:hanging="708"/>
        <w:jc w:val="both"/>
        <w:rPr>
          <w:rFonts w:ascii="Arial Narrow" w:hAnsi="Arial Narrow"/>
          <w:b/>
          <w:bCs/>
          <w:sz w:val="24"/>
          <w:szCs w:val="24"/>
        </w:rPr>
      </w:pPr>
    </w:p>
    <w:p w:rsidR="0036577A" w:rsidRDefault="0036577A" w:rsidP="0036577A">
      <w:pPr>
        <w:spacing w:after="0" w:line="240" w:lineRule="auto"/>
        <w:ind w:left="708" w:hanging="708"/>
        <w:jc w:val="both"/>
        <w:rPr>
          <w:rFonts w:ascii="Arial Narrow" w:hAnsi="Arial Narrow"/>
          <w:i/>
          <w:iCs/>
          <w:sz w:val="24"/>
          <w:szCs w:val="24"/>
        </w:rPr>
      </w:pPr>
      <w:r>
        <w:rPr>
          <w:rFonts w:ascii="Arial Narrow" w:hAnsi="Arial Narrow"/>
          <w:b/>
          <w:bCs/>
          <w:sz w:val="24"/>
          <w:szCs w:val="24"/>
        </w:rPr>
        <w:tab/>
      </w:r>
      <w:r w:rsidRPr="0036577A">
        <w:rPr>
          <w:rFonts w:ascii="Arial Narrow" w:hAnsi="Arial Narrow"/>
          <w:i/>
          <w:iCs/>
          <w:sz w:val="24"/>
          <w:szCs w:val="24"/>
        </w:rPr>
        <w:t>„osoby pověřené k jednání ve věcech technických a smluvních: Ing. Tomáš Kovalovský, RNDr. Lukáš Vondrovic, Ph.D. a Ing. Martina Máčelová“</w:t>
      </w:r>
    </w:p>
    <w:p w:rsidR="0036577A" w:rsidRDefault="0036577A" w:rsidP="0036577A">
      <w:pPr>
        <w:spacing w:after="0" w:line="240" w:lineRule="auto"/>
        <w:ind w:left="708" w:hanging="708"/>
        <w:jc w:val="both"/>
        <w:rPr>
          <w:rFonts w:ascii="Arial Narrow" w:hAnsi="Arial Narrow"/>
          <w:i/>
          <w:iCs/>
          <w:sz w:val="24"/>
          <w:szCs w:val="24"/>
        </w:rPr>
      </w:pPr>
    </w:p>
    <w:p w:rsidR="0036577A" w:rsidRDefault="0036577A" w:rsidP="0036577A">
      <w:pPr>
        <w:spacing w:after="0" w:line="240" w:lineRule="auto"/>
        <w:ind w:left="708" w:hanging="708"/>
        <w:jc w:val="both"/>
        <w:rPr>
          <w:rFonts w:ascii="Arial Narrow" w:hAnsi="Arial Narrow"/>
          <w:b/>
          <w:bCs/>
          <w:sz w:val="24"/>
          <w:szCs w:val="24"/>
        </w:rPr>
      </w:pPr>
      <w:r>
        <w:rPr>
          <w:rFonts w:ascii="Arial Narrow" w:hAnsi="Arial Narrow"/>
          <w:sz w:val="24"/>
          <w:szCs w:val="24"/>
        </w:rPr>
        <w:t>2.2</w:t>
      </w:r>
      <w:r>
        <w:rPr>
          <w:rFonts w:ascii="Arial Narrow" w:hAnsi="Arial Narrow"/>
          <w:sz w:val="24"/>
          <w:szCs w:val="24"/>
        </w:rPr>
        <w:tab/>
      </w:r>
      <w:r>
        <w:rPr>
          <w:rFonts w:ascii="Arial Narrow" w:hAnsi="Arial Narrow"/>
          <w:b/>
          <w:bCs/>
          <w:sz w:val="24"/>
          <w:szCs w:val="24"/>
        </w:rPr>
        <w:t>Čl. 6.1 Smlouvy nově zní:</w:t>
      </w:r>
    </w:p>
    <w:p w:rsidR="0036577A" w:rsidRDefault="0036577A" w:rsidP="0036577A">
      <w:pPr>
        <w:spacing w:after="0" w:line="240" w:lineRule="auto"/>
        <w:ind w:left="708" w:hanging="708"/>
        <w:jc w:val="both"/>
        <w:rPr>
          <w:rFonts w:ascii="Arial Narrow" w:hAnsi="Arial Narrow"/>
          <w:b/>
          <w:bCs/>
          <w:sz w:val="24"/>
          <w:szCs w:val="24"/>
        </w:rPr>
      </w:pPr>
    </w:p>
    <w:p w:rsidR="0036577A" w:rsidRDefault="0036577A" w:rsidP="0036577A">
      <w:pPr>
        <w:spacing w:after="0" w:line="240" w:lineRule="auto"/>
        <w:ind w:left="708" w:hanging="708"/>
        <w:jc w:val="both"/>
        <w:rPr>
          <w:rFonts w:ascii="Arial Narrow" w:hAnsi="Arial Narrow"/>
          <w:i/>
          <w:iCs/>
          <w:sz w:val="24"/>
          <w:szCs w:val="24"/>
        </w:rPr>
      </w:pPr>
      <w:r>
        <w:rPr>
          <w:rFonts w:ascii="Arial Narrow" w:hAnsi="Arial Narrow"/>
          <w:b/>
          <w:bCs/>
          <w:sz w:val="24"/>
          <w:szCs w:val="24"/>
        </w:rPr>
        <w:tab/>
      </w:r>
      <w:r>
        <w:rPr>
          <w:rFonts w:ascii="Arial Narrow" w:hAnsi="Arial Narrow"/>
          <w:i/>
          <w:iCs/>
          <w:sz w:val="24"/>
          <w:szCs w:val="24"/>
        </w:rPr>
        <w:t>„6.1</w:t>
      </w:r>
      <w:r>
        <w:rPr>
          <w:rFonts w:ascii="Arial Narrow" w:hAnsi="Arial Narrow"/>
          <w:i/>
          <w:iCs/>
          <w:sz w:val="24"/>
          <w:szCs w:val="24"/>
        </w:rPr>
        <w:tab/>
        <w:t>Tato smlouva se uzavírá na dobu určitou, a to do 30.6.2020.“</w:t>
      </w:r>
    </w:p>
    <w:p w:rsidR="0036577A" w:rsidRDefault="0036577A" w:rsidP="0036577A">
      <w:pPr>
        <w:spacing w:after="0" w:line="240" w:lineRule="auto"/>
        <w:ind w:left="708" w:hanging="708"/>
        <w:jc w:val="both"/>
        <w:rPr>
          <w:rFonts w:ascii="Arial Narrow" w:hAnsi="Arial Narrow"/>
          <w:i/>
          <w:iCs/>
          <w:sz w:val="24"/>
          <w:szCs w:val="24"/>
        </w:rPr>
      </w:pPr>
    </w:p>
    <w:p w:rsidR="0036577A" w:rsidRPr="0036577A" w:rsidRDefault="0036577A" w:rsidP="0036577A">
      <w:pPr>
        <w:spacing w:after="0" w:line="240" w:lineRule="auto"/>
        <w:ind w:left="708" w:hanging="708"/>
        <w:jc w:val="both"/>
        <w:rPr>
          <w:rFonts w:ascii="Arial Narrow" w:hAnsi="Arial Narrow"/>
          <w:i/>
          <w:iCs/>
          <w:sz w:val="24"/>
          <w:szCs w:val="24"/>
        </w:rPr>
      </w:pPr>
    </w:p>
    <w:p w:rsidR="0036577A" w:rsidRPr="0036577A" w:rsidRDefault="0036577A" w:rsidP="0036577A">
      <w:pPr>
        <w:spacing w:after="0" w:line="240" w:lineRule="auto"/>
        <w:jc w:val="center"/>
        <w:rPr>
          <w:rFonts w:ascii="Arial Narrow" w:hAnsi="Arial Narrow" w:cs="Arial"/>
          <w:b/>
          <w:sz w:val="24"/>
          <w:szCs w:val="24"/>
        </w:rPr>
      </w:pPr>
      <w:r w:rsidRPr="0036577A">
        <w:rPr>
          <w:rFonts w:ascii="Arial Narrow" w:hAnsi="Arial Narrow" w:cs="Arial"/>
          <w:b/>
          <w:sz w:val="24"/>
          <w:szCs w:val="24"/>
        </w:rPr>
        <w:t>III.</w:t>
      </w:r>
    </w:p>
    <w:p w:rsidR="0036577A" w:rsidRDefault="0036577A" w:rsidP="0036577A">
      <w:pPr>
        <w:spacing w:after="0" w:line="240" w:lineRule="auto"/>
        <w:jc w:val="center"/>
        <w:rPr>
          <w:rFonts w:ascii="Arial Narrow" w:hAnsi="Arial Narrow" w:cs="Arial"/>
          <w:b/>
          <w:sz w:val="24"/>
          <w:szCs w:val="24"/>
        </w:rPr>
      </w:pPr>
      <w:r w:rsidRPr="0036577A">
        <w:rPr>
          <w:rFonts w:ascii="Arial Narrow" w:hAnsi="Arial Narrow" w:cs="Arial"/>
          <w:b/>
          <w:sz w:val="24"/>
          <w:szCs w:val="24"/>
        </w:rPr>
        <w:t>Závěrečná ustanovení</w:t>
      </w:r>
    </w:p>
    <w:p w:rsidR="0036577A" w:rsidRPr="0036577A" w:rsidRDefault="0036577A" w:rsidP="0036577A">
      <w:pPr>
        <w:spacing w:after="0" w:line="240" w:lineRule="auto"/>
        <w:jc w:val="center"/>
        <w:rPr>
          <w:rFonts w:ascii="Arial Narrow" w:hAnsi="Arial Narrow" w:cs="Arial"/>
          <w:b/>
          <w:sz w:val="24"/>
          <w:szCs w:val="24"/>
        </w:rPr>
      </w:pPr>
    </w:p>
    <w:p w:rsidR="0036577A" w:rsidRPr="0036577A" w:rsidRDefault="0036577A" w:rsidP="0036577A">
      <w:pPr>
        <w:spacing w:after="0" w:line="240" w:lineRule="auto"/>
        <w:jc w:val="center"/>
        <w:rPr>
          <w:rFonts w:ascii="Arial Narrow" w:hAnsi="Arial Narrow" w:cs="Arial"/>
          <w:b/>
          <w:sz w:val="24"/>
          <w:szCs w:val="24"/>
        </w:rPr>
      </w:pPr>
    </w:p>
    <w:p w:rsidR="0036577A" w:rsidRPr="0036577A" w:rsidRDefault="0036577A" w:rsidP="0036577A">
      <w:pPr>
        <w:spacing w:after="0" w:line="240" w:lineRule="auto"/>
        <w:ind w:left="567" w:hanging="567"/>
        <w:jc w:val="both"/>
        <w:rPr>
          <w:rFonts w:ascii="Arial Narrow" w:hAnsi="Arial Narrow" w:cs="Arial"/>
          <w:sz w:val="24"/>
          <w:szCs w:val="24"/>
        </w:rPr>
      </w:pPr>
      <w:r w:rsidRPr="0036577A">
        <w:rPr>
          <w:rFonts w:ascii="Arial Narrow" w:hAnsi="Arial Narrow" w:cs="Arial"/>
          <w:sz w:val="24"/>
          <w:szCs w:val="24"/>
        </w:rPr>
        <w:t>3.1</w:t>
      </w:r>
      <w:r w:rsidRPr="0036577A">
        <w:rPr>
          <w:rFonts w:ascii="Arial Narrow" w:hAnsi="Arial Narrow" w:cs="Arial"/>
          <w:sz w:val="24"/>
          <w:szCs w:val="24"/>
        </w:rPr>
        <w:tab/>
        <w:t>Tento Dodatek se vyhotovuje ve dvou (2) vyhotoveních, z nichž každá ze Smluvních stran obdrží jedno (1) vyhotovení.</w:t>
      </w:r>
    </w:p>
    <w:p w:rsidR="0036577A" w:rsidRPr="0036577A" w:rsidRDefault="0036577A" w:rsidP="0036577A">
      <w:pPr>
        <w:spacing w:after="0" w:line="240" w:lineRule="auto"/>
        <w:ind w:left="567" w:hanging="567"/>
        <w:jc w:val="both"/>
        <w:rPr>
          <w:rFonts w:ascii="Arial Narrow" w:hAnsi="Arial Narrow" w:cs="Arial"/>
          <w:sz w:val="24"/>
          <w:szCs w:val="24"/>
        </w:rPr>
      </w:pPr>
    </w:p>
    <w:p w:rsidR="0036577A" w:rsidRPr="0036577A" w:rsidRDefault="0036577A" w:rsidP="0036577A">
      <w:pPr>
        <w:pStyle w:val="Zkladntext2"/>
        <w:numPr>
          <w:ilvl w:val="0"/>
          <w:numId w:val="0"/>
        </w:numPr>
        <w:spacing w:before="0"/>
        <w:ind w:left="567" w:hanging="567"/>
        <w:rPr>
          <w:rFonts w:ascii="Arial Narrow" w:hAnsi="Arial Narrow"/>
          <w:szCs w:val="24"/>
        </w:rPr>
      </w:pPr>
      <w:r w:rsidRPr="0036577A">
        <w:rPr>
          <w:rFonts w:ascii="Arial Narrow" w:hAnsi="Arial Narrow"/>
          <w:szCs w:val="24"/>
        </w:rPr>
        <w:t>3.2</w:t>
      </w:r>
      <w:r w:rsidRPr="0036577A">
        <w:rPr>
          <w:rFonts w:ascii="Arial Narrow" w:hAnsi="Arial Narrow"/>
          <w:szCs w:val="24"/>
        </w:rPr>
        <w:tab/>
        <w:t>Tento Dodatek nabývá platnosti podpisem zástupců obou Smluvních stran a účinnosti okamžikem jeho zveřejnění v registru smluv v souladu s ustanovením § 6 zákona č. 340/2015 Sb., zákon o registru smluv, v účinném znění.</w:t>
      </w:r>
    </w:p>
    <w:p w:rsidR="0036577A" w:rsidRPr="0036577A" w:rsidRDefault="0036577A" w:rsidP="0036577A">
      <w:pPr>
        <w:pStyle w:val="Zkladntext2"/>
        <w:numPr>
          <w:ilvl w:val="0"/>
          <w:numId w:val="0"/>
        </w:numPr>
        <w:spacing w:before="0"/>
        <w:ind w:left="567" w:hanging="567"/>
        <w:rPr>
          <w:rFonts w:ascii="Arial Narrow" w:hAnsi="Arial Narrow"/>
          <w:szCs w:val="24"/>
        </w:rPr>
      </w:pPr>
    </w:p>
    <w:p w:rsidR="0036577A" w:rsidRPr="0036577A" w:rsidRDefault="0036577A" w:rsidP="0036577A">
      <w:pPr>
        <w:pStyle w:val="Zkladntext2"/>
        <w:numPr>
          <w:ilvl w:val="0"/>
          <w:numId w:val="0"/>
        </w:numPr>
        <w:spacing w:before="0"/>
        <w:ind w:left="567" w:hanging="567"/>
        <w:rPr>
          <w:rFonts w:ascii="Arial Narrow" w:hAnsi="Arial Narrow" w:cs="Arial"/>
          <w:szCs w:val="24"/>
        </w:rPr>
      </w:pPr>
      <w:r w:rsidRPr="0036577A">
        <w:rPr>
          <w:rFonts w:ascii="Arial Narrow" w:hAnsi="Arial Narrow"/>
          <w:szCs w:val="24"/>
        </w:rPr>
        <w:t>3.3</w:t>
      </w:r>
      <w:r w:rsidRPr="0036577A">
        <w:rPr>
          <w:rFonts w:ascii="Arial Narrow" w:hAnsi="Arial Narrow"/>
          <w:szCs w:val="24"/>
        </w:rPr>
        <w:tab/>
      </w:r>
      <w:r w:rsidRPr="0036577A">
        <w:rPr>
          <w:rFonts w:ascii="Arial Narrow" w:hAnsi="Arial Narrow" w:cs="Arial"/>
          <w:szCs w:val="24"/>
        </w:rPr>
        <w:t xml:space="preserve">Stane-li se kterékoliv ustanovení tohoto Dodatku neplatným, neúčinným nebo nevykonatelným, zůstává platnost, účinnost a vykonatelnost ostatních ustanovení Dodatku nedotčena, nevyplývá-li z povahy daného ustanovení, obsahu Dodatku nebo okolností, za nichž bylo toto ustanovení vytvořeno, že toto ustanovení nelze oddělit od ostatního obsahu Dodatku. Smluvní strany se zavazují pro případ neplatnosti, neúčinnosti, či nevykonatelnosti tohoto Dodatku nebo jeho části učinit bez zbytečného odkladu vše potřebné, aby taková neplatnost, neúčinnost, či nevykonatelnost byla co nejefektivněji odstraněna tak, aby byl v co nejvyšší možné míře naplněn účel tohoto Dodatku, respektive konkrétní části Dodatku. </w:t>
      </w:r>
    </w:p>
    <w:p w:rsidR="0036577A" w:rsidRPr="0036577A" w:rsidRDefault="0036577A" w:rsidP="0036577A">
      <w:pPr>
        <w:pStyle w:val="Zkladntext2"/>
        <w:numPr>
          <w:ilvl w:val="0"/>
          <w:numId w:val="0"/>
        </w:numPr>
        <w:spacing w:before="0"/>
        <w:ind w:left="567" w:hanging="567"/>
        <w:rPr>
          <w:rFonts w:ascii="Arial Narrow" w:hAnsi="Arial Narrow" w:cs="Arial"/>
          <w:szCs w:val="24"/>
        </w:rPr>
      </w:pPr>
    </w:p>
    <w:p w:rsidR="0036577A" w:rsidRDefault="0036577A" w:rsidP="0036577A">
      <w:pPr>
        <w:spacing w:after="0" w:line="240" w:lineRule="auto"/>
        <w:ind w:left="567" w:hanging="567"/>
        <w:jc w:val="both"/>
        <w:rPr>
          <w:rFonts w:ascii="Arial Narrow" w:hAnsi="Arial Narrow" w:cs="Arial"/>
          <w:sz w:val="24"/>
          <w:szCs w:val="24"/>
        </w:rPr>
      </w:pPr>
      <w:r w:rsidRPr="0036577A">
        <w:rPr>
          <w:rFonts w:ascii="Arial Narrow" w:hAnsi="Arial Narrow" w:cs="Arial"/>
          <w:sz w:val="24"/>
          <w:szCs w:val="24"/>
        </w:rPr>
        <w:t>3.4</w:t>
      </w:r>
      <w:r w:rsidRPr="0036577A">
        <w:rPr>
          <w:rFonts w:ascii="Arial Narrow" w:hAnsi="Arial Narrow" w:cs="Arial"/>
          <w:sz w:val="24"/>
          <w:szCs w:val="24"/>
        </w:rPr>
        <w:tab/>
        <w:t xml:space="preserve">Smlouva ve znění Dodatku zachycuje úplný projev vůle Smluvních stran. Případné změny či doplňky Smlouvy ve znění Dodatku mohou být uzavřeny pouze písemnou formou a po jejich podpisu Smluvními stranami se stávají nedílnou součástí Smlouvy. Smluvní strany tohoto Dodatku po jeho přečtení potvrzují, že jeho obsah, závazky, prohlášení, práva a povinnosti odpovídají jejich pravé, vážné a svobodné vůli, a že Dodatek byl uzavřen po vzájemném projednání, přičemž obě </w:t>
      </w:r>
      <w:r w:rsidRPr="0036577A">
        <w:rPr>
          <w:rFonts w:ascii="Arial Narrow" w:hAnsi="Arial Narrow" w:cs="Arial"/>
          <w:sz w:val="24"/>
          <w:szCs w:val="24"/>
        </w:rPr>
        <w:lastRenderedPageBreak/>
        <w:t>Smluvní strany měly možnost jeho obsah ovlivnit, nikoli v tísni za nápadně nevýhodných podmínek. Na důkaz všech zde sjednaných podmínek připojují obě smluvní strany své podpisy.</w:t>
      </w: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r>
        <w:rPr>
          <w:rFonts w:ascii="Arial Narrow" w:hAnsi="Arial Narrow" w:cs="Arial"/>
          <w:sz w:val="24"/>
          <w:szCs w:val="24"/>
        </w:rPr>
        <w:t>V Praze dne: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V Praze dne:</w:t>
      </w: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p>
    <w:p w:rsidR="0036577A" w:rsidRDefault="0036577A" w:rsidP="0036577A">
      <w:pPr>
        <w:spacing w:after="0" w:line="240" w:lineRule="auto"/>
        <w:ind w:left="567" w:hanging="567"/>
        <w:jc w:val="both"/>
        <w:rPr>
          <w:rFonts w:ascii="Arial Narrow" w:hAnsi="Arial Narrow" w:cs="Arial"/>
          <w:sz w:val="24"/>
          <w:szCs w:val="24"/>
        </w:rPr>
      </w:pPr>
      <w:r>
        <w:rPr>
          <w:rFonts w:ascii="Arial Narrow" w:hAnsi="Arial Narrow" w:cs="Arial"/>
          <w:sz w:val="24"/>
          <w:szCs w:val="24"/>
        </w:rPr>
        <w:t>_____________________</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_____________________</w:t>
      </w:r>
    </w:p>
    <w:p w:rsidR="0036577A" w:rsidRDefault="0036577A" w:rsidP="0036577A">
      <w:pPr>
        <w:spacing w:after="0" w:line="240" w:lineRule="auto"/>
        <w:ind w:left="567" w:hanging="567"/>
        <w:jc w:val="both"/>
        <w:rPr>
          <w:rFonts w:ascii="Arial Narrow" w:hAnsi="Arial Narrow" w:cs="Arial"/>
          <w:sz w:val="24"/>
          <w:szCs w:val="24"/>
        </w:rPr>
      </w:pPr>
      <w:r>
        <w:rPr>
          <w:rFonts w:ascii="Arial Narrow" w:hAnsi="Arial Narrow" w:cs="Arial"/>
          <w:sz w:val="24"/>
          <w:szCs w:val="24"/>
        </w:rPr>
        <w:t>JUDr. Jan Prachař</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Ing. Pavel Čech, MBA</w:t>
      </w:r>
    </w:p>
    <w:p w:rsidR="0036577A" w:rsidRPr="0036577A" w:rsidRDefault="0036577A" w:rsidP="0036577A">
      <w:pPr>
        <w:spacing w:after="0" w:line="240" w:lineRule="auto"/>
        <w:ind w:left="567" w:hanging="567"/>
        <w:jc w:val="both"/>
        <w:rPr>
          <w:rFonts w:ascii="Arial Narrow" w:hAnsi="Arial Narrow" w:cs="Arial"/>
          <w:sz w:val="24"/>
          <w:szCs w:val="24"/>
        </w:rPr>
      </w:pPr>
      <w:r>
        <w:rPr>
          <w:rFonts w:ascii="Arial Narrow" w:hAnsi="Arial Narrow" w:cs="Arial"/>
          <w:sz w:val="24"/>
          <w:szCs w:val="24"/>
        </w:rPr>
        <w:t>ředitel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jednatel</w:t>
      </w:r>
    </w:p>
    <w:p w:rsidR="0036577A" w:rsidRPr="0036577A" w:rsidRDefault="0036577A" w:rsidP="0036577A">
      <w:pPr>
        <w:spacing w:after="0" w:line="240" w:lineRule="auto"/>
        <w:ind w:left="708" w:hanging="708"/>
        <w:jc w:val="both"/>
        <w:rPr>
          <w:rFonts w:ascii="Arial Narrow" w:hAnsi="Arial Narrow"/>
          <w:b/>
          <w:bCs/>
          <w:sz w:val="24"/>
          <w:szCs w:val="24"/>
        </w:rPr>
      </w:pPr>
      <w:r>
        <w:rPr>
          <w:rFonts w:ascii="Arial Narrow" w:hAnsi="Arial Narrow"/>
          <w:b/>
          <w:bCs/>
          <w:sz w:val="24"/>
          <w:szCs w:val="24"/>
        </w:rPr>
        <w:t xml:space="preserve"> </w:t>
      </w:r>
    </w:p>
    <w:p w:rsidR="00280144" w:rsidRPr="00CA75E9" w:rsidRDefault="00280144" w:rsidP="00280144">
      <w:pPr>
        <w:spacing w:after="0" w:line="240" w:lineRule="auto"/>
        <w:jc w:val="center"/>
        <w:rPr>
          <w:rFonts w:ascii="Arial Narrow" w:hAnsi="Arial Narrow"/>
          <w:sz w:val="24"/>
          <w:szCs w:val="24"/>
        </w:rPr>
      </w:pPr>
    </w:p>
    <w:p w:rsidR="00280144" w:rsidRPr="00CA75E9" w:rsidRDefault="00280144" w:rsidP="00280144">
      <w:pPr>
        <w:spacing w:after="0" w:line="240" w:lineRule="auto"/>
        <w:jc w:val="center"/>
        <w:rPr>
          <w:rFonts w:ascii="Arial Narrow" w:hAnsi="Arial Narrow"/>
          <w:sz w:val="24"/>
          <w:szCs w:val="24"/>
        </w:rPr>
      </w:pPr>
    </w:p>
    <w:sectPr w:rsidR="00280144" w:rsidRP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5B3"/>
    <w:multiLevelType w:val="multilevel"/>
    <w:tmpl w:val="E1528CF0"/>
    <w:lvl w:ilvl="0">
      <w:start w:val="1"/>
      <w:numFmt w:val="decimal"/>
      <w:pStyle w:val="Nadpis1"/>
      <w:lvlText w:val="%1."/>
      <w:lvlJc w:val="left"/>
      <w:pPr>
        <w:ind w:left="567" w:hanging="567"/>
      </w:pPr>
      <w:rPr>
        <w:rFonts w:cs="Times New Roman" w:hint="default"/>
      </w:rPr>
    </w:lvl>
    <w:lvl w:ilvl="1">
      <w:start w:val="1"/>
      <w:numFmt w:val="decimal"/>
      <w:pStyle w:val="Zkladntext2"/>
      <w:lvlText w:val="%1.%2"/>
      <w:lvlJc w:val="left"/>
      <w:pPr>
        <w:ind w:left="709" w:hanging="567"/>
      </w:pPr>
      <w:rPr>
        <w:rFonts w:cs="Times New Roman" w:hint="default"/>
        <w:b w:val="0"/>
        <w:color w:val="auto"/>
      </w:rPr>
    </w:lvl>
    <w:lvl w:ilvl="2">
      <w:start w:val="1"/>
      <w:numFmt w:val="decimal"/>
      <w:pStyle w:val="Zkladntext3"/>
      <w:lvlText w:val="%1.%2.%3"/>
      <w:lvlJc w:val="left"/>
      <w:pPr>
        <w:ind w:left="907" w:hanging="340"/>
      </w:pPr>
      <w:rPr>
        <w:rFonts w:cs="Times New Roman" w:hint="default"/>
        <w:color w:val="auto"/>
      </w:rPr>
    </w:lvl>
    <w:lvl w:ilvl="3">
      <w:start w:val="1"/>
      <w:numFmt w:val="lowerLetter"/>
      <w:pStyle w:val="odsta"/>
      <w:lvlText w:val="%4)"/>
      <w:lvlJc w:val="left"/>
      <w:pPr>
        <w:ind w:left="1333" w:hanging="340"/>
      </w:pPr>
      <w:rPr>
        <w:rFonts w:cs="Times New Roman" w:hint="default"/>
      </w:rPr>
    </w:lvl>
    <w:lvl w:ilvl="4">
      <w:start w:val="1"/>
      <w:numFmt w:val="lowerRoman"/>
      <w:pStyle w:val="odsti"/>
      <w:lvlText w:val="%5."/>
      <w:lvlJc w:val="left"/>
      <w:pPr>
        <w:ind w:left="1474" w:hanging="227"/>
      </w:pPr>
      <w:rPr>
        <w:rFonts w:cs="Times New Roman" w:hint="default"/>
      </w:rPr>
    </w:lvl>
    <w:lvl w:ilvl="5">
      <w:start w:val="1"/>
      <w:numFmt w:val="upperRoman"/>
      <w:pStyle w:val="odrazka"/>
      <w:lvlText w:val="%6."/>
      <w:lvlJc w:val="left"/>
      <w:pPr>
        <w:ind w:left="2761" w:hanging="720"/>
      </w:pPr>
      <w:rPr>
        <w:rFonts w:hint="default"/>
      </w:rPr>
    </w:lvl>
    <w:lvl w:ilvl="6" w:tentative="1">
      <w:start w:val="1"/>
      <w:numFmt w:val="decimal"/>
      <w:lvlText w:val="%1.%2.%3.%4.%5.%6.%7"/>
      <w:lvlJc w:val="left"/>
      <w:pPr>
        <w:ind w:left="1296" w:hanging="1296"/>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44"/>
    <w:rsid w:val="00066E2C"/>
    <w:rsid w:val="000F2D0B"/>
    <w:rsid w:val="00280144"/>
    <w:rsid w:val="0036577A"/>
    <w:rsid w:val="0056338F"/>
    <w:rsid w:val="00CA75E9"/>
    <w:rsid w:val="00CF5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9F7BD-26A0-4DDD-B7F7-B1A2953A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80144"/>
    <w:pPr>
      <w:spacing w:after="200" w:line="276" w:lineRule="auto"/>
    </w:pPr>
    <w:rPr>
      <w:rFonts w:ascii="Calibri" w:eastAsia="Calibri" w:hAnsi="Calibri" w:cs="Times New Roman"/>
    </w:rPr>
  </w:style>
  <w:style w:type="paragraph" w:styleId="Nadpis1">
    <w:name w:val="heading 1"/>
    <w:basedOn w:val="Normln"/>
    <w:next w:val="Zkladntext-prvnodsazen"/>
    <w:link w:val="Nadpis1Char"/>
    <w:qFormat/>
    <w:rsid w:val="0036577A"/>
    <w:pPr>
      <w:keepNext/>
      <w:numPr>
        <w:numId w:val="1"/>
      </w:numPr>
      <w:tabs>
        <w:tab w:val="left" w:pos="851"/>
      </w:tabs>
      <w:suppressAutoHyphens/>
      <w:autoSpaceDN w:val="0"/>
      <w:spacing w:before="360" w:after="60"/>
      <w:ind w:left="851" w:hanging="851"/>
      <w:textAlignment w:val="baseline"/>
      <w:outlineLvl w:val="0"/>
    </w:pPr>
    <w:rPr>
      <w:rFonts w:ascii="Arial" w:eastAsia="Times New Roman" w:hAnsi="Arial"/>
      <w:b/>
      <w:caps/>
      <w:kern w:val="3"/>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577A"/>
    <w:rPr>
      <w:rFonts w:ascii="Arial" w:eastAsia="Times New Roman" w:hAnsi="Arial" w:cs="Times New Roman"/>
      <w:b/>
      <w:caps/>
      <w:kern w:val="3"/>
      <w:sz w:val="28"/>
      <w:szCs w:val="20"/>
      <w:lang w:eastAsia="cs-CZ"/>
    </w:rPr>
  </w:style>
  <w:style w:type="paragraph" w:styleId="Zkladntext2">
    <w:name w:val="Body Text 2"/>
    <w:basedOn w:val="Normln"/>
    <w:link w:val="Zkladntext2Char"/>
    <w:rsid w:val="0036577A"/>
    <w:pPr>
      <w:numPr>
        <w:ilvl w:val="1"/>
        <w:numId w:val="1"/>
      </w:numPr>
      <w:tabs>
        <w:tab w:val="left" w:pos="851"/>
      </w:tabs>
      <w:suppressAutoHyphens/>
      <w:autoSpaceDN w:val="0"/>
      <w:spacing w:before="120" w:after="0" w:line="240" w:lineRule="auto"/>
      <w:jc w:val="both"/>
      <w:textAlignment w:val="baseline"/>
    </w:pPr>
    <w:rPr>
      <w:rFonts w:ascii="Arial" w:eastAsia="Times New Roman" w:hAnsi="Arial"/>
      <w:sz w:val="24"/>
      <w:szCs w:val="20"/>
      <w:lang w:eastAsia="cs-CZ"/>
    </w:rPr>
  </w:style>
  <w:style w:type="character" w:customStyle="1" w:styleId="Zkladntext2Char">
    <w:name w:val="Základní text 2 Char"/>
    <w:basedOn w:val="Standardnpsmoodstavce"/>
    <w:link w:val="Zkladntext2"/>
    <w:qFormat/>
    <w:rsid w:val="0036577A"/>
    <w:rPr>
      <w:rFonts w:ascii="Arial" w:eastAsia="Times New Roman" w:hAnsi="Arial" w:cs="Times New Roman"/>
      <w:sz w:val="24"/>
      <w:szCs w:val="20"/>
      <w:lang w:eastAsia="cs-CZ"/>
    </w:rPr>
  </w:style>
  <w:style w:type="paragraph" w:styleId="Zkladntext3">
    <w:name w:val="Body Text 3"/>
    <w:basedOn w:val="Normln"/>
    <w:link w:val="Zkladntext3Char"/>
    <w:uiPriority w:val="99"/>
    <w:qFormat/>
    <w:rsid w:val="0036577A"/>
    <w:pPr>
      <w:numPr>
        <w:ilvl w:val="2"/>
        <w:numId w:val="1"/>
      </w:numPr>
      <w:tabs>
        <w:tab w:val="left" w:pos="851"/>
      </w:tabs>
      <w:suppressAutoHyphens/>
      <w:autoSpaceDN w:val="0"/>
      <w:spacing w:before="120" w:after="0" w:line="240" w:lineRule="auto"/>
      <w:jc w:val="both"/>
      <w:textAlignment w:val="baseline"/>
    </w:pPr>
    <w:rPr>
      <w:rFonts w:ascii="Arial" w:eastAsia="Times New Roman" w:hAnsi="Arial"/>
      <w:sz w:val="24"/>
      <w:szCs w:val="24"/>
      <w:lang w:eastAsia="cs-CZ"/>
    </w:rPr>
  </w:style>
  <w:style w:type="character" w:customStyle="1" w:styleId="Zkladntext3Char">
    <w:name w:val="Základní text 3 Char"/>
    <w:basedOn w:val="Standardnpsmoodstavce"/>
    <w:link w:val="Zkladntext3"/>
    <w:uiPriority w:val="99"/>
    <w:rsid w:val="0036577A"/>
    <w:rPr>
      <w:rFonts w:ascii="Arial" w:eastAsia="Times New Roman" w:hAnsi="Arial" w:cs="Times New Roman"/>
      <w:sz w:val="24"/>
      <w:szCs w:val="24"/>
      <w:lang w:eastAsia="cs-CZ"/>
    </w:rPr>
  </w:style>
  <w:style w:type="paragraph" w:customStyle="1" w:styleId="odsta">
    <w:name w:val="odst a)"/>
    <w:basedOn w:val="Normln"/>
    <w:qFormat/>
    <w:rsid w:val="0036577A"/>
    <w:pPr>
      <w:numPr>
        <w:ilvl w:val="3"/>
        <w:numId w:val="1"/>
      </w:numPr>
      <w:suppressAutoHyphens/>
      <w:autoSpaceDN w:val="0"/>
      <w:spacing w:before="120" w:after="0" w:line="240" w:lineRule="auto"/>
      <w:ind w:left="1247"/>
      <w:jc w:val="both"/>
      <w:textAlignment w:val="baseline"/>
    </w:pPr>
    <w:rPr>
      <w:rFonts w:ascii="Arial" w:eastAsia="Times New Roman" w:hAnsi="Arial"/>
      <w:sz w:val="24"/>
      <w:szCs w:val="20"/>
      <w:lang w:eastAsia="cs-CZ"/>
    </w:rPr>
  </w:style>
  <w:style w:type="paragraph" w:customStyle="1" w:styleId="odsti">
    <w:name w:val="odst_i"/>
    <w:basedOn w:val="Normln"/>
    <w:rsid w:val="0036577A"/>
    <w:pPr>
      <w:numPr>
        <w:ilvl w:val="4"/>
        <w:numId w:val="1"/>
      </w:numPr>
      <w:tabs>
        <w:tab w:val="left" w:pos="114"/>
        <w:tab w:val="left" w:pos="380"/>
      </w:tabs>
      <w:suppressAutoHyphens/>
      <w:autoSpaceDN w:val="0"/>
      <w:spacing w:before="120"/>
      <w:jc w:val="both"/>
      <w:textAlignment w:val="baseline"/>
    </w:pPr>
    <w:rPr>
      <w:rFonts w:ascii="Arial" w:eastAsia="Times New Roman" w:hAnsi="Arial"/>
      <w:sz w:val="24"/>
      <w:szCs w:val="20"/>
      <w:lang w:eastAsia="cs-CZ"/>
    </w:rPr>
  </w:style>
  <w:style w:type="paragraph" w:customStyle="1" w:styleId="odrazka">
    <w:name w:val="odrazka"/>
    <w:basedOn w:val="Normln"/>
    <w:rsid w:val="0036577A"/>
    <w:pPr>
      <w:numPr>
        <w:ilvl w:val="5"/>
        <w:numId w:val="1"/>
      </w:numPr>
      <w:suppressAutoHyphens/>
      <w:autoSpaceDN w:val="0"/>
      <w:spacing w:before="120"/>
      <w:ind w:left="2381" w:hanging="340"/>
      <w:jc w:val="both"/>
      <w:textAlignment w:val="baseline"/>
    </w:pPr>
    <w:rPr>
      <w:rFonts w:ascii="Arial" w:eastAsia="Times New Roman" w:hAnsi="Arial"/>
      <w:sz w:val="24"/>
      <w:szCs w:val="20"/>
      <w:lang w:eastAsia="cs-CZ"/>
    </w:rPr>
  </w:style>
  <w:style w:type="paragraph" w:styleId="Zkladntext">
    <w:name w:val="Body Text"/>
    <w:basedOn w:val="Normln"/>
    <w:link w:val="ZkladntextChar"/>
    <w:uiPriority w:val="99"/>
    <w:semiHidden/>
    <w:unhideWhenUsed/>
    <w:rsid w:val="0036577A"/>
    <w:pPr>
      <w:spacing w:after="120"/>
    </w:pPr>
  </w:style>
  <w:style w:type="character" w:customStyle="1" w:styleId="ZkladntextChar">
    <w:name w:val="Základní text Char"/>
    <w:basedOn w:val="Standardnpsmoodstavce"/>
    <w:link w:val="Zkladntext"/>
    <w:uiPriority w:val="99"/>
    <w:semiHidden/>
    <w:rsid w:val="0036577A"/>
    <w:rPr>
      <w:rFonts w:ascii="Calibri" w:eastAsia="Calibri" w:hAnsi="Calibri" w:cs="Times New Roman"/>
    </w:rPr>
  </w:style>
  <w:style w:type="paragraph" w:styleId="Zkladntext-prvnodsazen">
    <w:name w:val="Body Text First Indent"/>
    <w:basedOn w:val="Zkladntext"/>
    <w:link w:val="Zkladntext-prvnodsazenChar"/>
    <w:uiPriority w:val="99"/>
    <w:semiHidden/>
    <w:unhideWhenUsed/>
    <w:rsid w:val="0036577A"/>
    <w:pPr>
      <w:spacing w:after="200"/>
      <w:ind w:firstLine="360"/>
    </w:pPr>
  </w:style>
  <w:style w:type="character" w:customStyle="1" w:styleId="Zkladntext-prvnodsazenChar">
    <w:name w:val="Základní text - první odsazený Char"/>
    <w:basedOn w:val="ZkladntextChar"/>
    <w:link w:val="Zkladntext-prvnodsazen"/>
    <w:uiPriority w:val="99"/>
    <w:semiHidden/>
    <w:rsid w:val="003657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Míčková Zita</dc:creator>
  <cp:keywords/>
  <dc:description/>
  <cp:lastModifiedBy>Duda Vítězslav</cp:lastModifiedBy>
  <cp:revision>2</cp:revision>
  <dcterms:created xsi:type="dcterms:W3CDTF">2019-12-23T14:36:00Z</dcterms:created>
  <dcterms:modified xsi:type="dcterms:W3CDTF">2019-12-23T14:36:00Z</dcterms:modified>
</cp:coreProperties>
</file>