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27A12" w14:textId="28B9C3F6" w:rsidR="006A0E06" w:rsidRPr="00703625" w:rsidRDefault="00842F3D" w:rsidP="006E4888">
      <w:pPr>
        <w:spacing w:after="0"/>
        <w:jc w:val="both"/>
        <w:rPr>
          <w:rStyle w:val="preformatted"/>
          <w:rFonts w:ascii="Arial" w:eastAsiaTheme="minorEastAsia" w:hAnsi="Arial" w:cs="Arial"/>
          <w:sz w:val="24"/>
          <w:szCs w:val="24"/>
          <w:lang w:eastAsia="cs-CZ"/>
        </w:rPr>
      </w:pPr>
      <w:bookmarkStart w:id="0" w:name="_GoBack"/>
      <w:bookmarkEnd w:id="0"/>
      <w:r w:rsidRPr="002B6A1A">
        <w:rPr>
          <w:rFonts w:ascii="Arial" w:hAnsi="Arial" w:cs="Arial"/>
          <w:b/>
          <w:color w:val="333333"/>
          <w:shd w:val="clear" w:color="auto" w:fill="FFFFFF"/>
        </w:rPr>
        <w:t>Společenství vlastníků jednotek Baranova 10 - Praha 3</w:t>
      </w:r>
      <w:r w:rsidR="006A0E06" w:rsidRPr="002B6A1A">
        <w:rPr>
          <w:rStyle w:val="preformatted"/>
          <w:rFonts w:ascii="Arial" w:hAnsi="Arial" w:cs="Arial"/>
          <w:b/>
        </w:rPr>
        <w:t xml:space="preserve">, </w:t>
      </w:r>
      <w:r w:rsidR="006A0E06" w:rsidRPr="00703625">
        <w:rPr>
          <w:rStyle w:val="preformatted"/>
          <w:rFonts w:ascii="Arial" w:hAnsi="Arial" w:cs="Arial"/>
        </w:rPr>
        <w:t>se sídlem</w:t>
      </w:r>
      <w:r w:rsidR="0029582B" w:rsidRPr="00703625">
        <w:rPr>
          <w:rStyle w:val="preformatted"/>
          <w:rFonts w:ascii="Arial" w:hAnsi="Arial" w:cs="Arial"/>
        </w:rPr>
        <w:t xml:space="preserve"> </w:t>
      </w:r>
      <w:r w:rsidR="0029582B" w:rsidRPr="00703625">
        <w:rPr>
          <w:rFonts w:ascii="Arial" w:hAnsi="Arial" w:cs="Arial"/>
          <w:color w:val="333333"/>
          <w:shd w:val="clear" w:color="auto" w:fill="FFFFFF"/>
        </w:rPr>
        <w:t xml:space="preserve">Baranova 1878/10, Žižkov, 130 00 Praha 3, </w:t>
      </w:r>
      <w:r w:rsidR="006A0E06" w:rsidRPr="00703625">
        <w:rPr>
          <w:rStyle w:val="preformatted"/>
          <w:rFonts w:ascii="Arial" w:hAnsi="Arial" w:cs="Arial"/>
        </w:rPr>
        <w:t>IČO</w:t>
      </w:r>
      <w:r w:rsidR="00AC4A5E" w:rsidRPr="00703625">
        <w:rPr>
          <w:rStyle w:val="preformatted"/>
          <w:rFonts w:ascii="Arial" w:hAnsi="Arial" w:cs="Arial"/>
        </w:rPr>
        <w:t>:</w:t>
      </w:r>
      <w:r w:rsidR="0029582B" w:rsidRPr="00703625">
        <w:rPr>
          <w:rFonts w:ascii="Arial" w:hAnsi="Arial" w:cs="Arial"/>
          <w:color w:val="333333"/>
          <w:shd w:val="clear" w:color="auto" w:fill="FFFFFF"/>
        </w:rPr>
        <w:t xml:space="preserve"> 24830003</w:t>
      </w:r>
      <w:r w:rsidR="00AC4A5E" w:rsidRPr="00703625">
        <w:rPr>
          <w:rFonts w:ascii="Arial" w:hAnsi="Arial" w:cs="Arial"/>
          <w:color w:val="333333"/>
          <w:shd w:val="clear" w:color="auto" w:fill="FFFFFF"/>
        </w:rPr>
        <w:t>,</w:t>
      </w:r>
      <w:r w:rsidR="006A0E06" w:rsidRPr="00703625">
        <w:rPr>
          <w:rStyle w:val="preformatted"/>
          <w:rFonts w:ascii="Arial" w:hAnsi="Arial" w:cs="Arial"/>
        </w:rPr>
        <w:t xml:space="preserve"> zapsané v </w:t>
      </w:r>
      <w:r w:rsidR="00F261E2" w:rsidRPr="00F261E2">
        <w:rPr>
          <w:rStyle w:val="preformatted"/>
          <w:rFonts w:ascii="Arial" w:hAnsi="Arial" w:cs="Arial"/>
        </w:rPr>
        <w:t>rejstříku společenství vlastníků jednotek</w:t>
      </w:r>
      <w:r w:rsidR="00F261E2">
        <w:rPr>
          <w:rStyle w:val="preformatted"/>
          <w:rFonts w:ascii="Arial" w:hAnsi="Arial" w:cs="Arial"/>
        </w:rPr>
        <w:t xml:space="preserve"> </w:t>
      </w:r>
      <w:r w:rsidR="006A0E06" w:rsidRPr="00703625">
        <w:rPr>
          <w:rStyle w:val="preformatted"/>
          <w:rFonts w:ascii="Arial" w:hAnsi="Arial" w:cs="Arial"/>
        </w:rPr>
        <w:t xml:space="preserve">vedeném Městským soudem v Praze, oddíl S., vložka </w:t>
      </w:r>
      <w:r w:rsidR="0029582B" w:rsidRPr="00703625">
        <w:rPr>
          <w:rStyle w:val="preformatted"/>
          <w:rFonts w:ascii="Arial" w:hAnsi="Arial" w:cs="Arial"/>
        </w:rPr>
        <w:t>12538</w:t>
      </w:r>
      <w:r w:rsidR="001516D4">
        <w:rPr>
          <w:rStyle w:val="preformatted"/>
          <w:rFonts w:ascii="Arial" w:hAnsi="Arial" w:cs="Arial"/>
        </w:rPr>
        <w:t>,</w:t>
      </w:r>
    </w:p>
    <w:p w14:paraId="4CD995F7" w14:textId="392D1E13" w:rsidR="005766CF" w:rsidRPr="006E4888" w:rsidRDefault="005766CF" w:rsidP="005766CF">
      <w:pPr>
        <w:spacing w:after="0"/>
        <w:jc w:val="both"/>
        <w:rPr>
          <w:rStyle w:val="preformatted"/>
          <w:rFonts w:ascii="Arial" w:hAnsi="Arial" w:cs="Arial"/>
        </w:rPr>
      </w:pPr>
      <w:r w:rsidRPr="006E4888">
        <w:rPr>
          <w:rStyle w:val="preformatted"/>
          <w:rFonts w:ascii="Arial" w:hAnsi="Arial" w:cs="Arial"/>
        </w:rPr>
        <w:t>zastoupen</w:t>
      </w:r>
      <w:r w:rsidR="002B6A1A" w:rsidRPr="006E4888">
        <w:rPr>
          <w:rStyle w:val="preformatted"/>
          <w:rFonts w:ascii="Arial" w:hAnsi="Arial" w:cs="Arial"/>
        </w:rPr>
        <w:t>é</w:t>
      </w:r>
      <w:r w:rsidRPr="006E4888">
        <w:rPr>
          <w:rStyle w:val="preformatted"/>
          <w:rFonts w:ascii="Arial" w:hAnsi="Arial" w:cs="Arial"/>
        </w:rPr>
        <w:t xml:space="preserve"> předsedou výboru Pavlem Hlaváčkem a místopředsedou výboru Ing. Janem Procházkou</w:t>
      </w:r>
      <w:r w:rsidR="001516D4">
        <w:rPr>
          <w:rStyle w:val="preformatted"/>
          <w:rFonts w:ascii="Arial" w:hAnsi="Arial" w:cs="Arial"/>
        </w:rPr>
        <w:t>,</w:t>
      </w:r>
    </w:p>
    <w:p w14:paraId="544CC218" w14:textId="77777777" w:rsidR="005766CF" w:rsidRPr="002B6A1A" w:rsidRDefault="005766CF" w:rsidP="006E4888">
      <w:pPr>
        <w:spacing w:after="0"/>
        <w:jc w:val="both"/>
        <w:rPr>
          <w:rStyle w:val="preformatted"/>
          <w:rFonts w:ascii="Arial" w:hAnsi="Arial" w:cs="Arial"/>
        </w:rPr>
      </w:pPr>
    </w:p>
    <w:p w14:paraId="0D01E19A"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7913D971"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 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78F8B23A" w:rsidR="001516D4" w:rsidRPr="001516D4" w:rsidRDefault="001516D4" w:rsidP="001516D4">
      <w:pPr>
        <w:spacing w:after="0"/>
        <w:jc w:val="both"/>
        <w:rPr>
          <w:rFonts w:ascii="Arial" w:hAnsi="Arial" w:cs="Arial"/>
          <w:b/>
          <w:color w:val="333333"/>
          <w:shd w:val="clear" w:color="auto" w:fill="FFFFFF"/>
        </w:rPr>
      </w:pPr>
      <w:bookmarkStart w:id="1" w:name="_Hlk19823759"/>
      <w:r w:rsidRPr="001516D4">
        <w:rPr>
          <w:rFonts w:ascii="Arial" w:hAnsi="Arial" w:cs="Arial"/>
          <w:b/>
          <w:color w:val="333333"/>
          <w:shd w:val="clear" w:color="auto" w:fill="FFFFFF"/>
        </w:rPr>
        <w:t>Správa majetkového portfolia Praha 3 a.s.</w:t>
      </w:r>
      <w:bookmarkEnd w:id="1"/>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28954866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1F4DAC7A"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č.p.  </w:t>
      </w:r>
      <w:r w:rsidR="0029582B" w:rsidRPr="006E4888">
        <w:rPr>
          <w:rStyle w:val="preformatted"/>
          <w:rFonts w:ascii="Arial" w:hAnsi="Arial" w:cs="Arial"/>
        </w:rPr>
        <w:t>1878</w:t>
      </w:r>
      <w:r w:rsidR="00AC4A5E" w:rsidRPr="006E4888">
        <w:rPr>
          <w:rStyle w:val="preformatted"/>
          <w:rFonts w:ascii="Arial" w:hAnsi="Arial" w:cs="Arial"/>
        </w:rPr>
        <w:t>,</w:t>
      </w:r>
      <w:r w:rsidRPr="006E4888">
        <w:rPr>
          <w:rStyle w:val="preformatted"/>
          <w:rFonts w:ascii="Arial" w:hAnsi="Arial" w:cs="Arial"/>
        </w:rPr>
        <w:t xml:space="preserve"> bytový dům, stojící na pozemku </w:t>
      </w:r>
      <w:proofErr w:type="spellStart"/>
      <w:r w:rsidRPr="006E4888">
        <w:rPr>
          <w:rStyle w:val="preformatted"/>
          <w:rFonts w:ascii="Arial" w:hAnsi="Arial" w:cs="Arial"/>
        </w:rPr>
        <w:t>parc</w:t>
      </w:r>
      <w:proofErr w:type="spellEnd"/>
      <w:r w:rsidRPr="006E4888">
        <w:rPr>
          <w:rStyle w:val="preformatted"/>
          <w:rFonts w:ascii="Arial" w:hAnsi="Arial" w:cs="Arial"/>
        </w:rPr>
        <w:t>. č.</w:t>
      </w:r>
      <w:r w:rsidR="0029582B" w:rsidRPr="006E4888">
        <w:rPr>
          <w:rStyle w:val="preformatted"/>
          <w:rFonts w:ascii="Arial" w:hAnsi="Arial" w:cs="Arial"/>
        </w:rPr>
        <w:t xml:space="preserve"> 1550/3</w:t>
      </w:r>
      <w:r w:rsidR="00AC4A5E" w:rsidRPr="006E4888">
        <w:rPr>
          <w:rStyle w:val="preformatted"/>
          <w:rFonts w:ascii="Arial" w:hAnsi="Arial" w:cs="Arial"/>
        </w:rPr>
        <w:t xml:space="preserve"> </w:t>
      </w:r>
      <w:r w:rsidRPr="006E4888">
        <w:rPr>
          <w:rStyle w:val="preformatted"/>
          <w:rFonts w:ascii="Arial" w:hAnsi="Arial" w:cs="Arial"/>
        </w:rPr>
        <w:t>– zastavěná plocha a nádvoří,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3C0119F9"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 1</w:t>
      </w:r>
      <w:r w:rsidR="00B17D65" w:rsidRPr="006E4888">
        <w:rPr>
          <w:rFonts w:ascii="Arial" w:hAnsi="Arial" w:cs="Arial"/>
          <w:color w:val="333333"/>
          <w:shd w:val="clear" w:color="auto" w:fill="FFFFFF"/>
        </w:rPr>
        <w:t>6</w:t>
      </w:r>
      <w:r w:rsidRPr="006E4888">
        <w:rPr>
          <w:rFonts w:ascii="Arial" w:hAnsi="Arial" w:cs="Arial"/>
          <w:color w:val="333333"/>
          <w:shd w:val="clear" w:color="auto" w:fill="FFFFFF"/>
        </w:rPr>
        <w:t>.</w:t>
      </w:r>
      <w:r w:rsidR="006A36D3" w:rsidRPr="006E4888">
        <w:rPr>
          <w:rFonts w:ascii="Arial" w:hAnsi="Arial" w:cs="Arial"/>
          <w:color w:val="333333"/>
          <w:shd w:val="clear" w:color="auto" w:fill="FFFFFF"/>
        </w:rPr>
        <w:t xml:space="preserve"> </w:t>
      </w:r>
      <w:r w:rsidR="00B17D65" w:rsidRPr="006E4888">
        <w:rPr>
          <w:rFonts w:ascii="Arial" w:hAnsi="Arial" w:cs="Arial"/>
          <w:color w:val="333333"/>
          <w:shd w:val="clear" w:color="auto" w:fill="FFFFFF"/>
        </w:rPr>
        <w:t>7</w:t>
      </w:r>
      <w:r w:rsidRPr="006E4888">
        <w:rPr>
          <w:rFonts w:ascii="Arial" w:hAnsi="Arial" w:cs="Arial"/>
          <w:color w:val="333333"/>
          <w:shd w:val="clear" w:color="auto" w:fill="FFFFFF"/>
        </w:rPr>
        <w:t xml:space="preserve">. 2010 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703625" w:rsidRPr="006E4888">
        <w:rPr>
          <w:rFonts w:ascii="Arial" w:hAnsi="Arial" w:cs="Arial"/>
          <w:color w:val="333333"/>
          <w:shd w:val="clear" w:color="auto" w:fill="FFFFFF"/>
        </w:rPr>
        <w:t xml:space="preserve"> </w:t>
      </w:r>
      <w:r w:rsidR="00B17D65" w:rsidRPr="006E4888">
        <w:rPr>
          <w:rFonts w:ascii="Arial" w:hAnsi="Arial" w:cs="Arial"/>
          <w:color w:val="333333"/>
          <w:shd w:val="clear" w:color="auto" w:fill="FFFFFF"/>
        </w:rPr>
        <w:t>1878</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w:t>
      </w:r>
      <w:proofErr w:type="spellStart"/>
      <w:r w:rsidRPr="006E4888">
        <w:rPr>
          <w:rFonts w:ascii="Arial" w:hAnsi="Arial" w:cs="Arial"/>
          <w:color w:val="333333"/>
          <w:shd w:val="clear" w:color="auto" w:fill="FFFFFF"/>
        </w:rPr>
        <w:t>parc</w:t>
      </w:r>
      <w:proofErr w:type="spellEnd"/>
      <w:r w:rsidRPr="006E4888">
        <w:rPr>
          <w:rFonts w:ascii="Arial" w:hAnsi="Arial" w:cs="Arial"/>
          <w:color w:val="333333"/>
          <w:shd w:val="clear" w:color="auto" w:fill="FFFFFF"/>
        </w:rPr>
        <w:t>. č.</w:t>
      </w:r>
      <w:r w:rsidR="00B17D65" w:rsidRPr="006E4888">
        <w:rPr>
          <w:rFonts w:ascii="Arial" w:hAnsi="Arial" w:cs="Arial"/>
          <w:color w:val="333333"/>
          <w:shd w:val="clear" w:color="auto" w:fill="FFFFFF"/>
        </w:rPr>
        <w:t>1550/3</w:t>
      </w:r>
      <w:r w:rsidR="00AC4A5E" w:rsidRPr="006E4888">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 zastavěná plocha </w:t>
      </w:r>
      <w:r w:rsidR="00703625" w:rsidRPr="006E4888">
        <w:rPr>
          <w:rFonts w:ascii="Arial" w:hAnsi="Arial" w:cs="Arial"/>
          <w:color w:val="333333"/>
          <w:shd w:val="clear" w:color="auto" w:fill="FFFFFF"/>
        </w:rPr>
        <w:t>a </w:t>
      </w:r>
      <w:r w:rsidRPr="006E4888">
        <w:rPr>
          <w:rFonts w:ascii="Arial" w:hAnsi="Arial" w:cs="Arial"/>
          <w:color w:val="333333"/>
          <w:shd w:val="clear" w:color="auto" w:fill="FFFFFF"/>
        </w:rPr>
        <w:t>nádvoří, 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dovy (dále jen „Prohlášení“). V </w:t>
      </w:r>
      <w:r w:rsidRPr="006E4888">
        <w:rPr>
          <w:rFonts w:ascii="Arial" w:hAnsi="Arial" w:cs="Arial"/>
          <w:color w:val="333333"/>
          <w:shd w:val="clear" w:color="auto" w:fill="FFFFFF"/>
        </w:rPr>
        <w:t xml:space="preserve">čl. III. odst. 2 Prohlášení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1878</w:t>
      </w:r>
      <w:r w:rsidRPr="006E4888">
        <w:rPr>
          <w:rFonts w:ascii="Arial" w:hAnsi="Arial" w:cs="Arial"/>
          <w:color w:val="333333"/>
          <w:shd w:val="clear" w:color="auto" w:fill="FFFFFF"/>
        </w:rPr>
        <w:t xml:space="preserve"> určenou pro společné užívání není technologické zařízení kotelny</w:t>
      </w:r>
      <w:r w:rsidR="00703625" w:rsidRPr="006E4888">
        <w:rPr>
          <w:rFonts w:ascii="Arial" w:hAnsi="Arial" w:cs="Arial"/>
          <w:color w:val="333333"/>
          <w:shd w:val="clear" w:color="auto" w:fill="FFFFFF"/>
        </w:rPr>
        <w:t>, která se v budově č.p. 1878 nachází.</w:t>
      </w:r>
    </w:p>
    <w:p w14:paraId="75E31F68" w14:textId="77777777" w:rsidR="006A0E06" w:rsidRPr="00703625" w:rsidRDefault="006A0E06" w:rsidP="006B2306">
      <w:pPr>
        <w:pStyle w:val="Odstavecseseznamem"/>
        <w:ind w:left="426" w:hanging="426"/>
        <w:rPr>
          <w:rFonts w:ascii="Arial" w:hAnsi="Arial" w:cs="Arial"/>
        </w:rPr>
      </w:pPr>
    </w:p>
    <w:p w14:paraId="2538CFEB" w14:textId="68244A2B"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703625">
        <w:rPr>
          <w:rFonts w:ascii="Arial" w:hAnsi="Arial" w:cs="Arial"/>
        </w:rPr>
        <w:t xml:space="preserve">v článku III. odst. 2 </w:t>
      </w:r>
      <w:r w:rsidR="00154AAD" w:rsidRPr="00703625">
        <w:rPr>
          <w:rFonts w:ascii="Arial" w:hAnsi="Arial" w:cs="Arial"/>
        </w:rPr>
        <w:t xml:space="preserve">a v článku VI. odst. 2 </w:t>
      </w:r>
      <w:r w:rsidR="008F4984">
        <w:rPr>
          <w:rFonts w:ascii="Arial" w:hAnsi="Arial" w:cs="Arial"/>
        </w:rPr>
        <w:t xml:space="preserve">Prohlášení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1BAD01F9"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051DAD31" w14:textId="77777777" w:rsidR="00185542" w:rsidRPr="006E4888" w:rsidRDefault="00185542" w:rsidP="006A0E06">
      <w:pPr>
        <w:pStyle w:val="Odstavecseseznamem"/>
        <w:rPr>
          <w:rStyle w:val="preformatted"/>
          <w:rFonts w:ascii="Arial" w:hAnsi="Arial" w:cs="Arial"/>
          <w:b/>
          <w:bCs/>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52E85CC8"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Prohlášení, kterým byly v budově č.p.</w:t>
      </w:r>
      <w:r w:rsidR="00703625">
        <w:rPr>
          <w:rFonts w:ascii="Arial" w:hAnsi="Arial" w:cs="Arial"/>
        </w:rPr>
        <w:t xml:space="preserve"> </w:t>
      </w:r>
      <w:r w:rsidR="009141D1" w:rsidRPr="00703625">
        <w:rPr>
          <w:rFonts w:ascii="Arial" w:hAnsi="Arial" w:cs="Arial"/>
        </w:rPr>
        <w:t xml:space="preserve">1878, bytový dům, stojící na pozemku </w:t>
      </w:r>
      <w:proofErr w:type="spellStart"/>
      <w:r w:rsidR="009141D1" w:rsidRPr="00703625">
        <w:rPr>
          <w:rFonts w:ascii="Arial" w:hAnsi="Arial" w:cs="Arial"/>
        </w:rPr>
        <w:t>parc</w:t>
      </w:r>
      <w:proofErr w:type="spellEnd"/>
      <w:r w:rsidR="009141D1" w:rsidRPr="00703625">
        <w:rPr>
          <w:rFonts w:ascii="Arial" w:hAnsi="Arial" w:cs="Arial"/>
        </w:rPr>
        <w:t xml:space="preserve">. č.1550/3 – zastavěná plocha </w:t>
      </w:r>
      <w:r w:rsidR="00703625" w:rsidRPr="00703625">
        <w:rPr>
          <w:rFonts w:ascii="Arial" w:hAnsi="Arial" w:cs="Arial"/>
        </w:rPr>
        <w:t>a</w:t>
      </w:r>
      <w:r w:rsidR="00703625">
        <w:rPr>
          <w:rFonts w:ascii="Arial" w:hAnsi="Arial" w:cs="Arial"/>
        </w:rPr>
        <w:t> </w:t>
      </w:r>
      <w:r w:rsidR="009141D1" w:rsidRPr="00703625">
        <w:rPr>
          <w:rFonts w:ascii="Arial" w:hAnsi="Arial" w:cs="Arial"/>
        </w:rPr>
        <w:t>nádvoří,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77777777" w:rsidR="006F535C" w:rsidRPr="00703625" w:rsidRDefault="006A0E06" w:rsidP="006F535C">
      <w:pPr>
        <w:pStyle w:val="Odstavecseseznamem"/>
        <w:numPr>
          <w:ilvl w:val="0"/>
          <w:numId w:val="4"/>
        </w:numPr>
        <w:jc w:val="both"/>
        <w:rPr>
          <w:rFonts w:ascii="Arial" w:hAnsi="Arial" w:cs="Arial"/>
          <w:i/>
        </w:rPr>
      </w:pPr>
      <w:r w:rsidRPr="00703625">
        <w:rPr>
          <w:rFonts w:ascii="Arial" w:hAnsi="Arial" w:cs="Arial"/>
        </w:rPr>
        <w:t>Čl. III. odst. 2 Prohlášení: „</w:t>
      </w:r>
      <w:r w:rsidRPr="00703625">
        <w:rPr>
          <w:rFonts w:ascii="Arial" w:hAnsi="Arial" w:cs="Arial"/>
          <w:i/>
        </w:rPr>
        <w:t>Technologické zařízení kotelny (plynové kotle, zásobník vody, čerpadla, expanzní nádoba, úpravna vody, vzduchotechnika řídící jednotka a ventily) není předmětem převodu a zůstává i nadále ve vlastnictví Městské části Praha 3</w:t>
      </w:r>
      <w:r w:rsidRPr="00703625">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77777777" w:rsidR="007E6550" w:rsidRPr="00703625" w:rsidRDefault="006A0E06" w:rsidP="007E6550">
      <w:pPr>
        <w:pStyle w:val="Odstavecseseznamem"/>
        <w:numPr>
          <w:ilvl w:val="0"/>
          <w:numId w:val="4"/>
        </w:numPr>
        <w:jc w:val="both"/>
        <w:rPr>
          <w:rFonts w:ascii="Arial" w:hAnsi="Arial" w:cs="Arial"/>
        </w:rPr>
      </w:pPr>
      <w:r w:rsidRPr="00703625">
        <w:rPr>
          <w:rFonts w:ascii="Arial" w:hAnsi="Arial" w:cs="Arial"/>
        </w:rPr>
        <w:t xml:space="preserve">Čl. VI. odst. 2 </w:t>
      </w:r>
      <w:r w:rsidRPr="002B6A1A">
        <w:rPr>
          <w:rFonts w:ascii="Arial" w:hAnsi="Arial" w:cs="Arial"/>
        </w:rPr>
        <w:t>Prohlášení: „</w:t>
      </w:r>
      <w:r w:rsidRPr="002B6A1A">
        <w:rPr>
          <w:rFonts w:ascii="Arial" w:hAnsi="Arial" w:cs="Arial"/>
          <w:i/>
        </w:rPr>
        <w:t xml:space="preserve">Na vlastníky jednotek a na jejich právní nástupce přechází závazek strpět bezúplatně umístění technologického zařízení kotelny, které je ve vlastnictví Městské části Praha 3 a </w:t>
      </w:r>
      <w:r w:rsidRPr="00703625">
        <w:rPr>
          <w:rFonts w:ascii="Arial" w:hAnsi="Arial" w:cs="Arial"/>
          <w:i/>
        </w:rPr>
        <w:t>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Pr="00703625">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lastRenderedPageBreak/>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51E431C8" w14:textId="77777777" w:rsidR="000D7DC7" w:rsidRPr="00703625" w:rsidRDefault="000D7DC7"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1CA57F65"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do správy Společenství jako společnou část budovy č.p.</w:t>
      </w:r>
      <w:r w:rsidR="00C160FE" w:rsidRPr="00402A0A">
        <w:rPr>
          <w:rFonts w:ascii="Arial" w:eastAsia="Calibri" w:hAnsi="Arial" w:cs="Arial"/>
          <w:color w:val="000000"/>
          <w:lang w:eastAsia="cs-CZ"/>
        </w:rPr>
        <w:t>1878</w:t>
      </w:r>
      <w:r w:rsidR="009141D1" w:rsidRPr="00402A0A">
        <w:rPr>
          <w:rFonts w:ascii="Arial" w:eastAsia="Calibri" w:hAnsi="Arial" w:cs="Arial"/>
          <w:color w:val="000000"/>
          <w:lang w:eastAsia="cs-CZ"/>
        </w:rPr>
        <w:t>,</w:t>
      </w:r>
      <w:r w:rsidRPr="00402A0A">
        <w:rPr>
          <w:rFonts w:ascii="Arial" w:eastAsia="Calibri" w:hAnsi="Arial" w:cs="Arial"/>
          <w:color w:val="000000"/>
          <w:lang w:eastAsia="cs-CZ"/>
        </w:rPr>
        <w:t xml:space="preserve"> bytový dům, stojící na pozemku </w:t>
      </w:r>
      <w:proofErr w:type="spellStart"/>
      <w:r w:rsidRPr="00402A0A">
        <w:rPr>
          <w:rFonts w:ascii="Arial" w:eastAsia="Calibri" w:hAnsi="Arial" w:cs="Arial"/>
          <w:color w:val="000000"/>
          <w:lang w:eastAsia="cs-CZ"/>
        </w:rPr>
        <w:t>parc</w:t>
      </w:r>
      <w:proofErr w:type="spellEnd"/>
      <w:r w:rsidRPr="00402A0A">
        <w:rPr>
          <w:rFonts w:ascii="Arial" w:eastAsia="Calibri" w:hAnsi="Arial" w:cs="Arial"/>
          <w:color w:val="000000"/>
          <w:lang w:eastAsia="cs-CZ"/>
        </w:rPr>
        <w:t xml:space="preserve">. </w:t>
      </w:r>
      <w:proofErr w:type="gramStart"/>
      <w:r w:rsidRPr="00402A0A">
        <w:rPr>
          <w:rFonts w:ascii="Arial" w:eastAsia="Calibri" w:hAnsi="Arial" w:cs="Arial"/>
          <w:color w:val="000000"/>
          <w:lang w:eastAsia="cs-CZ"/>
        </w:rPr>
        <w:t>č.</w:t>
      </w:r>
      <w:proofErr w:type="gramEnd"/>
      <w:r w:rsidR="00C160FE" w:rsidRPr="00402A0A">
        <w:rPr>
          <w:rFonts w:ascii="Arial" w:eastAsia="Calibri" w:hAnsi="Arial" w:cs="Arial"/>
          <w:color w:val="000000"/>
          <w:lang w:eastAsia="cs-CZ"/>
        </w:rPr>
        <w:t xml:space="preserve"> 1550/3</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1D79CD22" w14:textId="77777777" w:rsidR="007A2E4F" w:rsidRPr="00402A0A" w:rsidRDefault="007A2E4F" w:rsidP="00D31B5D">
      <w:pPr>
        <w:pStyle w:val="Odstavecseseznamem"/>
        <w:jc w:val="both"/>
        <w:rPr>
          <w:rStyle w:val="preformatted"/>
          <w:rFonts w:ascii="Arial" w:hAnsi="Arial" w:cs="Arial"/>
          <w:b/>
          <w:bCs/>
        </w:rPr>
      </w:pP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3A8E6295" w14:textId="77777777" w:rsidR="006A0E06" w:rsidRPr="00703625" w:rsidRDefault="006A0E06" w:rsidP="006A0E06">
      <w:pPr>
        <w:pStyle w:val="Odstavecseseznamem"/>
        <w:jc w:val="both"/>
        <w:rPr>
          <w:rStyle w:val="preformatted"/>
          <w:rFonts w:ascii="Arial" w:hAnsi="Arial" w:cs="Arial"/>
        </w:rPr>
      </w:pP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3DF090FC" w14:textId="5D3C765C" w:rsidR="006A0E06" w:rsidRPr="00703625" w:rsidRDefault="006A0E06"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Přílohou této Dohody je </w:t>
      </w:r>
      <w:r w:rsidR="001516D4" w:rsidRPr="001516D4">
        <w:rPr>
          <w:rFonts w:ascii="Arial" w:eastAsia="Calibri" w:hAnsi="Arial" w:cs="Arial"/>
          <w:color w:val="000000"/>
          <w:lang w:eastAsia="cs-CZ"/>
        </w:rPr>
        <w:t xml:space="preserve">plná moc </w:t>
      </w:r>
      <w:r w:rsidR="001516D4">
        <w:rPr>
          <w:rFonts w:ascii="Arial" w:eastAsia="Calibri" w:hAnsi="Arial" w:cs="Arial"/>
          <w:color w:val="000000"/>
          <w:lang w:eastAsia="cs-CZ"/>
        </w:rPr>
        <w:t xml:space="preserve">zástupce Městské části Praha 3 </w:t>
      </w:r>
      <w:r w:rsidR="001516D4" w:rsidRPr="001516D4">
        <w:rPr>
          <w:rFonts w:ascii="Arial" w:eastAsia="Calibri" w:hAnsi="Arial" w:cs="Arial"/>
          <w:color w:val="000000"/>
          <w:lang w:eastAsia="cs-CZ"/>
        </w:rPr>
        <w:t>ze dne 26.6.2019</w:t>
      </w:r>
      <w:r w:rsidR="001516D4">
        <w:rPr>
          <w:rFonts w:ascii="Arial" w:eastAsia="Calibri" w:hAnsi="Arial" w:cs="Arial"/>
          <w:color w:val="000000"/>
          <w:lang w:eastAsia="cs-CZ"/>
        </w:rPr>
        <w:t>.</w:t>
      </w:r>
      <w:bookmarkEnd w:id="4"/>
    </w:p>
    <w:p w14:paraId="50F6EC43" w14:textId="2B2B680E" w:rsidR="00C160FE" w:rsidRDefault="00C160FE" w:rsidP="006A0E06">
      <w:pPr>
        <w:jc w:val="both"/>
        <w:rPr>
          <w:rFonts w:ascii="Arial" w:hAnsi="Arial" w:cs="Arial"/>
          <w:b/>
          <w:color w:val="333333"/>
          <w:shd w:val="clear" w:color="auto" w:fill="FFFFFF"/>
        </w:rPr>
      </w:pPr>
    </w:p>
    <w:p w14:paraId="2BD2A294" w14:textId="54A85185" w:rsidR="006A0E06" w:rsidRPr="00703625"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Společenství vlastníků jednotek Baranova 10 - Praha 3</w:t>
      </w:r>
    </w:p>
    <w:p w14:paraId="584C3381" w14:textId="77777777" w:rsidR="00032E8D" w:rsidRPr="00703625" w:rsidRDefault="00032E8D" w:rsidP="006A0E06">
      <w:pPr>
        <w:jc w:val="both"/>
        <w:rPr>
          <w:rFonts w:ascii="Arial" w:hAnsi="Arial" w:cs="Arial"/>
        </w:rPr>
      </w:pPr>
    </w:p>
    <w:p w14:paraId="4AB3D23E" w14:textId="77777777"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6F95837D" w14:textId="77777777" w:rsidR="006A0E06" w:rsidRPr="00703625" w:rsidRDefault="006A0E06" w:rsidP="006A0E06">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55E252FC" w14:textId="77777777" w:rsidR="006A0E06"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r w:rsidRPr="00703625">
        <w:rPr>
          <w:rFonts w:ascii="Arial" w:hAnsi="Arial" w:cs="Arial"/>
        </w:rPr>
        <w:tab/>
      </w:r>
      <w:r w:rsidRPr="00703625">
        <w:rPr>
          <w:rFonts w:ascii="Arial" w:hAnsi="Arial" w:cs="Arial"/>
        </w:rPr>
        <w:tab/>
      </w:r>
      <w:r w:rsidRPr="00703625">
        <w:rPr>
          <w:rFonts w:ascii="Arial" w:hAnsi="Arial" w:cs="Arial"/>
        </w:rPr>
        <w:tab/>
      </w:r>
    </w:p>
    <w:p w14:paraId="5DBD55EC" w14:textId="77777777" w:rsidR="003F1045" w:rsidRPr="00703625" w:rsidRDefault="003F1045" w:rsidP="006A0E06">
      <w:pPr>
        <w:jc w:val="both"/>
        <w:rPr>
          <w:rFonts w:ascii="Arial" w:hAnsi="Arial" w:cs="Arial"/>
        </w:rPr>
      </w:pPr>
    </w:p>
    <w:p w14:paraId="37086499" w14:textId="77777777" w:rsidR="006A0E06" w:rsidRPr="00703625" w:rsidRDefault="006A0E06" w:rsidP="006A0E06">
      <w:pPr>
        <w:jc w:val="both"/>
        <w:rPr>
          <w:rFonts w:ascii="Arial" w:hAnsi="Arial" w:cs="Arial"/>
        </w:rPr>
      </w:pPr>
      <w:r w:rsidRPr="00703625">
        <w:rPr>
          <w:rFonts w:ascii="Arial" w:hAnsi="Arial" w:cs="Arial"/>
          <w:b/>
        </w:rPr>
        <w:t>Městská část Praha 3</w:t>
      </w:r>
    </w:p>
    <w:p w14:paraId="489B20B8" w14:textId="77777777" w:rsidR="006A0E06" w:rsidRPr="00703625" w:rsidRDefault="006A0E06" w:rsidP="006A0E06">
      <w:pPr>
        <w:jc w:val="both"/>
        <w:rPr>
          <w:rFonts w:ascii="Arial" w:hAnsi="Arial" w:cs="Arial"/>
        </w:rPr>
      </w:pPr>
      <w:r w:rsidRPr="00703625">
        <w:rPr>
          <w:rFonts w:ascii="Arial" w:hAnsi="Arial" w:cs="Arial"/>
        </w:rPr>
        <w:t>V Praze dne ………………………………………</w:t>
      </w:r>
    </w:p>
    <w:p w14:paraId="6FF4942D" w14:textId="77777777" w:rsidR="003F1045" w:rsidRDefault="003F1045" w:rsidP="003F1045">
      <w:pPr>
        <w:jc w:val="both"/>
        <w:rPr>
          <w:rFonts w:ascii="Arial" w:hAnsi="Arial" w:cs="Arial"/>
          <w:b/>
          <w:color w:val="333333"/>
          <w:shd w:val="clear" w:color="auto" w:fill="FFFFFF"/>
        </w:rPr>
      </w:pPr>
    </w:p>
    <w:p w14:paraId="235620DB" w14:textId="2647FEBA"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605EC601" w14:textId="2EDEF2A0" w:rsidR="003F1045" w:rsidRDefault="003F1045" w:rsidP="003F1045">
      <w:pPr>
        <w:jc w:val="both"/>
        <w:rPr>
          <w:rFonts w:ascii="Arial" w:hAnsi="Arial" w:cs="Arial"/>
          <w:b/>
          <w:color w:val="333333"/>
          <w:shd w:val="clear" w:color="auto" w:fill="FFFFFF"/>
        </w:rPr>
      </w:pPr>
    </w:p>
    <w:p w14:paraId="5FC05F40" w14:textId="77777777" w:rsidR="003F1045" w:rsidRPr="00703625" w:rsidRDefault="003F1045" w:rsidP="003F1045">
      <w:pPr>
        <w:jc w:val="both"/>
        <w:rPr>
          <w:rFonts w:ascii="Arial" w:hAnsi="Arial" w:cs="Arial"/>
        </w:rPr>
      </w:pPr>
      <w:r w:rsidRPr="00703625">
        <w:rPr>
          <w:rFonts w:ascii="Arial" w:hAnsi="Arial" w:cs="Arial"/>
        </w:rPr>
        <w:t>V Praze dne …………………………………….</w:t>
      </w:r>
      <w:r w:rsidRPr="00703625">
        <w:rPr>
          <w:rFonts w:ascii="Arial" w:hAnsi="Arial" w:cs="Arial"/>
        </w:rPr>
        <w:tab/>
      </w: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2C43A188" w:rsidR="003F1045" w:rsidRP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lastRenderedPageBreak/>
        <w:t xml:space="preserve">Doložka dle § 43 odst. 1 zákona č. 131/2000 Sb., o hlavním městě Praze, v platném znění, potvrzující splnění podmínek pro platnost právního jednání městské části Praha 3. Uzavření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ze dne ……č.</w:t>
      </w:r>
      <w:r>
        <w:rPr>
          <w:rFonts w:ascii="Arial" w:hAnsi="Arial" w:cs="Arial"/>
          <w:bCs/>
          <w:color w:val="333333"/>
          <w:shd w:val="clear" w:color="auto" w:fill="FFFFFF"/>
        </w:rPr>
        <w:t xml:space="preserve"> …</w:t>
      </w:r>
      <w:proofErr w:type="gramStart"/>
      <w:r>
        <w:rPr>
          <w:rFonts w:ascii="Arial" w:hAnsi="Arial" w:cs="Arial"/>
          <w:bCs/>
          <w:color w:val="333333"/>
          <w:shd w:val="clear" w:color="auto" w:fill="FFFFFF"/>
        </w:rPr>
        <w:t>…..</w:t>
      </w:r>
      <w:proofErr w:type="gramEnd"/>
    </w:p>
    <w:sectPr w:rsidR="003F1045" w:rsidRPr="003F10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851C3" w14:textId="77777777" w:rsidR="008405DF" w:rsidRDefault="008405DF" w:rsidP="00D46FB3">
      <w:pPr>
        <w:spacing w:after="0" w:line="240" w:lineRule="auto"/>
      </w:pPr>
      <w:r>
        <w:separator/>
      </w:r>
    </w:p>
  </w:endnote>
  <w:endnote w:type="continuationSeparator" w:id="0">
    <w:p w14:paraId="16B0294B" w14:textId="77777777" w:rsidR="008405DF" w:rsidRDefault="008405DF"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55420"/>
      <w:docPartObj>
        <w:docPartGallery w:val="Page Numbers (Bottom of Page)"/>
        <w:docPartUnique/>
      </w:docPartObj>
    </w:sdtPr>
    <w:sdtEndPr>
      <w:rPr>
        <w:rFonts w:ascii="Arial" w:hAnsi="Arial" w:cs="Arial"/>
      </w:rPr>
    </w:sdtEndPr>
    <w:sdtContent>
      <w:p w14:paraId="21015633" w14:textId="77777777"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A463BD">
          <w:rPr>
            <w:rFonts w:ascii="Arial" w:hAnsi="Arial" w:cs="Arial"/>
            <w:noProof/>
          </w:rPr>
          <w:t>1</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EEDE1" w14:textId="77777777" w:rsidR="008405DF" w:rsidRDefault="008405DF" w:rsidP="00D46FB3">
      <w:pPr>
        <w:spacing w:after="0" w:line="240" w:lineRule="auto"/>
      </w:pPr>
      <w:r>
        <w:separator/>
      </w:r>
    </w:p>
  </w:footnote>
  <w:footnote w:type="continuationSeparator" w:id="0">
    <w:p w14:paraId="129F4204" w14:textId="77777777" w:rsidR="008405DF" w:rsidRDefault="008405DF" w:rsidP="00D46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vel Musil">
    <w15:presenceInfo w15:providerId="None" w15:userId="Pavel Musil"/>
  </w15:person>
  <w15:person w15:author="Ing. Zdeněk Katzer | CIS s.r.o.">
    <w15:presenceInfo w15:providerId="AD" w15:userId="S::katzer@cistax.cz::d18501d2-920e-401c-a37f-2ff2e448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06"/>
    <w:rsid w:val="000106CE"/>
    <w:rsid w:val="00017905"/>
    <w:rsid w:val="00032E8D"/>
    <w:rsid w:val="00081610"/>
    <w:rsid w:val="000A6D2D"/>
    <w:rsid w:val="000B7730"/>
    <w:rsid w:val="000C17C0"/>
    <w:rsid w:val="000C3396"/>
    <w:rsid w:val="000C44FC"/>
    <w:rsid w:val="000D7DC7"/>
    <w:rsid w:val="001068C0"/>
    <w:rsid w:val="00111F30"/>
    <w:rsid w:val="00112C62"/>
    <w:rsid w:val="001364EA"/>
    <w:rsid w:val="0015136F"/>
    <w:rsid w:val="001516D4"/>
    <w:rsid w:val="00154AAD"/>
    <w:rsid w:val="00180985"/>
    <w:rsid w:val="00185542"/>
    <w:rsid w:val="00186AA6"/>
    <w:rsid w:val="001914B1"/>
    <w:rsid w:val="001D110D"/>
    <w:rsid w:val="00205AEE"/>
    <w:rsid w:val="00233EA3"/>
    <w:rsid w:val="00254792"/>
    <w:rsid w:val="00254935"/>
    <w:rsid w:val="00281F4A"/>
    <w:rsid w:val="0029582B"/>
    <w:rsid w:val="002B6A1A"/>
    <w:rsid w:val="002D2590"/>
    <w:rsid w:val="00300748"/>
    <w:rsid w:val="00306973"/>
    <w:rsid w:val="00346246"/>
    <w:rsid w:val="00346A2A"/>
    <w:rsid w:val="00381B1B"/>
    <w:rsid w:val="003B2F7A"/>
    <w:rsid w:val="003C594A"/>
    <w:rsid w:val="003F1045"/>
    <w:rsid w:val="00402A0A"/>
    <w:rsid w:val="00454FBB"/>
    <w:rsid w:val="004B14A7"/>
    <w:rsid w:val="004C19B0"/>
    <w:rsid w:val="004C3268"/>
    <w:rsid w:val="004C4916"/>
    <w:rsid w:val="00522120"/>
    <w:rsid w:val="00551902"/>
    <w:rsid w:val="00573BCF"/>
    <w:rsid w:val="005766CF"/>
    <w:rsid w:val="00585424"/>
    <w:rsid w:val="005A3EBE"/>
    <w:rsid w:val="00607971"/>
    <w:rsid w:val="00612C40"/>
    <w:rsid w:val="00655E29"/>
    <w:rsid w:val="00683427"/>
    <w:rsid w:val="006A0E06"/>
    <w:rsid w:val="006A36D3"/>
    <w:rsid w:val="006B2306"/>
    <w:rsid w:val="006C734B"/>
    <w:rsid w:val="006E4888"/>
    <w:rsid w:val="006F535C"/>
    <w:rsid w:val="006F60F9"/>
    <w:rsid w:val="00703625"/>
    <w:rsid w:val="00733425"/>
    <w:rsid w:val="0075328B"/>
    <w:rsid w:val="007A2E4F"/>
    <w:rsid w:val="007A53FB"/>
    <w:rsid w:val="007D42B6"/>
    <w:rsid w:val="007E06D4"/>
    <w:rsid w:val="007E6550"/>
    <w:rsid w:val="007F1624"/>
    <w:rsid w:val="007F7386"/>
    <w:rsid w:val="008207A8"/>
    <w:rsid w:val="008405DF"/>
    <w:rsid w:val="00842F3D"/>
    <w:rsid w:val="0085531E"/>
    <w:rsid w:val="008722C9"/>
    <w:rsid w:val="008D2619"/>
    <w:rsid w:val="008E02B3"/>
    <w:rsid w:val="008F3D03"/>
    <w:rsid w:val="008F4984"/>
    <w:rsid w:val="009141D1"/>
    <w:rsid w:val="00915460"/>
    <w:rsid w:val="00967470"/>
    <w:rsid w:val="00993248"/>
    <w:rsid w:val="0099642B"/>
    <w:rsid w:val="009D6367"/>
    <w:rsid w:val="00A346F4"/>
    <w:rsid w:val="00A40B00"/>
    <w:rsid w:val="00A45FDE"/>
    <w:rsid w:val="00A463BD"/>
    <w:rsid w:val="00AC0B6C"/>
    <w:rsid w:val="00AC4A5E"/>
    <w:rsid w:val="00AF0600"/>
    <w:rsid w:val="00B045CE"/>
    <w:rsid w:val="00B1683E"/>
    <w:rsid w:val="00B17D65"/>
    <w:rsid w:val="00B2210B"/>
    <w:rsid w:val="00B31B45"/>
    <w:rsid w:val="00B50612"/>
    <w:rsid w:val="00B72CA6"/>
    <w:rsid w:val="00BD0605"/>
    <w:rsid w:val="00BF2184"/>
    <w:rsid w:val="00BF7378"/>
    <w:rsid w:val="00C160FE"/>
    <w:rsid w:val="00CC733E"/>
    <w:rsid w:val="00CE1A31"/>
    <w:rsid w:val="00CF10E3"/>
    <w:rsid w:val="00D00ACA"/>
    <w:rsid w:val="00D227BB"/>
    <w:rsid w:val="00D31B5D"/>
    <w:rsid w:val="00D375E6"/>
    <w:rsid w:val="00D46FB3"/>
    <w:rsid w:val="00D518DA"/>
    <w:rsid w:val="00E17629"/>
    <w:rsid w:val="00E71A8C"/>
    <w:rsid w:val="00EE175D"/>
    <w:rsid w:val="00F02A30"/>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3251-1C18-4974-A895-6CE106E9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9134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Pavel Musil</cp:lastModifiedBy>
  <cp:revision>2</cp:revision>
  <dcterms:created xsi:type="dcterms:W3CDTF">2019-12-20T09:13:00Z</dcterms:created>
  <dcterms:modified xsi:type="dcterms:W3CDTF">2019-12-20T09:13:00Z</dcterms:modified>
</cp:coreProperties>
</file>