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0427" w14:textId="77777777" w:rsidR="00267702" w:rsidRDefault="00267702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bookmarkStart w:id="0" w:name="_GoBack"/>
      <w:bookmarkEnd w:id="0"/>
    </w:p>
    <w:p w14:paraId="45B244E1" w14:textId="45C7AF1E" w:rsidR="007C5B27" w:rsidRDefault="0023056B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Dodatek č. 2</w:t>
      </w:r>
      <w:r w:rsidR="007C5B27">
        <w:rPr>
          <w:rFonts w:ascii="Times New Roman" w:eastAsia="Calibri" w:hAnsi="Times New Roman" w:cs="Times New Roman"/>
          <w:b/>
          <w:sz w:val="36"/>
        </w:rPr>
        <w:t xml:space="preserve"> </w:t>
      </w:r>
    </w:p>
    <w:p w14:paraId="6309371D" w14:textId="77777777" w:rsidR="007C5B27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73944965" w14:textId="67AFFB57" w:rsidR="007C5B27" w:rsidRPr="00025F03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711E1B">
        <w:rPr>
          <w:rFonts w:ascii="Times New Roman" w:eastAsia="Calibri" w:hAnsi="Times New Roman" w:cs="Times New Roman"/>
          <w:b/>
          <w:sz w:val="36"/>
        </w:rPr>
        <w:t>15</w:t>
      </w:r>
      <w:r w:rsidR="00AC4249">
        <w:rPr>
          <w:rFonts w:ascii="Times New Roman" w:eastAsia="Calibri" w:hAnsi="Times New Roman" w:cs="Times New Roman"/>
          <w:b/>
          <w:sz w:val="36"/>
        </w:rPr>
        <w:t xml:space="preserve">. </w:t>
      </w:r>
      <w:r w:rsidR="00711E1B">
        <w:rPr>
          <w:rFonts w:ascii="Times New Roman" w:eastAsia="Calibri" w:hAnsi="Times New Roman" w:cs="Times New Roman"/>
          <w:b/>
          <w:sz w:val="36"/>
        </w:rPr>
        <w:t>6</w:t>
      </w:r>
      <w:r w:rsidR="00AC4249">
        <w:rPr>
          <w:rFonts w:ascii="Times New Roman" w:eastAsia="Calibri" w:hAnsi="Times New Roman" w:cs="Times New Roman"/>
          <w:b/>
          <w:sz w:val="36"/>
        </w:rPr>
        <w:t>. 201</w:t>
      </w:r>
      <w:r w:rsidR="00711E1B">
        <w:rPr>
          <w:rFonts w:ascii="Times New Roman" w:eastAsia="Calibri" w:hAnsi="Times New Roman" w:cs="Times New Roman"/>
          <w:b/>
          <w:sz w:val="36"/>
        </w:rPr>
        <w:t>7</w:t>
      </w:r>
    </w:p>
    <w:p w14:paraId="1AD09D2E" w14:textId="77777777" w:rsidR="007C5B27" w:rsidRPr="00025F03" w:rsidRDefault="007C5B27" w:rsidP="007C5B2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502AC05B" w14:textId="77777777" w:rsidR="002E18C7" w:rsidRDefault="007C5B27" w:rsidP="00DE7CD6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 xml:space="preserve">zákona č. 137/2006 Sb., o veřejných zakázkách, ve </w:t>
      </w:r>
      <w:r w:rsidRPr="002E18C7">
        <w:rPr>
          <w:rFonts w:ascii="Times New Roman" w:eastAsia="Calibri" w:hAnsi="Times New Roman" w:cs="Times New Roman"/>
        </w:rPr>
        <w:t>znění</w:t>
      </w:r>
      <w:r w:rsidR="0061463B" w:rsidRPr="00DE7CD6">
        <w:rPr>
          <w:rFonts w:ascii="Times New Roman" w:hAnsi="Times New Roman"/>
        </w:rPr>
        <w:t xml:space="preserve"> účinném přede dnem nabytí účinnosti zákona č. 134/2016 Sb., </w:t>
      </w:r>
      <w:r w:rsidR="0061463B" w:rsidRPr="00DE7CD6">
        <w:rPr>
          <w:rFonts w:ascii="Times New Roman" w:hAnsi="Times New Roman"/>
        </w:rPr>
        <w:br/>
        <w:t>o zadávání veřejných zakázek, ve znění pozdějších předpisů (dále jen „</w:t>
      </w:r>
      <w:r w:rsidR="0061463B" w:rsidRPr="002E18C7">
        <w:rPr>
          <w:rFonts w:ascii="Times New Roman" w:hAnsi="Times New Roman"/>
          <w:i/>
        </w:rPr>
        <w:t>ZZVZ</w:t>
      </w:r>
      <w:r w:rsidR="0061463B" w:rsidRPr="00DE7CD6">
        <w:rPr>
          <w:rFonts w:ascii="Times New Roman" w:hAnsi="Times New Roman"/>
        </w:rPr>
        <w:t>“),</w:t>
      </w:r>
    </w:p>
    <w:p w14:paraId="13224A50" w14:textId="77777777" w:rsidR="007C5B27" w:rsidRPr="00DE7CD6" w:rsidRDefault="0061463B" w:rsidP="00DE7CD6">
      <w:pPr>
        <w:widowControl w:val="0"/>
        <w:spacing w:line="280" w:lineRule="atLeast"/>
        <w:jc w:val="center"/>
        <w:rPr>
          <w:rFonts w:eastAsia="Calibri"/>
          <w:highlight w:val="yellow"/>
        </w:rPr>
      </w:pPr>
      <w:r w:rsidRPr="00DE7CD6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Pr="00DE7CD6">
        <w:rPr>
          <w:rFonts w:ascii="Times New Roman" w:hAnsi="Times New Roman"/>
        </w:rPr>
        <w:t>“)</w:t>
      </w:r>
    </w:p>
    <w:p w14:paraId="25899E14" w14:textId="77777777" w:rsidR="002E18C7" w:rsidRPr="00025F03" w:rsidRDefault="002E18C7" w:rsidP="00DE7CD6">
      <w:pPr>
        <w:pStyle w:val="doplnuchaze"/>
        <w:widowControl w:val="0"/>
        <w:rPr>
          <w:rFonts w:eastAsia="Calibri"/>
          <w:b w:val="0"/>
          <w:highlight w:val="yellow"/>
        </w:rPr>
      </w:pPr>
    </w:p>
    <w:p w14:paraId="2B8235E4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3D5A3063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7FF278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>Česká republika - Ministerstvo práce a sociálních věcí</w:t>
      </w:r>
    </w:p>
    <w:p w14:paraId="229C0630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6A6365A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B955D1">
        <w:rPr>
          <w:rFonts w:ascii="Times New Roman" w:eastAsia="Calibri" w:hAnsi="Times New Roman" w:cs="Times New Roman"/>
        </w:rPr>
        <w:t>právního</w:t>
      </w:r>
      <w:r>
        <w:rPr>
          <w:rFonts w:ascii="Times New Roman" w:eastAsia="Calibri" w:hAnsi="Times New Roman" w:cs="Times New Roman"/>
        </w:rPr>
        <w:t xml:space="preserve"> a veřejných zakázek</w:t>
      </w:r>
    </w:p>
    <w:p w14:paraId="41800F8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68DFCEE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6D109A14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0F3D346" w14:textId="77777777" w:rsidR="007C5B27" w:rsidRPr="00025F03" w:rsidRDefault="007C5B27" w:rsidP="00DE7CD6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14FCEE63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46520A28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45C713A" w14:textId="77777777" w:rsidR="00267702" w:rsidRPr="00025F03" w:rsidRDefault="0026770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70AFF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31B4DCD" w14:textId="77777777" w:rsidR="007C5B27" w:rsidRDefault="007C5B27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849ECA" w14:textId="77777777" w:rsidR="00267702" w:rsidRDefault="00267702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FCCAC2F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kancelář, s.r.o.</w:t>
      </w:r>
    </w:p>
    <w:p w14:paraId="19F66A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Praha 4</w:t>
      </w:r>
    </w:p>
    <w:p w14:paraId="1D5532B8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 w:rsidRPr="00D90115">
        <w:rPr>
          <w:rFonts w:ascii="Times New Roman" w:hAnsi="Times New Roman"/>
        </w:rPr>
        <w:t xml:space="preserve">zastoupená: JUDr. </w:t>
      </w:r>
      <w:r w:rsidR="00D90115" w:rsidRPr="00D90115">
        <w:rPr>
          <w:rFonts w:ascii="Times New Roman" w:hAnsi="Times New Roman"/>
        </w:rPr>
        <w:t>Josefem Donátem</w:t>
      </w:r>
      <w:r w:rsidRPr="00D90115">
        <w:rPr>
          <w:rFonts w:ascii="Times New Roman" w:hAnsi="Times New Roman"/>
        </w:rPr>
        <w:t>, LLM, advokátem a jednatelem</w:t>
      </w:r>
    </w:p>
    <w:p w14:paraId="688790E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284 68 414</w:t>
      </w:r>
    </w:p>
    <w:p w14:paraId="33CF33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CZ28468414</w:t>
      </w:r>
    </w:p>
    <w:p w14:paraId="2EEC35B2" w14:textId="46588DDB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 w:rsidR="007F29F2" w:rsidRPr="000464F9">
        <w:rPr>
          <w:rFonts w:ascii="Times New Roman" w:hAnsi="Times New Roman"/>
          <w:i/>
        </w:rPr>
        <w:t>neveřejný údaj</w:t>
      </w:r>
    </w:p>
    <w:p w14:paraId="36D4C568" w14:textId="1283B9E8" w:rsidR="00AC4249" w:rsidRDefault="00AC4249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7F29F2" w:rsidRPr="000464F9">
        <w:rPr>
          <w:rFonts w:ascii="Times New Roman" w:hAnsi="Times New Roman"/>
          <w:i/>
        </w:rPr>
        <w:t>neveřejný údaj</w:t>
      </w:r>
    </w:p>
    <w:p w14:paraId="1BA5F52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8BAD938" w14:textId="77777777" w:rsidR="00AC4249" w:rsidRPr="00FD3BAF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  <w:b/>
          <w:i/>
        </w:rPr>
      </w:pPr>
      <w:r w:rsidRPr="00FD3BAF">
        <w:rPr>
          <w:rFonts w:ascii="Times New Roman" w:eastAsia="Calibri" w:hAnsi="Times New Roman" w:cs="Times New Roman"/>
          <w:b/>
          <w:i/>
        </w:rPr>
        <w:t>(dále jen „Advokát“)</w:t>
      </w:r>
    </w:p>
    <w:p w14:paraId="432C2371" w14:textId="77777777" w:rsidR="00AC4249" w:rsidRPr="00025F03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straně druhé</w:t>
      </w:r>
    </w:p>
    <w:p w14:paraId="0F5887B0" w14:textId="77777777"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525A120D" w14:textId="77777777"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64734F84" w14:textId="4D3C0F5F" w:rsidR="007C5B27" w:rsidRDefault="002E18C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7C5B27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23056B">
        <w:rPr>
          <w:rFonts w:ascii="Times New Roman" w:eastAsia="Calibri" w:hAnsi="Times New Roman" w:cs="Times New Roman"/>
        </w:rPr>
        <w:t>2</w:t>
      </w:r>
      <w:r w:rsidR="007C5B27">
        <w:rPr>
          <w:rFonts w:ascii="Times New Roman" w:eastAsia="Calibri" w:hAnsi="Times New Roman" w:cs="Times New Roman"/>
        </w:rPr>
        <w:t xml:space="preserve"> k</w:t>
      </w:r>
      <w:r>
        <w:rPr>
          <w:rFonts w:ascii="Times New Roman" w:eastAsia="Calibri" w:hAnsi="Times New Roman" w:cs="Times New Roman"/>
        </w:rPr>
        <w:t> Dílčí smlouvě</w:t>
      </w:r>
      <w:r w:rsidR="00AC4249" w:rsidRPr="00025F03">
        <w:rPr>
          <w:rFonts w:ascii="Times New Roman" w:eastAsia="Calibri" w:hAnsi="Times New Roman" w:cs="Times New Roman"/>
          <w:szCs w:val="20"/>
        </w:rPr>
        <w:t xml:space="preserve"> </w:t>
      </w:r>
      <w:r w:rsidR="007C5B27">
        <w:rPr>
          <w:rFonts w:ascii="Times New Roman" w:eastAsia="Calibri" w:hAnsi="Times New Roman" w:cs="Times New Roman"/>
        </w:rPr>
        <w:t>(dále jen „Dodatek“)</w:t>
      </w:r>
    </w:p>
    <w:p w14:paraId="36BE7024" w14:textId="77777777" w:rsidR="007C5B27" w:rsidRDefault="007C5B2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2E0F237" w14:textId="77777777" w:rsidR="007C5B27" w:rsidRDefault="007C5B27" w:rsidP="007C5B2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4AB8F95A" w14:textId="77777777" w:rsidR="007C5B27" w:rsidRDefault="007C5B27" w:rsidP="00DE7CD6">
      <w:pPr>
        <w:keepNext/>
        <w:keepLines/>
        <w:suppressLineNumbers/>
        <w:suppressAutoHyphens/>
        <w:spacing w:before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3542D593" w14:textId="77777777" w:rsidR="007C5B27" w:rsidRDefault="007C5B27" w:rsidP="004D1286">
      <w:pPr>
        <w:keepNext/>
        <w:keepLines/>
        <w:suppressLineNumbers/>
        <w:suppressAutoHyphens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63552259" w14:textId="2D068588" w:rsidR="00784273" w:rsidRPr="003041F3" w:rsidRDefault="007C5B27" w:rsidP="004D1286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15. 6. 2017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v souladu s ustanovením § 89 odst. 6 písm. a) zákona </w:t>
      </w:r>
      <w:r w:rsidR="00DE7CD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br/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č. 137/2006 Sb., o veřejných zakázkách, </w:t>
      </w:r>
      <w:r w:rsidR="002E18C7" w:rsidRPr="00025F03">
        <w:rPr>
          <w:rFonts w:ascii="Times New Roman" w:eastAsia="Calibri" w:hAnsi="Times New Roman" w:cs="Times New Roman"/>
        </w:rPr>
        <w:t xml:space="preserve">ve </w:t>
      </w:r>
      <w:r w:rsidR="002E18C7" w:rsidRPr="002E18C7">
        <w:rPr>
          <w:rFonts w:ascii="Times New Roman" w:eastAsia="Calibri" w:hAnsi="Times New Roman" w:cs="Times New Roman"/>
        </w:rPr>
        <w:t xml:space="preserve">znění </w:t>
      </w:r>
      <w:r w:rsidR="002E18C7" w:rsidRPr="00134DD4">
        <w:rPr>
          <w:rFonts w:ascii="Times New Roman" w:hAnsi="Times New Roman"/>
        </w:rPr>
        <w:t>účinném přede dnem nabytí účinnosti</w:t>
      </w:r>
      <w:r w:rsidR="002E18C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8235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smlouvu, na základě které je Advokát povinen poskytovat Objednateli právní služby </w:t>
      </w:r>
      <w:r w:rsidR="0078427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spočívající v </w:t>
      </w:r>
      <w:r w:rsidR="00784273" w:rsidRPr="00784273">
        <w:rPr>
          <w:rFonts w:ascii="Times New Roman" w:hAnsi="Times New Roman"/>
        </w:rPr>
        <w:t>zajištění fakultativní externí právní podpory ve vybraných právních oblastech v </w:t>
      </w:r>
      <w:r w:rsidR="00784273" w:rsidRPr="00784273">
        <w:rPr>
          <w:rFonts w:ascii="Times New Roman" w:hAnsi="Times New Roman"/>
          <w:szCs w:val="20"/>
        </w:rPr>
        <w:t>rozsahu max. 4000 hodin, zejména v</w:t>
      </w:r>
      <w:r w:rsidR="00784273">
        <w:rPr>
          <w:rFonts w:ascii="Times New Roman" w:hAnsi="Times New Roman"/>
          <w:szCs w:val="20"/>
        </w:rPr>
        <w:t> </w:t>
      </w:r>
      <w:r w:rsidR="00784273" w:rsidRPr="00784273">
        <w:rPr>
          <w:rFonts w:ascii="Times New Roman" w:hAnsi="Times New Roman"/>
          <w:szCs w:val="20"/>
        </w:rPr>
        <w:t>oblasti</w:t>
      </w:r>
      <w:r w:rsidR="00784273">
        <w:rPr>
          <w:rFonts w:ascii="Times New Roman" w:hAnsi="Times New Roman"/>
          <w:szCs w:val="20"/>
        </w:rPr>
        <w:t xml:space="preserve"> </w:t>
      </w:r>
      <w:r w:rsidR="00784273" w:rsidRPr="00784273">
        <w:rPr>
          <w:rFonts w:ascii="Times New Roman" w:hAnsi="Times New Roman"/>
          <w:szCs w:val="20"/>
        </w:rPr>
        <w:t xml:space="preserve">zákona č. 234/2014 Sb., o státní službě; zákona č. 106/1999 Sb., o svobodném přístupu k informacím; </w:t>
      </w:r>
      <w:r w:rsidR="00784273" w:rsidRPr="00784273">
        <w:rPr>
          <w:rFonts w:ascii="Times New Roman" w:hAnsi="Times New Roman"/>
        </w:rPr>
        <w:t>zákona č. 101/2000 Sb., o ochraně osobních ú</w:t>
      </w:r>
      <w:r w:rsidR="00784273">
        <w:rPr>
          <w:rFonts w:ascii="Times New Roman" w:hAnsi="Times New Roman"/>
        </w:rPr>
        <w:t xml:space="preserve">dajů a o změně některých zákonů a </w:t>
      </w:r>
      <w:r w:rsidR="00784273" w:rsidRPr="00784273">
        <w:rPr>
          <w:rFonts w:ascii="Times New Roman" w:hAnsi="Times New Roman"/>
        </w:rPr>
        <w:t>zákona č. 500/2004 Sb., správní řád.</w:t>
      </w:r>
    </w:p>
    <w:p w14:paraId="6E3D8580" w14:textId="77777777" w:rsidR="003041F3" w:rsidRPr="0023056B" w:rsidRDefault="003041F3" w:rsidP="003041F3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392E8D6" w14:textId="381371BD" w:rsidR="0023056B" w:rsidRPr="00784273" w:rsidRDefault="0023056B" w:rsidP="00784273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 w:rsidR="00D46A2C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10. 12. 2018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uzavřely smluvní strany Dodatek č. 1 k výše uvedené Dílčí smlouvě, kterým </w:t>
      </w:r>
      <w:r w:rsidR="003041F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došlo k úpravě čl. IV. odst. 4.1 Dílčí smlouvy.</w:t>
      </w:r>
    </w:p>
    <w:p w14:paraId="389CEDCA" w14:textId="77777777" w:rsidR="006317B8" w:rsidRDefault="006317B8" w:rsidP="00FD3BAF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75B3872" w14:textId="177D5FFC" w:rsidR="006317B8" w:rsidRDefault="006317B8" w:rsidP="006317B8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</w:t>
      </w:r>
      <w:r w:rsidR="003041F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nebylo dosud </w:t>
      </w:r>
      <w:r w:rsidR="003041F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stále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ukončeno, neboť nedošlo ke skončení její účinnosti v souladu s ustanovením čl. IV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3041F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3F500460" w14:textId="77777777" w:rsidR="007C5B27" w:rsidRPr="005315D1" w:rsidRDefault="007C5B27" w:rsidP="007C5B27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BC4AD31" w14:textId="169007B0" w:rsidR="007C5B27" w:rsidRPr="005315D1" w:rsidRDefault="007C5B27" w:rsidP="007C5B2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čerpání právních služeb dle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3041F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B95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se smluvní strany</w:t>
      </w:r>
      <w:r w:rsidR="00B95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dohodly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na prodloužení účinnosti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3041F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 to způsobem uvedeným dále v tomto Dodatku.</w:t>
      </w:r>
    </w:p>
    <w:p w14:paraId="43351FB2" w14:textId="77777777" w:rsidR="007C5B27" w:rsidRDefault="007C5B27" w:rsidP="00DE7CD6">
      <w:pPr>
        <w:keepNext/>
        <w:keepLines/>
        <w:suppressLineNumbers/>
        <w:suppressAutoHyphens/>
        <w:spacing w:before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680DC2E8" w14:textId="77777777" w:rsidR="007C5B27" w:rsidRDefault="007C5B27" w:rsidP="004D1286">
      <w:pPr>
        <w:keepNext/>
        <w:keepLines/>
        <w:suppressLineNumbers/>
        <w:suppressAutoHyphens/>
        <w:spacing w:after="1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72FB36EA" w14:textId="77777777" w:rsidR="007C5B27" w:rsidRDefault="007C5B27" w:rsidP="007C5B27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2E18C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A7699C8" w14:textId="77777777" w:rsidR="007C5B27" w:rsidRDefault="007C5B27" w:rsidP="007C5B27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22F6615A" w14:textId="14A9DF98" w:rsidR="007C5B27" w:rsidRDefault="007C5B27" w:rsidP="007C5B27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 xml:space="preserve">Tato Dílčí smlouva se uzavírá na dobu určitou, a to do </w:t>
      </w:r>
      <w:r w:rsidRPr="00DE7CD6">
        <w:rPr>
          <w:rFonts w:ascii="Times New Roman" w:eastAsia="Calibri" w:hAnsi="Times New Roman" w:cs="Times New Roman"/>
          <w:b/>
          <w:i/>
        </w:rPr>
        <w:t xml:space="preserve">31. 12. </w:t>
      </w:r>
      <w:r w:rsidR="003041F3">
        <w:rPr>
          <w:rFonts w:ascii="Times New Roman" w:eastAsia="Calibri" w:hAnsi="Times New Roman" w:cs="Times New Roman"/>
          <w:b/>
          <w:i/>
        </w:rPr>
        <w:t>2020</w:t>
      </w:r>
      <w:r w:rsidR="006317B8" w:rsidRPr="00FD3BAF">
        <w:rPr>
          <w:rFonts w:ascii="Times New Roman" w:hAnsi="Times New Roman"/>
          <w:i/>
          <w:color w:val="000000"/>
        </w:rPr>
        <w:t xml:space="preserve">, případně do vyčerpání max. rozsahu </w:t>
      </w:r>
      <w:r w:rsidR="00784273">
        <w:rPr>
          <w:rFonts w:ascii="Times New Roman" w:hAnsi="Times New Roman"/>
          <w:i/>
          <w:color w:val="000000"/>
        </w:rPr>
        <w:t>4</w:t>
      </w:r>
      <w:r w:rsidR="006317B8" w:rsidRPr="00FD3BAF">
        <w:rPr>
          <w:rFonts w:ascii="Times New Roman" w:hAnsi="Times New Roman"/>
          <w:i/>
          <w:color w:val="000000"/>
        </w:rPr>
        <w:t>000 hodin</w:t>
      </w:r>
      <w:r w:rsidR="006317B8" w:rsidRPr="00FD3BAF">
        <w:rPr>
          <w:rFonts w:ascii="Times New Roman" w:hAnsi="Times New Roman"/>
          <w:i/>
        </w:rPr>
        <w:t xml:space="preserve"> dojde-li k vyčerpání tohoto limitu dříve</w:t>
      </w:r>
      <w:r w:rsidRPr="006317B8">
        <w:rPr>
          <w:rFonts w:ascii="Times New Roman" w:eastAsia="Calibri" w:hAnsi="Times New Roman" w:cs="Times New Roman"/>
          <w:i/>
        </w:rPr>
        <w:t>.</w:t>
      </w:r>
      <w:r>
        <w:rPr>
          <w:rFonts w:ascii="Times New Roman" w:eastAsia="Calibri" w:hAnsi="Times New Roman" w:cs="Times New Roman"/>
          <w:i/>
        </w:rPr>
        <w:t xml:space="preserve"> Právní služby budou poskytovány v termínech stanovených Objednatelem.</w:t>
      </w:r>
    </w:p>
    <w:p w14:paraId="13E7A78F" w14:textId="77777777" w:rsidR="007C5B27" w:rsidRPr="00025F03" w:rsidRDefault="007C5B27" w:rsidP="00DE7CD6">
      <w:pPr>
        <w:keepNext/>
        <w:keepLines/>
        <w:suppressLineNumbers/>
        <w:suppressAutoHyphens/>
        <w:spacing w:before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3913C874" w14:textId="77777777" w:rsidR="007C5B27" w:rsidRPr="00025F03" w:rsidRDefault="007C5B27" w:rsidP="004D1286">
      <w:pPr>
        <w:keepNext/>
        <w:keepLines/>
        <w:suppressLineNumbers/>
        <w:suppressAutoHyphens/>
        <w:spacing w:after="12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160B9B41" w14:textId="502AEB9E" w:rsidR="007C5B27" w:rsidRDefault="007C5B27" w:rsidP="004D1286">
      <w:pPr>
        <w:pStyle w:val="Odstavecseseznamem"/>
        <w:keepNext/>
        <w:keepLines/>
        <w:numPr>
          <w:ilvl w:val="1"/>
          <w:numId w:val="1"/>
        </w:numPr>
        <w:suppressLineNumbers/>
        <w:tabs>
          <w:tab w:val="left" w:pos="0"/>
        </w:tabs>
        <w:suppressAutoHyphens/>
        <w:spacing w:before="12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3041F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Tento Dodatek </w:t>
      </w:r>
      <w:r w:rsidR="003041F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 uzavřen elektronicky.</w:t>
      </w:r>
    </w:p>
    <w:p w14:paraId="199DF3CD" w14:textId="77777777" w:rsidR="003041F3" w:rsidRPr="003041F3" w:rsidRDefault="003041F3" w:rsidP="003041F3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4D917821" w14:textId="57817507" w:rsidR="00267702" w:rsidRPr="00496EA8" w:rsidRDefault="007C5B27" w:rsidP="00496EA8">
      <w:pPr>
        <w:pStyle w:val="Odstavecseseznamem"/>
        <w:widowControl w:val="0"/>
        <w:numPr>
          <w:ilvl w:val="1"/>
          <w:numId w:val="1"/>
        </w:numPr>
        <w:tabs>
          <w:tab w:val="left" w:pos="0"/>
        </w:tabs>
        <w:spacing w:before="24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tbl>
      <w:tblPr>
        <w:tblStyle w:val="Mkatabulky"/>
        <w:tblpPr w:leftFromText="141" w:rightFromText="141" w:vertAnchor="text" w:horzAnchor="margin" w:tblpY="257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67702" w14:paraId="45E6C86C" w14:textId="77777777" w:rsidTr="00134DD4">
        <w:tc>
          <w:tcPr>
            <w:tcW w:w="4605" w:type="dxa"/>
          </w:tcPr>
          <w:p w14:paraId="60BA67DF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6A2FC6B4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267702" w14:paraId="015743A6" w14:textId="77777777" w:rsidTr="00134DD4">
        <w:tc>
          <w:tcPr>
            <w:tcW w:w="4605" w:type="dxa"/>
          </w:tcPr>
          <w:p w14:paraId="411788B4" w14:textId="126608CC" w:rsidR="00267702" w:rsidRPr="00423B93" w:rsidRDefault="00267702" w:rsidP="003041F3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3041F3">
              <w:rPr>
                <w:rFonts w:ascii="Times New Roman" w:hAnsi="Times New Roman"/>
              </w:rPr>
              <w:t>dle elektronického podpisu</w:t>
            </w:r>
          </w:p>
        </w:tc>
        <w:tc>
          <w:tcPr>
            <w:tcW w:w="4605" w:type="dxa"/>
          </w:tcPr>
          <w:p w14:paraId="52A7904A" w14:textId="2F376E82" w:rsidR="00267702" w:rsidRPr="00423B93" w:rsidRDefault="00267702" w:rsidP="003041F3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3041F3">
              <w:rPr>
                <w:rFonts w:ascii="Times New Roman" w:hAnsi="Times New Roman"/>
              </w:rPr>
              <w:t>dle elektronického podpisu</w:t>
            </w:r>
          </w:p>
        </w:tc>
      </w:tr>
      <w:tr w:rsidR="00267702" w14:paraId="6EDED6E3" w14:textId="77777777" w:rsidTr="00134DD4">
        <w:tc>
          <w:tcPr>
            <w:tcW w:w="4605" w:type="dxa"/>
          </w:tcPr>
          <w:p w14:paraId="0BCAE5D7" w14:textId="728910A6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F50B5E8" w14:textId="77777777" w:rsidR="00496EA8" w:rsidRDefault="00496EA8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6447250" w14:textId="77777777" w:rsidR="003041F3" w:rsidRDefault="003041F3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C8D4AA0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2374A047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C3582D6" w14:textId="77777777" w:rsidR="00267702" w:rsidRPr="00423B93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3BE923C9" w14:textId="77777777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právního </w:t>
            </w:r>
          </w:p>
          <w:p w14:paraId="7A0E99E7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1D33227D" w14:textId="3647845A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0AD3CF8" w14:textId="20FC0CEA" w:rsidR="003041F3" w:rsidRDefault="003041F3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08829A1" w14:textId="77777777" w:rsidR="00496EA8" w:rsidRDefault="00496EA8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DD99F5C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10C35016" w14:textId="77777777" w:rsidR="00267702" w:rsidRDefault="00267702" w:rsidP="004864A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14:paraId="2FE4104B" w14:textId="77777777" w:rsidR="00267702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D90115">
              <w:rPr>
                <w:rFonts w:ascii="Times New Roman" w:hAnsi="Times New Roman"/>
                <w:bCs/>
                <w:iCs/>
              </w:rPr>
              <w:t xml:space="preserve">JUDr. </w:t>
            </w:r>
            <w:r w:rsidR="00D90115" w:rsidRPr="00D90115">
              <w:rPr>
                <w:rFonts w:ascii="Times New Roman" w:hAnsi="Times New Roman"/>
                <w:bCs/>
                <w:iCs/>
              </w:rPr>
              <w:t>Josefem Donátem</w:t>
            </w:r>
            <w:r w:rsidRPr="00D90115">
              <w:rPr>
                <w:rFonts w:ascii="Times New Roman" w:hAnsi="Times New Roman"/>
                <w:bCs/>
                <w:iCs/>
              </w:rPr>
              <w:t>, LL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M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,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5B51DED7" w14:textId="77777777" w:rsidR="00267702" w:rsidRPr="00423B93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14:paraId="2FA778CD" w14:textId="77777777" w:rsidR="007C5B27" w:rsidRDefault="007C5B27" w:rsidP="007C5B27">
      <w:pPr>
        <w:keepNext/>
        <w:keepLines/>
        <w:suppressLineNumbers/>
        <w:suppressAutoHyphens/>
      </w:pPr>
    </w:p>
    <w:p w14:paraId="46D22704" w14:textId="77777777" w:rsidR="00AC4249" w:rsidRDefault="00AC4249"/>
    <w:sectPr w:rsidR="00AC4249" w:rsidSect="00DE7CD6">
      <w:footerReference w:type="default" r:id="rId7"/>
      <w:headerReference w:type="first" r:id="rId8"/>
      <w:pgSz w:w="11906" w:h="16838"/>
      <w:pgMar w:top="1242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EFF65" w14:textId="77777777" w:rsidR="00AC4249" w:rsidRDefault="00AC4249">
      <w:r>
        <w:separator/>
      </w:r>
    </w:p>
  </w:endnote>
  <w:endnote w:type="continuationSeparator" w:id="0">
    <w:p w14:paraId="41463954" w14:textId="77777777" w:rsidR="00AC4249" w:rsidRDefault="00AC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4FAFD1" w14:textId="77777777" w:rsidR="00AC4249" w:rsidRDefault="00AC4249" w:rsidP="00AC4249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0418CCDB" w14:textId="6578A726" w:rsidR="00AC4249" w:rsidRPr="00CE0547" w:rsidRDefault="00AC4249" w:rsidP="00AC4249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333919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333919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6779E90" w14:textId="77777777" w:rsidR="00AC4249" w:rsidRPr="000B7516" w:rsidRDefault="00333919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760ACC35" w14:textId="77777777" w:rsidR="00AC4249" w:rsidRDefault="00AC4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CEAFC" w14:textId="77777777" w:rsidR="00AC4249" w:rsidRDefault="00AC4249">
      <w:r>
        <w:separator/>
      </w:r>
    </w:p>
  </w:footnote>
  <w:footnote w:type="continuationSeparator" w:id="0">
    <w:p w14:paraId="14240B49" w14:textId="77777777" w:rsidR="00AC4249" w:rsidRDefault="00AC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1215" w14:textId="3A8F1037" w:rsidR="0061463B" w:rsidRDefault="0023056B" w:rsidP="0061463B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>Dodatek č. 2</w:t>
    </w:r>
  </w:p>
  <w:p w14:paraId="6CADA2DE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>Uzavření rámcové smlouvy na poskytování právních služeb pro MPSV – 2. část</w:t>
    </w:r>
  </w:p>
  <w:p w14:paraId="5C4E066C" w14:textId="1AAA06B0" w:rsidR="0061463B" w:rsidRPr="00DE7CD6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20"/>
      </w:rPr>
    </w:pPr>
    <w:r>
      <w:rPr>
        <w:rFonts w:ascii="Times New Roman" w:hAnsi="Times New Roman"/>
        <w:i/>
        <w:sz w:val="16"/>
        <w:szCs w:val="16"/>
      </w:rPr>
      <w:t xml:space="preserve">Minitendr  </w:t>
    </w:r>
    <w:r w:rsidRPr="002E18C7">
      <w:rPr>
        <w:rFonts w:ascii="Times New Roman" w:hAnsi="Times New Roman"/>
        <w:i/>
        <w:sz w:val="16"/>
        <w:szCs w:val="16"/>
      </w:rPr>
      <w:t xml:space="preserve">- </w:t>
    </w:r>
    <w:r w:rsidRPr="00DE7CD6">
      <w:rPr>
        <w:rFonts w:ascii="Times New Roman" w:hAnsi="Times New Roman"/>
        <w:bCs/>
        <w:i/>
        <w:sz w:val="16"/>
        <w:szCs w:val="20"/>
      </w:rPr>
      <w:t>„</w:t>
    </w:r>
    <w:r w:rsidR="00784273" w:rsidRPr="00E249E5">
      <w:rPr>
        <w:rFonts w:ascii="Times New Roman" w:hAnsi="Times New Roman"/>
        <w:bCs/>
        <w:sz w:val="16"/>
        <w:szCs w:val="20"/>
      </w:rPr>
      <w:t>Zajištění fakultativní externí právní podpory ve vybraných právních oblastech</w:t>
    </w:r>
    <w:r w:rsidR="00784273">
      <w:rPr>
        <w:rFonts w:ascii="Times New Roman" w:hAnsi="Times New Roman"/>
        <w:bCs/>
        <w:sz w:val="16"/>
        <w:szCs w:val="20"/>
      </w:rPr>
      <w:t xml:space="preserve"> (2017, II.)</w:t>
    </w:r>
    <w:r w:rsidRPr="00DE7CD6">
      <w:rPr>
        <w:rFonts w:ascii="Times New Roman" w:hAnsi="Times New Roman"/>
        <w:bCs/>
        <w:i/>
        <w:sz w:val="16"/>
        <w:szCs w:val="20"/>
      </w:rPr>
      <w:t>“</w:t>
    </w:r>
  </w:p>
  <w:p w14:paraId="38594D1A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</w:p>
  <w:p w14:paraId="54EFBF8D" w14:textId="77777777" w:rsidR="0061463B" w:rsidRDefault="00614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48942843"/>
    <w:multiLevelType w:val="hybridMultilevel"/>
    <w:tmpl w:val="9E0A6D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27"/>
    <w:rsid w:val="0007499D"/>
    <w:rsid w:val="00075536"/>
    <w:rsid w:val="000E7830"/>
    <w:rsid w:val="0023056B"/>
    <w:rsid w:val="00253A85"/>
    <w:rsid w:val="00267702"/>
    <w:rsid w:val="00290B54"/>
    <w:rsid w:val="002A26FA"/>
    <w:rsid w:val="002E18C7"/>
    <w:rsid w:val="003041F3"/>
    <w:rsid w:val="00333919"/>
    <w:rsid w:val="004864A8"/>
    <w:rsid w:val="00496EA8"/>
    <w:rsid w:val="004D1286"/>
    <w:rsid w:val="0061463B"/>
    <w:rsid w:val="006317B8"/>
    <w:rsid w:val="00711E1B"/>
    <w:rsid w:val="00784273"/>
    <w:rsid w:val="007C5B27"/>
    <w:rsid w:val="007F29F2"/>
    <w:rsid w:val="0082354D"/>
    <w:rsid w:val="009A57E0"/>
    <w:rsid w:val="00AC4249"/>
    <w:rsid w:val="00B32C11"/>
    <w:rsid w:val="00B955D1"/>
    <w:rsid w:val="00BA7022"/>
    <w:rsid w:val="00D46A2C"/>
    <w:rsid w:val="00D90115"/>
    <w:rsid w:val="00DE7CD6"/>
    <w:rsid w:val="00E26674"/>
    <w:rsid w:val="00F65BC0"/>
    <w:rsid w:val="00FC4CD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C0BC16"/>
  <w15:docId w15:val="{6E0F2947-D452-47F4-80C8-40BC23A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317B8"/>
    <w:pPr>
      <w:keepNext/>
      <w:numPr>
        <w:numId w:val="3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6317B8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6317B8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17B8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17B8"/>
    <w:pPr>
      <w:numPr>
        <w:ilvl w:val="4"/>
        <w:numId w:val="3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17B8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17B8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17B8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17B8"/>
    <w:pPr>
      <w:numPr>
        <w:ilvl w:val="8"/>
        <w:numId w:val="3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317B8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6317B8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6317B8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17B8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317B8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317B8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317B8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317B8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317B8"/>
    <w:rPr>
      <w:rFonts w:ascii="Arial" w:eastAsia="Calibri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6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2992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Strnadová Jana (MPSV)</cp:lastModifiedBy>
  <cp:revision>2</cp:revision>
  <dcterms:created xsi:type="dcterms:W3CDTF">2019-12-20T08:44:00Z</dcterms:created>
  <dcterms:modified xsi:type="dcterms:W3CDTF">2019-12-20T08:44:00Z</dcterms:modified>
</cp:coreProperties>
</file>