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5C" w:rsidRDefault="009A4C01">
      <w:pPr>
        <w:jc w:val="center"/>
        <w:rPr>
          <w:b/>
          <w:bCs/>
          <w:sz w:val="32"/>
          <w:szCs w:val="32"/>
        </w:rPr>
      </w:pPr>
      <w:bookmarkStart w:id="0" w:name="_GoBack"/>
      <w:bookmarkEnd w:id="0"/>
      <w:r>
        <w:rPr>
          <w:noProof/>
          <w:lang w:eastAsia="cs-CZ"/>
        </w:rPr>
        <w:drawing>
          <wp:anchor distT="0" distB="0" distL="114300" distR="114300" simplePos="0" relativeHeight="11" behindDoc="1" locked="0" layoutInCell="1" allowOverlap="1">
            <wp:simplePos x="0" y="0"/>
            <wp:positionH relativeFrom="column">
              <wp:posOffset>27305</wp:posOffset>
            </wp:positionH>
            <wp:positionV relativeFrom="paragraph">
              <wp:posOffset>-557530</wp:posOffset>
            </wp:positionV>
            <wp:extent cx="5760720" cy="372110"/>
            <wp:effectExtent l="0" t="0" r="0" b="0"/>
            <wp:wrapSquare wrapText="bothSides"/>
            <wp:docPr id="1"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pic:cNvPicPr>
                      <a:picLocks noChangeAspect="1" noChangeArrowheads="1"/>
                    </pic:cNvPicPr>
                  </pic:nvPicPr>
                  <pic:blipFill>
                    <a:blip r:embed="rId7"/>
                    <a:stretch>
                      <a:fillRect/>
                    </a:stretch>
                  </pic:blipFill>
                  <pic:spPr bwMode="auto">
                    <a:xfrm>
                      <a:off x="0" y="0"/>
                      <a:ext cx="5760720" cy="372110"/>
                    </a:xfrm>
                    <a:prstGeom prst="rect">
                      <a:avLst/>
                    </a:prstGeom>
                  </pic:spPr>
                </pic:pic>
              </a:graphicData>
            </a:graphic>
          </wp:anchor>
        </w:drawing>
      </w:r>
      <w:r>
        <w:rPr>
          <w:rFonts w:ascii="TeXGyreAdventor" w:hAnsi="TeXGyreAdventor"/>
          <w:b/>
          <w:bCs/>
          <w:sz w:val="22"/>
          <w:szCs w:val="22"/>
        </w:rPr>
        <w:t>KUPNÍ SMLOUVA</w:t>
      </w:r>
    </w:p>
    <w:p w:rsidR="0002205C" w:rsidRDefault="009A4C01">
      <w:pPr>
        <w:pStyle w:val="Nadpis1"/>
        <w:jc w:val="center"/>
        <w:rPr>
          <w:sz w:val="22"/>
          <w:szCs w:val="22"/>
        </w:rPr>
      </w:pPr>
      <w:r>
        <w:rPr>
          <w:rFonts w:ascii="TeXGyreAdventor" w:hAnsi="TeXGyreAdventor"/>
          <w:sz w:val="22"/>
          <w:szCs w:val="22"/>
        </w:rPr>
        <w:t>ev. číslo kupujícího: …………..</w:t>
      </w:r>
    </w:p>
    <w:p w:rsidR="0002205C" w:rsidRDefault="009A4C01">
      <w:pPr>
        <w:jc w:val="center"/>
        <w:rPr>
          <w:sz w:val="22"/>
          <w:szCs w:val="22"/>
        </w:rPr>
      </w:pPr>
      <w:r>
        <w:rPr>
          <w:rFonts w:ascii="TeXGyreAdventor" w:hAnsi="TeXGyreAdventor"/>
          <w:sz w:val="22"/>
          <w:szCs w:val="22"/>
        </w:rPr>
        <w:t>ev. číslo prodávajícího: …………..</w:t>
      </w:r>
    </w:p>
    <w:p w:rsidR="0002205C" w:rsidRDefault="009A4C01">
      <w:pPr>
        <w:tabs>
          <w:tab w:val="left" w:pos="0"/>
        </w:tabs>
        <w:jc w:val="center"/>
        <w:rPr>
          <w:sz w:val="22"/>
          <w:szCs w:val="22"/>
        </w:rPr>
      </w:pPr>
      <w:r>
        <w:rPr>
          <w:rFonts w:ascii="TeXGyreAdventor" w:hAnsi="TeXGyreAdventor"/>
          <w:sz w:val="22"/>
          <w:szCs w:val="22"/>
        </w:rPr>
        <w:t>níže uvedené smluvní strany uzavírají tuto kupní smlouvy (dále jen „smlouva“) dle § 2079 a  násl. zákona č. 89/2012 Sb., občanského zákoníku, ve znění pozdějších předpisů a v souladu se zákonem č. 134/2016 Sb., o zadávání veřejných zakázek, v platném znění (dále jen „zákon“ nebo „ZZVZ“)</w:t>
      </w:r>
    </w:p>
    <w:p w:rsidR="0002205C" w:rsidRDefault="009A4C01">
      <w:pPr>
        <w:jc w:val="center"/>
        <w:rPr>
          <w:sz w:val="22"/>
          <w:szCs w:val="22"/>
        </w:rPr>
      </w:pPr>
      <w:r>
        <w:rPr>
          <w:noProof/>
          <w:lang w:eastAsia="cs-CZ"/>
        </w:rPr>
        <mc:AlternateContent>
          <mc:Choice Requires="wps">
            <w:drawing>
              <wp:inline distT="0" distB="0" distL="0" distR="0">
                <wp:extent cx="3175" cy="21590"/>
                <wp:effectExtent l="0" t="0" r="0" b="0"/>
                <wp:docPr id="2" name="Obdélník 2"/>
                <wp:cNvGraphicFramePr/>
                <a:graphic xmlns:a="http://schemas.openxmlformats.org/drawingml/2006/main">
                  <a:graphicData uri="http://schemas.microsoft.com/office/word/2010/wordprocessingShape">
                    <wps:wsp>
                      <wps:cNvSpPr/>
                      <wps:spPr>
                        <a:xfrm>
                          <a:off x="0" y="0"/>
                          <a:ext cx="2520" cy="2088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F0BF091" id="Obdélník 2" o:spid="_x0000_s1026" style="width:.2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" fillcolor="#a0a0a0" stroked="f">
                <w10:anchorlock/>
              </v:rect>
            </w:pict>
          </mc:Fallback>
        </mc:AlternateContent>
      </w:r>
    </w:p>
    <w:p w:rsidR="0002205C" w:rsidRDefault="009A4C01">
      <w:pPr>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Účastníci smlouvy</w:t>
      </w:r>
    </w:p>
    <w:p w:rsidR="0002205C" w:rsidRDefault="0002205C">
      <w:pPr>
        <w:ind w:right="-851"/>
        <w:jc w:val="both"/>
        <w:rPr>
          <w:rFonts w:ascii="TeXGyreAdventor" w:hAnsi="TeXGyreAdventor"/>
          <w:b/>
          <w:bCs/>
          <w:sz w:val="22"/>
          <w:szCs w:val="22"/>
          <w:u w:val="single"/>
        </w:rPr>
      </w:pPr>
    </w:p>
    <w:p w:rsidR="0002205C" w:rsidRDefault="009A4C01">
      <w:pPr>
        <w:numPr>
          <w:ilvl w:val="1"/>
          <w:numId w:val="1"/>
        </w:numPr>
        <w:tabs>
          <w:tab w:val="left" w:pos="567"/>
        </w:tabs>
        <w:spacing w:after="0" w:line="240" w:lineRule="auto"/>
        <w:rPr>
          <w:rFonts w:ascii="TeXGyreAdventor" w:hAnsi="TeXGyreAdventor"/>
          <w:sz w:val="22"/>
          <w:szCs w:val="22"/>
        </w:rPr>
      </w:pPr>
      <w:r>
        <w:rPr>
          <w:rFonts w:ascii="TeXGyreAdventor" w:hAnsi="TeXGyreAdventor"/>
          <w:sz w:val="22"/>
          <w:szCs w:val="22"/>
        </w:rPr>
        <w:t xml:space="preserve">Objednatel: </w:t>
      </w:r>
      <w:r>
        <w:rPr>
          <w:rFonts w:ascii="TeXGyreAdventor" w:hAnsi="TeXGyreAdventor"/>
          <w:sz w:val="22"/>
          <w:szCs w:val="22"/>
        </w:rPr>
        <w:tab/>
      </w:r>
      <w:r>
        <w:rPr>
          <w:rFonts w:ascii="TeXGyreAdventor" w:hAnsi="TeXGyreAdventor"/>
          <w:b/>
          <w:bCs/>
          <w:sz w:val="22"/>
          <w:szCs w:val="22"/>
        </w:rPr>
        <w:t xml:space="preserve">Střední uměleckoprůmyslová škola a Vyšší odborná škola Jablonec         </w:t>
      </w:r>
    </w:p>
    <w:p w:rsidR="0002205C" w:rsidRDefault="009A4C01">
      <w:pPr>
        <w:tabs>
          <w:tab w:val="left" w:pos="567"/>
        </w:tabs>
        <w:spacing w:after="0" w:line="240" w:lineRule="auto"/>
        <w:ind w:left="432"/>
        <w:rPr>
          <w:rFonts w:ascii="TeXGyreAdventor" w:hAnsi="TeXGyreAdventor"/>
          <w:sz w:val="22"/>
          <w:szCs w:val="22"/>
        </w:rPr>
      </w:pPr>
      <w:r>
        <w:rPr>
          <w:rFonts w:ascii="TeXGyreAdventor" w:hAnsi="TeXGyreAdventor"/>
          <w:b/>
          <w:bCs/>
          <w:sz w:val="22"/>
          <w:szCs w:val="22"/>
        </w:rPr>
        <w:t xml:space="preserve">                               nad Nisou, Horní náměstí 1, příspěvková organizace</w:t>
      </w:r>
    </w:p>
    <w:p w:rsidR="0002205C" w:rsidRDefault="009A4C01">
      <w:pPr>
        <w:spacing w:after="0" w:line="240" w:lineRule="auto"/>
        <w:ind w:left="567" w:right="-851" w:hanging="567"/>
        <w:rPr>
          <w:rFonts w:ascii="TeXGyreAdventor" w:hAnsi="TeXGyreAdventor"/>
          <w:sz w:val="22"/>
          <w:szCs w:val="22"/>
        </w:rPr>
      </w:pPr>
      <w:r>
        <w:rPr>
          <w:rFonts w:ascii="TeXGyreAdventor" w:hAnsi="TeXGyreAdventor"/>
          <w:sz w:val="22"/>
          <w:szCs w:val="22"/>
        </w:rPr>
        <w:tab/>
        <w:t xml:space="preserve">sídlo: </w:t>
      </w:r>
      <w:r>
        <w:rPr>
          <w:rFonts w:ascii="TeXGyreAdventor" w:hAnsi="TeXGyreAdventor"/>
          <w:sz w:val="22"/>
          <w:szCs w:val="22"/>
        </w:rPr>
        <w:tab/>
      </w:r>
      <w:r>
        <w:rPr>
          <w:rFonts w:ascii="TeXGyreAdventor" w:hAnsi="TeXGyreAdventor"/>
          <w:sz w:val="22"/>
          <w:szCs w:val="22"/>
        </w:rPr>
        <w:tab/>
      </w:r>
      <w:r>
        <w:rPr>
          <w:rFonts w:ascii="TeXGyreAdventor" w:hAnsi="TeXGyreAdventor"/>
          <w:sz w:val="22"/>
          <w:szCs w:val="22"/>
        </w:rPr>
        <w:tab/>
        <w:t>Horní náměstí 1 Jablonec nad Nisou, 466 80</w:t>
      </w:r>
    </w:p>
    <w:p w:rsidR="0002205C" w:rsidRDefault="009A4C01">
      <w:pPr>
        <w:pStyle w:val="HLAVICKA"/>
        <w:spacing w:line="240" w:lineRule="auto"/>
        <w:ind w:left="567" w:hanging="567"/>
      </w:pPr>
      <w:r>
        <w:rPr>
          <w:rFonts w:ascii="TeXGyreAdventor" w:hAnsi="TeXGyreAdventor"/>
          <w:color w:val="00000A"/>
          <w:sz w:val="22"/>
          <w:szCs w:val="22"/>
        </w:rPr>
        <w:tab/>
        <w:t xml:space="preserve">zastoupený:            </w:t>
      </w:r>
      <w:r>
        <w:rPr>
          <w:rFonts w:ascii="TeXGyreAdventor" w:hAnsi="TeXGyreAdventor"/>
          <w:color w:val="00000A"/>
          <w:sz w:val="22"/>
          <w:szCs w:val="22"/>
        </w:rPr>
        <w:tab/>
      </w:r>
      <w:r>
        <w:rPr>
          <w:rStyle w:val="Doporuen"/>
          <w:rFonts w:ascii="TeXGyreAdventor" w:hAnsi="TeXGyreAdventor"/>
          <w:color w:val="00000A"/>
          <w:sz w:val="22"/>
          <w:szCs w:val="22"/>
        </w:rPr>
        <w:t>Mgr. Bc. Martinou Picko Baumannovou</w:t>
      </w:r>
      <w:r>
        <w:rPr>
          <w:rFonts w:ascii="TeXGyreAdventor" w:hAnsi="TeXGyreAdventor"/>
          <w:color w:val="00000A"/>
          <w:sz w:val="22"/>
          <w:szCs w:val="22"/>
        </w:rPr>
        <w:t>, ředitelkou</w:t>
      </w:r>
    </w:p>
    <w:p w:rsidR="0002205C" w:rsidRDefault="009A4C01">
      <w:pPr>
        <w:tabs>
          <w:tab w:val="left" w:pos="709"/>
        </w:tabs>
        <w:spacing w:after="0" w:line="240" w:lineRule="auto"/>
        <w:ind w:left="567" w:hanging="567"/>
        <w:rPr>
          <w:rFonts w:ascii="TeXGyreAdventor" w:hAnsi="TeXGyreAdventor"/>
          <w:sz w:val="22"/>
          <w:szCs w:val="22"/>
        </w:rPr>
      </w:pPr>
      <w:r>
        <w:rPr>
          <w:rFonts w:ascii="TeXGyreAdventor" w:hAnsi="TeXGyreAdventor"/>
          <w:sz w:val="22"/>
          <w:szCs w:val="22"/>
        </w:rPr>
        <w:tab/>
        <w:t>IČ:</w:t>
      </w:r>
      <w:r>
        <w:rPr>
          <w:rFonts w:ascii="TeXGyreAdventor" w:hAnsi="TeXGyreAdventor"/>
          <w:sz w:val="22"/>
          <w:szCs w:val="22"/>
        </w:rPr>
        <w:tab/>
      </w:r>
      <w:r>
        <w:rPr>
          <w:rFonts w:ascii="TeXGyreAdventor" w:hAnsi="TeXGyreAdventor"/>
          <w:sz w:val="22"/>
          <w:szCs w:val="22"/>
        </w:rPr>
        <w:tab/>
      </w:r>
      <w:r>
        <w:rPr>
          <w:rFonts w:ascii="TeXGyreAdventor" w:hAnsi="TeXGyreAdventor"/>
          <w:sz w:val="22"/>
          <w:szCs w:val="22"/>
        </w:rPr>
        <w:tab/>
      </w:r>
      <w:r>
        <w:rPr>
          <w:rFonts w:ascii="TeXGyreAdventor" w:hAnsi="TeXGyreAdventor"/>
          <w:bCs/>
          <w:color w:val="333333"/>
          <w:sz w:val="22"/>
          <w:szCs w:val="22"/>
          <w:shd w:val="clear" w:color="auto" w:fill="FFFFFF"/>
        </w:rPr>
        <w:t>60252600</w:t>
      </w:r>
      <w:r>
        <w:rPr>
          <w:rFonts w:ascii="TeXGyreAdventor" w:hAnsi="TeXGyreAdventor"/>
          <w:b/>
          <w:bCs/>
          <w:sz w:val="22"/>
          <w:szCs w:val="22"/>
          <w:shd w:val="clear" w:color="auto" w:fill="FFFFFF"/>
        </w:rPr>
        <w:t xml:space="preserve"> </w:t>
      </w:r>
    </w:p>
    <w:p w:rsidR="0002205C" w:rsidRDefault="009A4C01">
      <w:pPr>
        <w:tabs>
          <w:tab w:val="left" w:pos="709"/>
        </w:tabs>
        <w:spacing w:after="0" w:line="240" w:lineRule="auto"/>
        <w:ind w:left="567" w:hanging="567"/>
        <w:rPr>
          <w:rFonts w:ascii="TeXGyreAdventor" w:hAnsi="TeXGyreAdventor"/>
          <w:sz w:val="22"/>
          <w:szCs w:val="22"/>
        </w:rPr>
      </w:pPr>
      <w:r>
        <w:rPr>
          <w:rFonts w:ascii="TeXGyreAdventor" w:hAnsi="TeXGyreAdventor"/>
          <w:sz w:val="22"/>
          <w:szCs w:val="22"/>
        </w:rPr>
        <w:tab/>
        <w:t>Bankovní spojení:</w:t>
      </w:r>
      <w:r>
        <w:rPr>
          <w:rFonts w:ascii="TeXGyreAdventor" w:hAnsi="TeXGyreAdventor"/>
          <w:sz w:val="22"/>
          <w:szCs w:val="22"/>
        </w:rPr>
        <w:tab/>
      </w:r>
      <w:r>
        <w:rPr>
          <w:rFonts w:ascii="TeXGyreAdventor" w:hAnsi="TeXGyreAdventor"/>
          <w:color w:val="333333"/>
          <w:sz w:val="22"/>
          <w:szCs w:val="22"/>
          <w:shd w:val="clear" w:color="auto" w:fill="FFFFFF"/>
        </w:rPr>
        <w:t>KB 78-5800750267/0100</w:t>
      </w:r>
      <w:r>
        <w:rPr>
          <w:rFonts w:ascii="TeXGyreAdventor" w:hAnsi="TeXGyreAdventor"/>
          <w:sz w:val="22"/>
          <w:szCs w:val="22"/>
          <w:shd w:val="clear" w:color="auto" w:fill="FFFFFF"/>
        </w:rPr>
        <w:t xml:space="preserve"> </w:t>
      </w:r>
    </w:p>
    <w:p w:rsidR="0002205C" w:rsidRDefault="0002205C">
      <w:pPr>
        <w:tabs>
          <w:tab w:val="left" w:pos="709"/>
        </w:tabs>
        <w:spacing w:after="0" w:line="240" w:lineRule="auto"/>
        <w:ind w:left="720"/>
        <w:rPr>
          <w:rFonts w:ascii="TeXGyreAdventor" w:hAnsi="TeXGyreAdventor"/>
          <w:sz w:val="22"/>
          <w:szCs w:val="22"/>
        </w:rPr>
      </w:pPr>
    </w:p>
    <w:p w:rsidR="0002205C" w:rsidRDefault="0002205C">
      <w:pPr>
        <w:spacing w:after="0" w:line="240" w:lineRule="auto"/>
        <w:ind w:left="567"/>
        <w:rPr>
          <w:rFonts w:ascii="TeXGyreAdventor" w:hAnsi="TeXGyreAdventor"/>
          <w:b/>
          <w:bCs/>
          <w:sz w:val="22"/>
          <w:szCs w:val="22"/>
        </w:rPr>
      </w:pPr>
    </w:p>
    <w:p w:rsidR="0002205C" w:rsidRDefault="009A4C01">
      <w:pPr>
        <w:spacing w:after="0" w:line="240" w:lineRule="auto"/>
        <w:ind w:left="567"/>
        <w:jc w:val="both"/>
        <w:rPr>
          <w:sz w:val="22"/>
          <w:szCs w:val="22"/>
        </w:rPr>
      </w:pPr>
      <w:r>
        <w:rPr>
          <w:rFonts w:ascii="TeXGyreAdventor" w:hAnsi="TeXGyreAdventor"/>
          <w:sz w:val="22"/>
          <w:szCs w:val="22"/>
        </w:rPr>
        <w:t xml:space="preserve">(dále jen „kupující“) </w:t>
      </w:r>
    </w:p>
    <w:p w:rsidR="0002205C" w:rsidRDefault="009A4C01">
      <w:pPr>
        <w:spacing w:after="0" w:line="240" w:lineRule="auto"/>
        <w:ind w:firstLine="142"/>
        <w:rPr>
          <w:sz w:val="22"/>
          <w:szCs w:val="22"/>
        </w:rPr>
      </w:pPr>
      <w:r>
        <w:rPr>
          <w:rFonts w:ascii="TeXGyreAdventor" w:hAnsi="TeXGyreAdventor"/>
          <w:sz w:val="22"/>
          <w:szCs w:val="22"/>
        </w:rPr>
        <w:t xml:space="preserve">                                                                                         </w:t>
      </w:r>
    </w:p>
    <w:p w:rsidR="007A2086" w:rsidRPr="007A2086" w:rsidRDefault="009A4C01" w:rsidP="007A2086">
      <w:pPr>
        <w:numPr>
          <w:ilvl w:val="1"/>
          <w:numId w:val="1"/>
        </w:numPr>
        <w:spacing w:after="0" w:line="240" w:lineRule="auto"/>
        <w:ind w:left="567" w:hanging="567"/>
        <w:rPr>
          <w:sz w:val="22"/>
          <w:szCs w:val="22"/>
        </w:rPr>
      </w:pPr>
      <w:r>
        <w:rPr>
          <w:rFonts w:ascii="TeXGyreAdventor" w:hAnsi="TeXGyreAdventor"/>
          <w:sz w:val="22"/>
          <w:szCs w:val="22"/>
        </w:rPr>
        <w:t>Zhotovitel:</w:t>
      </w:r>
      <w:r>
        <w:rPr>
          <w:rFonts w:ascii="TeXGyreAdventor" w:hAnsi="TeXGyreAdventor"/>
          <w:sz w:val="22"/>
          <w:szCs w:val="22"/>
        </w:rPr>
        <w:tab/>
      </w:r>
      <w:r>
        <w:rPr>
          <w:rFonts w:ascii="TeXGyreAdventor" w:hAnsi="TeXGyreAdventor"/>
          <w:sz w:val="22"/>
          <w:szCs w:val="22"/>
        </w:rPr>
        <w:tab/>
      </w:r>
      <w:r w:rsidR="007A2086">
        <w:rPr>
          <w:rFonts w:ascii="TeXGyreAdventor" w:hAnsi="TeXGyreAdventor"/>
          <w:sz w:val="22"/>
          <w:szCs w:val="22"/>
        </w:rPr>
        <w:t>Advantage-fl.cz s.r.o.</w:t>
      </w:r>
    </w:p>
    <w:p w:rsidR="0002205C" w:rsidRDefault="009A4C01" w:rsidP="007A2086">
      <w:pPr>
        <w:spacing w:after="0" w:line="240" w:lineRule="auto"/>
        <w:ind w:left="567"/>
        <w:rPr>
          <w:sz w:val="22"/>
          <w:szCs w:val="22"/>
        </w:rPr>
      </w:pPr>
      <w:r>
        <w:rPr>
          <w:rFonts w:ascii="TeXGyreAdventor" w:hAnsi="TeXGyreAdventor"/>
          <w:sz w:val="22"/>
          <w:szCs w:val="22"/>
        </w:rPr>
        <w:t xml:space="preserve">PSČ, sídlo: </w:t>
      </w:r>
      <w:r>
        <w:rPr>
          <w:rFonts w:ascii="TeXGyreAdventor" w:hAnsi="TeXGyreAdventor"/>
          <w:sz w:val="22"/>
          <w:szCs w:val="22"/>
        </w:rPr>
        <w:tab/>
      </w:r>
      <w:r>
        <w:rPr>
          <w:rFonts w:ascii="TeXGyreAdventor" w:hAnsi="TeXGyreAdventor"/>
          <w:sz w:val="22"/>
          <w:szCs w:val="22"/>
        </w:rPr>
        <w:tab/>
      </w:r>
      <w:r w:rsidR="007A2086">
        <w:rPr>
          <w:rFonts w:ascii="TeXGyreAdventor" w:hAnsi="TeXGyreAdventor"/>
          <w:sz w:val="22"/>
          <w:szCs w:val="22"/>
        </w:rPr>
        <w:t>251 62, Louňovice, Ke Kameni 266</w:t>
      </w:r>
    </w:p>
    <w:p w:rsidR="0002205C" w:rsidRDefault="009A4C01">
      <w:pPr>
        <w:pStyle w:val="HLAVICKA"/>
        <w:spacing w:line="240" w:lineRule="auto"/>
        <w:ind w:left="567"/>
        <w:jc w:val="both"/>
        <w:rPr>
          <w:color w:val="00000A"/>
          <w:sz w:val="22"/>
          <w:szCs w:val="22"/>
        </w:rPr>
      </w:pPr>
      <w:r>
        <w:rPr>
          <w:rFonts w:ascii="TeXGyreAdventor" w:hAnsi="TeXGyreAdventor"/>
          <w:color w:val="00000A"/>
          <w:sz w:val="22"/>
          <w:szCs w:val="22"/>
        </w:rPr>
        <w:t xml:space="preserve">zapsaný v Obchodním rejstříku vedeném </w:t>
      </w:r>
      <w:r w:rsidR="007A2086">
        <w:rPr>
          <w:rFonts w:ascii="TeXGyreAdventor" w:hAnsi="TeXGyreAdventor"/>
          <w:color w:val="00000A"/>
          <w:sz w:val="22"/>
          <w:szCs w:val="22"/>
        </w:rPr>
        <w:t>Městským soudem v Praze</w:t>
      </w:r>
      <w:r>
        <w:rPr>
          <w:rFonts w:ascii="TeXGyreAdventor" w:hAnsi="TeXGyreAdventor"/>
          <w:color w:val="00000A"/>
          <w:sz w:val="22"/>
          <w:szCs w:val="22"/>
        </w:rPr>
        <w:t xml:space="preserve">,  oddíl </w:t>
      </w:r>
      <w:r w:rsidR="007A2086">
        <w:rPr>
          <w:rFonts w:ascii="TeXGyreAdventor" w:hAnsi="TeXGyreAdventor"/>
          <w:color w:val="00000A"/>
          <w:sz w:val="22"/>
          <w:szCs w:val="22"/>
        </w:rPr>
        <w:t>C</w:t>
      </w:r>
      <w:r>
        <w:rPr>
          <w:rFonts w:ascii="TeXGyreAdventor" w:hAnsi="TeXGyreAdventor"/>
          <w:color w:val="00000A"/>
          <w:sz w:val="22"/>
          <w:szCs w:val="22"/>
        </w:rPr>
        <w:t xml:space="preserve"> vložka </w:t>
      </w:r>
      <w:r w:rsidR="007A2086">
        <w:rPr>
          <w:rFonts w:ascii="TeXGyreAdventor" w:hAnsi="TeXGyreAdventor"/>
          <w:color w:val="00000A"/>
          <w:sz w:val="22"/>
          <w:szCs w:val="22"/>
        </w:rPr>
        <w:t>133219</w:t>
      </w:r>
      <w:r>
        <w:rPr>
          <w:rFonts w:ascii="TeXGyreAdventor" w:hAnsi="TeXGyreAdventor"/>
          <w:color w:val="00000A"/>
          <w:sz w:val="22"/>
          <w:szCs w:val="22"/>
          <w:highlight w:val="lightGray"/>
        </w:rPr>
        <w:t>.</w:t>
      </w:r>
    </w:p>
    <w:p w:rsidR="0002205C" w:rsidRDefault="009A4C01">
      <w:pPr>
        <w:spacing w:after="0" w:line="240" w:lineRule="auto"/>
        <w:ind w:left="567"/>
        <w:rPr>
          <w:sz w:val="22"/>
          <w:szCs w:val="22"/>
        </w:rPr>
      </w:pPr>
      <w:r>
        <w:rPr>
          <w:rFonts w:ascii="TeXGyreAdventor" w:hAnsi="TeXGyreAdventor"/>
          <w:sz w:val="22"/>
          <w:szCs w:val="22"/>
        </w:rPr>
        <w:t>zastoupený:</w:t>
      </w:r>
      <w:r>
        <w:rPr>
          <w:rFonts w:ascii="TeXGyreAdventor" w:hAnsi="TeXGyreAdventor"/>
          <w:sz w:val="22"/>
          <w:szCs w:val="22"/>
        </w:rPr>
        <w:tab/>
      </w:r>
      <w:r>
        <w:rPr>
          <w:rFonts w:ascii="TeXGyreAdventor" w:hAnsi="TeXGyreAdventor"/>
          <w:sz w:val="22"/>
          <w:szCs w:val="22"/>
        </w:rPr>
        <w:tab/>
      </w:r>
      <w:r w:rsidR="007A2086">
        <w:rPr>
          <w:rFonts w:ascii="TeXGyreAdventor" w:hAnsi="TeXGyreAdventor"/>
          <w:sz w:val="22"/>
          <w:szCs w:val="22"/>
        </w:rPr>
        <w:t>Filip Lukeš</w:t>
      </w:r>
      <w:r>
        <w:rPr>
          <w:rFonts w:ascii="TeXGyreAdventor" w:hAnsi="TeXGyreAdventor"/>
          <w:sz w:val="22"/>
          <w:szCs w:val="22"/>
        </w:rPr>
        <w:tab/>
      </w:r>
      <w:r>
        <w:rPr>
          <w:rFonts w:ascii="TeXGyreAdventor" w:hAnsi="TeXGyreAdventor"/>
          <w:sz w:val="22"/>
          <w:szCs w:val="22"/>
        </w:rPr>
        <w:tab/>
      </w:r>
    </w:p>
    <w:p w:rsidR="0002205C" w:rsidRDefault="009A4C01">
      <w:pPr>
        <w:spacing w:after="0" w:line="240" w:lineRule="auto"/>
        <w:ind w:left="567"/>
        <w:rPr>
          <w:sz w:val="22"/>
          <w:szCs w:val="22"/>
        </w:rPr>
      </w:pPr>
      <w:r>
        <w:rPr>
          <w:rFonts w:ascii="TeXGyreAdventor" w:hAnsi="TeXGyreAdventor"/>
          <w:sz w:val="22"/>
          <w:szCs w:val="22"/>
        </w:rPr>
        <w:t>IČ:</w:t>
      </w:r>
      <w:r>
        <w:rPr>
          <w:rFonts w:ascii="TeXGyreAdventor" w:hAnsi="TeXGyreAdventor"/>
          <w:sz w:val="22"/>
          <w:szCs w:val="22"/>
        </w:rPr>
        <w:tab/>
      </w:r>
      <w:r>
        <w:rPr>
          <w:rFonts w:ascii="TeXGyreAdventor" w:hAnsi="TeXGyreAdventor"/>
          <w:sz w:val="22"/>
          <w:szCs w:val="22"/>
        </w:rPr>
        <w:tab/>
      </w:r>
      <w:r>
        <w:rPr>
          <w:rFonts w:ascii="TeXGyreAdventor" w:hAnsi="TeXGyreAdventor"/>
          <w:sz w:val="22"/>
          <w:szCs w:val="22"/>
        </w:rPr>
        <w:tab/>
      </w:r>
      <w:r w:rsidR="007A2086">
        <w:rPr>
          <w:rFonts w:ascii="TeXGyreAdventor" w:hAnsi="TeXGyreAdventor"/>
          <w:sz w:val="22"/>
          <w:szCs w:val="22"/>
        </w:rPr>
        <w:t>28217179</w:t>
      </w:r>
    </w:p>
    <w:p w:rsidR="0002205C" w:rsidRDefault="009A4C01">
      <w:pPr>
        <w:spacing w:after="0" w:line="240" w:lineRule="auto"/>
        <w:ind w:left="567"/>
        <w:rPr>
          <w:sz w:val="22"/>
          <w:szCs w:val="22"/>
        </w:rPr>
      </w:pPr>
      <w:r>
        <w:rPr>
          <w:rFonts w:ascii="TeXGyreAdventor" w:hAnsi="TeXGyreAdventor"/>
          <w:sz w:val="22"/>
          <w:szCs w:val="22"/>
        </w:rPr>
        <w:t>DIČ:</w:t>
      </w:r>
      <w:r>
        <w:rPr>
          <w:rFonts w:ascii="TeXGyreAdventor" w:hAnsi="TeXGyreAdventor"/>
          <w:sz w:val="22"/>
          <w:szCs w:val="22"/>
        </w:rPr>
        <w:tab/>
      </w:r>
      <w:r>
        <w:rPr>
          <w:rFonts w:ascii="TeXGyreAdventor" w:hAnsi="TeXGyreAdventor"/>
          <w:sz w:val="22"/>
          <w:szCs w:val="22"/>
        </w:rPr>
        <w:tab/>
      </w:r>
      <w:r>
        <w:rPr>
          <w:rFonts w:ascii="TeXGyreAdventor" w:hAnsi="TeXGyreAdventor"/>
          <w:sz w:val="22"/>
          <w:szCs w:val="22"/>
        </w:rPr>
        <w:tab/>
      </w:r>
      <w:r w:rsidR="007A2086">
        <w:rPr>
          <w:rFonts w:ascii="TeXGyreAdventor" w:hAnsi="TeXGyreAdventor"/>
          <w:sz w:val="22"/>
          <w:szCs w:val="22"/>
        </w:rPr>
        <w:t>CZ28217179</w:t>
      </w:r>
    </w:p>
    <w:p w:rsidR="0002205C" w:rsidRDefault="009A4C01">
      <w:pPr>
        <w:spacing w:after="0" w:line="240" w:lineRule="auto"/>
        <w:ind w:left="567"/>
        <w:rPr>
          <w:sz w:val="22"/>
          <w:szCs w:val="22"/>
        </w:rPr>
      </w:pPr>
      <w:r>
        <w:rPr>
          <w:rFonts w:ascii="TeXGyreAdventor" w:hAnsi="TeXGyreAdventor"/>
          <w:sz w:val="22"/>
          <w:szCs w:val="22"/>
        </w:rPr>
        <w:t xml:space="preserve">Bankovní spojení: </w:t>
      </w:r>
      <w:r>
        <w:rPr>
          <w:rFonts w:ascii="TeXGyreAdventor" w:hAnsi="TeXGyreAdventor"/>
          <w:sz w:val="22"/>
          <w:szCs w:val="22"/>
        </w:rPr>
        <w:tab/>
      </w:r>
      <w:r w:rsidR="007A2086">
        <w:rPr>
          <w:rFonts w:ascii="TeXGyreAdventor" w:hAnsi="TeXGyreAdventor"/>
          <w:sz w:val="22"/>
          <w:szCs w:val="22"/>
        </w:rPr>
        <w:t>218848581 / 0300</w:t>
      </w:r>
    </w:p>
    <w:p w:rsidR="0002205C" w:rsidRDefault="0002205C">
      <w:pPr>
        <w:spacing w:after="0" w:line="240" w:lineRule="auto"/>
        <w:ind w:left="567" w:hanging="11"/>
        <w:rPr>
          <w:rFonts w:ascii="TeXGyreAdventor" w:hAnsi="TeXGyreAdventor"/>
          <w:sz w:val="22"/>
          <w:szCs w:val="22"/>
        </w:rPr>
      </w:pPr>
    </w:p>
    <w:p w:rsidR="0002205C" w:rsidRDefault="009A4C01">
      <w:pPr>
        <w:spacing w:after="0" w:line="240" w:lineRule="auto"/>
        <w:ind w:left="567" w:hanging="11"/>
        <w:rPr>
          <w:sz w:val="22"/>
          <w:szCs w:val="22"/>
        </w:rPr>
      </w:pPr>
      <w:r>
        <w:rPr>
          <w:rFonts w:ascii="TeXGyreAdventor" w:hAnsi="TeXGyreAdventor"/>
          <w:sz w:val="22"/>
          <w:szCs w:val="22"/>
        </w:rPr>
        <w:t xml:space="preserve">ve věcech smluvních oprávněn k jednání: </w:t>
      </w:r>
      <w:r w:rsidR="007A2086">
        <w:rPr>
          <w:rFonts w:ascii="TeXGyreAdventor" w:hAnsi="TeXGyreAdventor"/>
          <w:sz w:val="22"/>
          <w:szCs w:val="22"/>
        </w:rPr>
        <w:t>Radek Leeb,</w:t>
      </w:r>
      <w:r>
        <w:rPr>
          <w:rFonts w:ascii="TeXGyreAdventor" w:hAnsi="TeXGyreAdventor"/>
          <w:sz w:val="22"/>
          <w:szCs w:val="22"/>
        </w:rPr>
        <w:t xml:space="preserve"> tel.: </w:t>
      </w:r>
      <w:r w:rsidR="007A2086">
        <w:rPr>
          <w:rFonts w:ascii="TeXGyreAdventor" w:hAnsi="TeXGyreAdventor"/>
          <w:sz w:val="22"/>
          <w:szCs w:val="22"/>
        </w:rPr>
        <w:t>604 217 170</w:t>
      </w:r>
      <w:r>
        <w:rPr>
          <w:rFonts w:ascii="TeXGyreAdventor" w:hAnsi="TeXGyreAdventor"/>
          <w:sz w:val="22"/>
          <w:szCs w:val="22"/>
        </w:rPr>
        <w:t xml:space="preserve">, e-mail: </w:t>
      </w:r>
      <w:r w:rsidR="007A2086">
        <w:rPr>
          <w:rFonts w:ascii="TeXGyreAdventor" w:hAnsi="TeXGyreAdventor"/>
          <w:sz w:val="22"/>
          <w:szCs w:val="22"/>
        </w:rPr>
        <w:t>radek.leeb@advantage-fl.cz.</w:t>
      </w:r>
    </w:p>
    <w:p w:rsidR="0002205C" w:rsidRDefault="009A4C01">
      <w:pPr>
        <w:spacing w:after="0" w:line="240" w:lineRule="auto"/>
        <w:ind w:left="567" w:hanging="11"/>
        <w:rPr>
          <w:sz w:val="22"/>
          <w:szCs w:val="22"/>
        </w:rPr>
      </w:pPr>
      <w:r>
        <w:rPr>
          <w:rFonts w:ascii="TeXGyreAdventor" w:hAnsi="TeXGyreAdventor"/>
          <w:sz w:val="22"/>
          <w:szCs w:val="22"/>
        </w:rPr>
        <w:t xml:space="preserve">ve věcech technických oprávněn k jednání: </w:t>
      </w:r>
      <w:r w:rsidR="007A2086">
        <w:rPr>
          <w:rFonts w:ascii="TeXGyreAdventor" w:hAnsi="TeXGyreAdventor"/>
          <w:sz w:val="22"/>
          <w:szCs w:val="22"/>
        </w:rPr>
        <w:t>Radek Leeb, tel.: 604 217 170</w:t>
      </w:r>
      <w:r>
        <w:rPr>
          <w:rFonts w:ascii="TeXGyreAdventor" w:hAnsi="TeXGyreAdventor"/>
          <w:sz w:val="22"/>
          <w:szCs w:val="22"/>
        </w:rPr>
        <w:t xml:space="preserve">, e-mail: </w:t>
      </w:r>
      <w:r w:rsidR="007A2086">
        <w:rPr>
          <w:rFonts w:ascii="TeXGyreAdventor" w:hAnsi="TeXGyreAdventor"/>
          <w:sz w:val="22"/>
          <w:szCs w:val="22"/>
        </w:rPr>
        <w:t>radek.leeb@advantage-fl.cz.</w:t>
      </w:r>
    </w:p>
    <w:p w:rsidR="0002205C" w:rsidRDefault="0002205C">
      <w:pPr>
        <w:spacing w:after="0" w:line="240" w:lineRule="auto"/>
        <w:ind w:right="-853" w:firstLine="709"/>
        <w:rPr>
          <w:rFonts w:ascii="TeXGyreAdventor" w:hAnsi="TeXGyreAdventor"/>
          <w:sz w:val="22"/>
          <w:szCs w:val="22"/>
        </w:rPr>
      </w:pPr>
    </w:p>
    <w:p w:rsidR="0002205C" w:rsidRDefault="009A4C01">
      <w:pPr>
        <w:spacing w:after="0" w:line="240" w:lineRule="auto"/>
        <w:ind w:left="567"/>
        <w:jc w:val="both"/>
        <w:rPr>
          <w:sz w:val="22"/>
          <w:szCs w:val="22"/>
        </w:rPr>
      </w:pPr>
      <w:r>
        <w:rPr>
          <w:rFonts w:ascii="TeXGyreAdventor" w:hAnsi="TeXGyreAdventor"/>
          <w:sz w:val="22"/>
          <w:szCs w:val="22"/>
        </w:rPr>
        <w:t xml:space="preserve">(dále jen „prodávající“) </w:t>
      </w:r>
    </w:p>
    <w:p w:rsidR="0002205C" w:rsidRDefault="009A4C01">
      <w:pPr>
        <w:spacing w:after="0" w:line="240" w:lineRule="auto"/>
        <w:ind w:left="567"/>
        <w:jc w:val="both"/>
        <w:rPr>
          <w:sz w:val="22"/>
          <w:szCs w:val="22"/>
        </w:rPr>
      </w:pPr>
      <w:r>
        <w:rPr>
          <w:rFonts w:ascii="TeXGyreAdventor" w:hAnsi="TeXGyreAdventor"/>
          <w:sz w:val="22"/>
          <w:szCs w:val="22"/>
        </w:rPr>
        <w:t>(kupující a prodávající, dále společně také jen jako „účastníci smlouvy“ nebo také jen „smluvní strany“)</w:t>
      </w:r>
    </w:p>
    <w:p w:rsidR="0002205C" w:rsidRDefault="009A4C01">
      <w:pPr>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lastRenderedPageBreak/>
        <w:t>Úvodní ustanovení</w:t>
      </w:r>
    </w:p>
    <w:p w:rsidR="0002205C" w:rsidRDefault="009A4C01">
      <w:pPr>
        <w:pStyle w:val="Odstavecseseznamem"/>
        <w:numPr>
          <w:ilvl w:val="1"/>
          <w:numId w:val="2"/>
        </w:numPr>
        <w:spacing w:before="240" w:after="0"/>
        <w:ind w:left="567" w:hanging="567"/>
        <w:jc w:val="both"/>
        <w:rPr>
          <w:sz w:val="22"/>
          <w:szCs w:val="22"/>
        </w:rPr>
      </w:pPr>
      <w:r>
        <w:rPr>
          <w:rFonts w:ascii="TeXGyreAdventor" w:hAnsi="TeXGyreAdventor"/>
          <w:sz w:val="22"/>
          <w:szCs w:val="22"/>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02205C" w:rsidRDefault="009A4C01">
      <w:pPr>
        <w:pStyle w:val="Odstavecseseznamem"/>
        <w:numPr>
          <w:ilvl w:val="1"/>
          <w:numId w:val="2"/>
        </w:numPr>
        <w:spacing w:before="240" w:after="0"/>
        <w:jc w:val="both"/>
      </w:pPr>
      <w:r>
        <w:rPr>
          <w:rFonts w:ascii="TeXGyreAdventor" w:hAnsi="TeXGyreAdventor"/>
          <w:sz w:val="22"/>
          <w:szCs w:val="22"/>
        </w:rPr>
        <w:t xml:space="preserve">Tato smlouva je uzavřena na základě výsledku zadávacího řízení k  veřejné zakázce malého rozsahu s názvem </w:t>
      </w:r>
      <w:r>
        <w:rPr>
          <w:rFonts w:ascii="TeXGyreAdventor" w:hAnsi="TeXGyreAdventor" w:cs="TeXGyreAdventor"/>
          <w:b/>
          <w:bCs/>
          <w:color w:val="000000"/>
          <w:sz w:val="20"/>
          <w:szCs w:val="20"/>
        </w:rPr>
        <w:t>„LICÍ ZAŘÍZENÍ PRO KŠ 2019“</w:t>
      </w:r>
      <w:r>
        <w:rPr>
          <w:rFonts w:ascii="TeXGyreAdventor" w:hAnsi="TeXGyreAdventor"/>
          <w:sz w:val="22"/>
          <w:szCs w:val="22"/>
        </w:rPr>
        <w:t xml:space="preserve"> (dále jen „veřejná zakázka“), ve které byla nabídka prodávajícího vybrána jako ekonomicky nejvýhodnější. </w:t>
      </w:r>
    </w:p>
    <w:p w:rsidR="0002205C" w:rsidRDefault="009A4C01">
      <w:pPr>
        <w:pStyle w:val="Odstavecseseznamem"/>
        <w:numPr>
          <w:ilvl w:val="1"/>
          <w:numId w:val="2"/>
        </w:numPr>
        <w:spacing w:before="240" w:after="0"/>
        <w:ind w:left="567" w:hanging="567"/>
        <w:jc w:val="both"/>
        <w:rPr>
          <w:sz w:val="22"/>
          <w:szCs w:val="22"/>
        </w:rPr>
      </w:pPr>
      <w:r>
        <w:rPr>
          <w:rFonts w:ascii="TeXGyreAdventor" w:hAnsi="TeXGyreAdventor"/>
          <w:sz w:val="22"/>
          <w:szCs w:val="22"/>
        </w:rPr>
        <w:t xml:space="preserve">Prodávající prohlašuje: </w:t>
      </w:r>
    </w:p>
    <w:p w:rsidR="0002205C" w:rsidRDefault="009A4C01">
      <w:pPr>
        <w:pStyle w:val="Odstavecseseznamem"/>
        <w:numPr>
          <w:ilvl w:val="2"/>
          <w:numId w:val="2"/>
        </w:numPr>
        <w:spacing w:before="60" w:after="0"/>
        <w:ind w:left="709"/>
        <w:jc w:val="both"/>
        <w:rPr>
          <w:sz w:val="22"/>
          <w:szCs w:val="22"/>
        </w:rPr>
      </w:pPr>
      <w:r>
        <w:rPr>
          <w:rFonts w:ascii="TeXGyreAdventor" w:hAnsi="TeXGyreAdventor"/>
          <w:sz w:val="22"/>
          <w:szCs w:val="22"/>
        </w:rPr>
        <w:t>že se detailně seznámil se všemi podklady k veřejné zakázce, s rozsahem a povahou předmětu plnění této smlouvy,</w:t>
      </w:r>
    </w:p>
    <w:p w:rsidR="0002205C" w:rsidRDefault="009A4C01">
      <w:pPr>
        <w:pStyle w:val="Odstavecseseznamem"/>
        <w:numPr>
          <w:ilvl w:val="2"/>
          <w:numId w:val="2"/>
        </w:numPr>
        <w:spacing w:before="60" w:after="0"/>
        <w:ind w:left="709"/>
        <w:jc w:val="both"/>
        <w:rPr>
          <w:sz w:val="22"/>
          <w:szCs w:val="22"/>
        </w:rPr>
      </w:pPr>
      <w:r>
        <w:rPr>
          <w:rFonts w:ascii="TeXGyreAdventor" w:hAnsi="TeXGyreAdventor"/>
          <w:sz w:val="22"/>
          <w:szCs w:val="22"/>
        </w:rPr>
        <w:t xml:space="preserve">že mu jsou známy veškeré technické, kvalitativní a jiné podmínky nezbytné pro realizaci předmětu plnění této smlouvy, </w:t>
      </w:r>
    </w:p>
    <w:p w:rsidR="0002205C" w:rsidRDefault="009A4C01">
      <w:pPr>
        <w:pStyle w:val="Odstavecseseznamem"/>
        <w:numPr>
          <w:ilvl w:val="2"/>
          <w:numId w:val="2"/>
        </w:numPr>
        <w:spacing w:before="60" w:after="0"/>
        <w:ind w:left="709"/>
        <w:jc w:val="both"/>
        <w:rPr>
          <w:sz w:val="22"/>
          <w:szCs w:val="22"/>
        </w:rPr>
      </w:pPr>
      <w:r>
        <w:rPr>
          <w:rFonts w:ascii="TeXGyreAdventor" w:hAnsi="TeXGyreAdventor"/>
          <w:sz w:val="22"/>
          <w:szCs w:val="22"/>
        </w:rPr>
        <w:t>že disponuje takovými kapacitami a odbornými znalostmi, aby předmět plnění této smlouvy provedl za dohodnutou cenu a v dohodnutém termínu.</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Předmět smlouvy</w:t>
      </w:r>
    </w:p>
    <w:p w:rsidR="0002205C" w:rsidRDefault="009A4C01">
      <w:pPr>
        <w:pStyle w:val="Odstavecseseznamem"/>
        <w:numPr>
          <w:ilvl w:val="1"/>
          <w:numId w:val="2"/>
        </w:numPr>
        <w:spacing w:before="240" w:after="0" w:line="240" w:lineRule="auto"/>
        <w:ind w:left="567" w:hanging="567"/>
        <w:jc w:val="both"/>
        <w:rPr>
          <w:sz w:val="22"/>
          <w:szCs w:val="22"/>
          <w:u w:val="single"/>
        </w:rPr>
      </w:pPr>
      <w:r>
        <w:rPr>
          <w:rFonts w:ascii="TeXGyreAdventor" w:hAnsi="TeXGyreAdventor"/>
          <w:sz w:val="22"/>
          <w:szCs w:val="22"/>
        </w:rPr>
        <w:t>Prodávající se zavazuje, že dodá kupujícímu zboží specifikované v Příloze č. 1, která je nedílnou součástí této smlouvy (viz Technická dokumentace nabízeného vybavení), a umožní mu nabýt ke zboží vlastnické právo, a kupující se zavazuje, že zboží převezme a zaplatí prodávajícímu kupní cenu.</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Vedle toho se prodávající zavazuje neprodleně po dodání zboží sestavit, uvést zboží do provozu a seznámit kupujícího či jeho zástupce s pravidly pro obsluhu a užívání. </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Čas a místo plnění</w:t>
      </w:r>
    </w:p>
    <w:p w:rsidR="0002205C" w:rsidRDefault="009A4C01">
      <w:pPr>
        <w:pStyle w:val="Tabellentext"/>
        <w:keepLines w:val="0"/>
        <w:numPr>
          <w:ilvl w:val="1"/>
          <w:numId w:val="2"/>
        </w:numPr>
        <w:spacing w:before="240" w:after="0"/>
        <w:ind w:left="567" w:hanging="567"/>
        <w:jc w:val="both"/>
        <w:rPr>
          <w:rFonts w:ascii="TeXGyreAdventor" w:hAnsi="TeXGyreAdventor"/>
        </w:rPr>
      </w:pPr>
      <w:r>
        <w:rPr>
          <w:rFonts w:ascii="TeXGyreAdventor" w:hAnsi="TeXGyreAdventor" w:cs="Arial"/>
          <w:lang w:val="cs-CZ"/>
        </w:rPr>
        <w:t xml:space="preserve">Prodávající je povinen předmět plnění smlouvy dle čl. III dokončit </w:t>
      </w:r>
      <w:r>
        <w:rPr>
          <w:rFonts w:ascii="TeXGyreAdventor" w:hAnsi="TeXGyreAdventor" w:cs="Arial"/>
          <w:b/>
          <w:bCs/>
          <w:lang w:val="cs-CZ"/>
        </w:rPr>
        <w:t>nejpozději do 15 týdnů od podpisu této smlouvy.</w:t>
      </w:r>
      <w:r>
        <w:rPr>
          <w:rFonts w:ascii="TeXGyreAdventor" w:hAnsi="TeXGyreAdventor" w:cs="Arial"/>
          <w:lang w:val="cs-CZ"/>
        </w:rPr>
        <w:t xml:space="preserve"> Prodloužení lhůty dodávky může prodávající požadovat pouze v případech, kdy nebude možné plnit předmět smlouvy  z důvodů na straně kupujícího.</w:t>
      </w:r>
    </w:p>
    <w:p w:rsidR="0002205C" w:rsidRDefault="009A4C01">
      <w:pPr>
        <w:pStyle w:val="Tabellentext"/>
        <w:keepLines w:val="0"/>
        <w:numPr>
          <w:ilvl w:val="1"/>
          <w:numId w:val="2"/>
        </w:numPr>
        <w:spacing w:before="240" w:after="0"/>
        <w:ind w:left="567" w:hanging="567"/>
        <w:jc w:val="both"/>
        <w:rPr>
          <w:rFonts w:ascii="Arial" w:hAnsi="Arial" w:cs="Arial"/>
          <w:lang w:val="cs-CZ"/>
        </w:rPr>
      </w:pPr>
      <w:r>
        <w:rPr>
          <w:rFonts w:ascii="TeXGyreAdventor" w:hAnsi="TeXGyreAdventor" w:cs="Arial"/>
          <w:lang w:val="cs-CZ"/>
        </w:rPr>
        <w:t>Prodávající je povinen alespoň 2 pracovní dny dopředu vyzvat kupujícího k převzetí zboží a dokončeného předmětu plnění.</w:t>
      </w:r>
    </w:p>
    <w:p w:rsidR="0002205C" w:rsidRDefault="009A4C01">
      <w:pPr>
        <w:pStyle w:val="Zkladntext"/>
        <w:numPr>
          <w:ilvl w:val="1"/>
          <w:numId w:val="2"/>
        </w:numPr>
        <w:spacing w:before="240" w:after="160"/>
        <w:rPr>
          <w:rFonts w:ascii="TeXGyreAdventor" w:hAnsi="TeXGyreAdventor"/>
          <w:sz w:val="22"/>
          <w:szCs w:val="22"/>
        </w:rPr>
      </w:pPr>
      <w:r>
        <w:rPr>
          <w:rFonts w:ascii="TeXGyreAdventor" w:hAnsi="TeXGyreAdventor" w:cs="Arial"/>
          <w:sz w:val="22"/>
          <w:szCs w:val="22"/>
        </w:rPr>
        <w:t>Místem plnění</w:t>
      </w:r>
      <w:r>
        <w:rPr>
          <w:rFonts w:ascii="TeXGyreAdventor" w:hAnsi="TeXGyreAdventor" w:cs="Arial"/>
          <w:b/>
          <w:bCs/>
          <w:sz w:val="22"/>
          <w:szCs w:val="22"/>
        </w:rPr>
        <w:t xml:space="preserve"> </w:t>
      </w:r>
      <w:r>
        <w:rPr>
          <w:rFonts w:ascii="TeXGyreAdventor" w:hAnsi="TeXGyreAdventor" w:cs="Arial"/>
          <w:sz w:val="22"/>
          <w:szCs w:val="22"/>
        </w:rPr>
        <w:t>je budova Střední uměleckoprůmyslové školy a Vyšší odborné školy Jablonec nad Nisou, Horní náměstí 1, příspěvková organizace se sídlem Horní náměstí 1 Jablonec nad Nisou, 466 80.</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Předání a převzetí zboží</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lastRenderedPageBreak/>
        <w:t>Prodávající se zavazuje zboží dodat v dohodnutém čase, na dohodnutém místě a v dohodnutém množství, jakosti a provedení.</w:t>
      </w:r>
    </w:p>
    <w:p w:rsidR="0002205C" w:rsidRDefault="009A4C01">
      <w:pPr>
        <w:pStyle w:val="Zkladntext"/>
        <w:numPr>
          <w:ilvl w:val="1"/>
          <w:numId w:val="2"/>
        </w:numPr>
        <w:spacing w:before="240" w:after="160"/>
        <w:ind w:left="567" w:hanging="567"/>
        <w:rPr>
          <w:rFonts w:ascii="Arial" w:hAnsi="Arial" w:cs="Arial"/>
          <w:sz w:val="22"/>
          <w:szCs w:val="22"/>
        </w:rPr>
      </w:pPr>
      <w:r>
        <w:rPr>
          <w:rFonts w:ascii="TeXGyreAdventor" w:hAnsi="TeXGyreAdventor" w:cs="Arial"/>
          <w:sz w:val="22"/>
          <w:szCs w:val="22"/>
        </w:rPr>
        <w:t xml:space="preserve">Prodávající se zavazuje předávat zboží kupujícímu v prvotřídní kvalitě, tj. bez jakýchkoli vad a nedodělků bránících řádnému užívání, ve stavu odpovídajícím této smlouvě, zadávací dokumentaci veřejné zakázky a nabídce prodávajícího podané v rámci zadávacího řízení. </w:t>
      </w:r>
    </w:p>
    <w:p w:rsidR="0002205C" w:rsidRDefault="009A4C01">
      <w:pPr>
        <w:pStyle w:val="Odstavecseseznamem"/>
        <w:numPr>
          <w:ilvl w:val="1"/>
          <w:numId w:val="2"/>
        </w:numPr>
        <w:spacing w:before="60" w:after="0" w:line="240" w:lineRule="auto"/>
        <w:ind w:left="567" w:hanging="567"/>
        <w:jc w:val="both"/>
        <w:rPr>
          <w:sz w:val="22"/>
          <w:szCs w:val="22"/>
        </w:rPr>
      </w:pPr>
      <w:r>
        <w:rPr>
          <w:rFonts w:ascii="TeXGyreAdventor" w:hAnsi="TeXGyreAdventor"/>
          <w:sz w:val="22"/>
          <w:szCs w:val="22"/>
        </w:rPr>
        <w:t xml:space="preserve">Prodávající prohlašuje, že veškeré dodané zboží splňuje zákonné požadavky, zejména požadavky zákona č. 22/1997 Sb., </w:t>
      </w:r>
      <w:r>
        <w:rPr>
          <w:rStyle w:val="h1a1"/>
          <w:rFonts w:ascii="TeXGyreAdventor" w:hAnsi="TeXGyreAdventor" w:cs="Arial"/>
          <w:sz w:val="22"/>
          <w:szCs w:val="22"/>
        </w:rPr>
        <w:t xml:space="preserve">o technických požadavcích na výrobky a o změně a doplnění některých zákonů, ve znění pozdějších předpisů. </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O předání zboží se sepíše předávací protokol, který musí obsahovat zejména:</w:t>
      </w:r>
    </w:p>
    <w:p w:rsidR="0002205C" w:rsidRDefault="009A4C01">
      <w:pPr>
        <w:pStyle w:val="Odstavecseseznamem"/>
        <w:numPr>
          <w:ilvl w:val="0"/>
          <w:numId w:val="3"/>
        </w:numPr>
        <w:spacing w:before="60" w:after="0" w:line="240" w:lineRule="auto"/>
        <w:ind w:left="993" w:hanging="357"/>
        <w:jc w:val="both"/>
        <w:rPr>
          <w:b/>
          <w:bCs/>
          <w:sz w:val="22"/>
          <w:szCs w:val="22"/>
          <w:u w:val="single"/>
        </w:rPr>
      </w:pPr>
      <w:r>
        <w:rPr>
          <w:rFonts w:ascii="TeXGyreAdventor" w:hAnsi="TeXGyreAdventor"/>
          <w:sz w:val="22"/>
          <w:szCs w:val="22"/>
        </w:rPr>
        <w:t xml:space="preserve">označení osoby prodávajícího včetně uvedení sídla a IČ, </w:t>
      </w:r>
    </w:p>
    <w:p w:rsidR="0002205C" w:rsidRDefault="009A4C01">
      <w:pPr>
        <w:pStyle w:val="Odstavecseseznamem"/>
        <w:numPr>
          <w:ilvl w:val="0"/>
          <w:numId w:val="3"/>
        </w:numPr>
        <w:spacing w:before="60" w:after="0" w:line="240" w:lineRule="auto"/>
        <w:ind w:left="993" w:hanging="357"/>
        <w:jc w:val="both"/>
        <w:rPr>
          <w:b/>
          <w:bCs/>
          <w:sz w:val="22"/>
          <w:szCs w:val="22"/>
          <w:u w:val="single"/>
        </w:rPr>
      </w:pPr>
      <w:r>
        <w:rPr>
          <w:rFonts w:ascii="TeXGyreAdventor" w:hAnsi="TeXGyreAdventor"/>
          <w:sz w:val="22"/>
          <w:szCs w:val="22"/>
        </w:rPr>
        <w:t>označení osoby kupujícího včetně uvedení sídla a IČ,</w:t>
      </w:r>
    </w:p>
    <w:p w:rsidR="0002205C" w:rsidRDefault="009A4C01">
      <w:pPr>
        <w:pStyle w:val="Odstavecseseznamem"/>
        <w:numPr>
          <w:ilvl w:val="0"/>
          <w:numId w:val="3"/>
        </w:numPr>
        <w:spacing w:before="60" w:after="0" w:line="240" w:lineRule="auto"/>
        <w:ind w:left="993" w:hanging="357"/>
        <w:jc w:val="both"/>
        <w:rPr>
          <w:b/>
          <w:bCs/>
          <w:sz w:val="22"/>
          <w:szCs w:val="22"/>
          <w:u w:val="single"/>
        </w:rPr>
      </w:pPr>
      <w:r>
        <w:rPr>
          <w:rFonts w:ascii="TeXGyreAdventor" w:hAnsi="TeXGyreAdventor"/>
          <w:sz w:val="22"/>
          <w:szCs w:val="22"/>
        </w:rPr>
        <w:t>označení této smlouvy včetně uvedení jejího evidenčního čísla,</w:t>
      </w:r>
    </w:p>
    <w:p w:rsidR="0002205C" w:rsidRDefault="009A4C01">
      <w:pPr>
        <w:pStyle w:val="Odstavecseseznamem"/>
        <w:numPr>
          <w:ilvl w:val="0"/>
          <w:numId w:val="3"/>
        </w:numPr>
        <w:spacing w:before="60" w:after="0" w:line="240" w:lineRule="auto"/>
        <w:ind w:left="993" w:hanging="357"/>
        <w:jc w:val="both"/>
        <w:rPr>
          <w:b/>
          <w:bCs/>
          <w:sz w:val="22"/>
          <w:szCs w:val="22"/>
          <w:u w:val="single"/>
        </w:rPr>
      </w:pPr>
      <w:r>
        <w:rPr>
          <w:rFonts w:ascii="TeXGyreAdventor" w:hAnsi="TeXGyreAdventor"/>
          <w:sz w:val="22"/>
          <w:szCs w:val="22"/>
        </w:rPr>
        <w:t>rozsah a předmět plnění,</w:t>
      </w:r>
    </w:p>
    <w:p w:rsidR="0002205C" w:rsidRDefault="009A4C01">
      <w:pPr>
        <w:pStyle w:val="Odstavecseseznamem"/>
        <w:numPr>
          <w:ilvl w:val="0"/>
          <w:numId w:val="3"/>
        </w:numPr>
        <w:spacing w:before="60" w:after="0" w:line="240" w:lineRule="auto"/>
        <w:ind w:left="993" w:hanging="357"/>
        <w:jc w:val="both"/>
        <w:rPr>
          <w:b/>
          <w:bCs/>
          <w:sz w:val="22"/>
          <w:szCs w:val="22"/>
          <w:u w:val="single"/>
        </w:rPr>
      </w:pPr>
      <w:r>
        <w:rPr>
          <w:rFonts w:ascii="TeXGyreAdventor" w:hAnsi="TeXGyreAdventor"/>
          <w:sz w:val="22"/>
          <w:szCs w:val="22"/>
        </w:rPr>
        <w:t>čas a místo předání zboží,</w:t>
      </w:r>
    </w:p>
    <w:p w:rsidR="0002205C" w:rsidRDefault="009A4C01">
      <w:pPr>
        <w:pStyle w:val="Odstavecseseznamem"/>
        <w:numPr>
          <w:ilvl w:val="0"/>
          <w:numId w:val="3"/>
        </w:numPr>
        <w:spacing w:before="60" w:after="0" w:line="240" w:lineRule="auto"/>
        <w:ind w:left="993" w:hanging="357"/>
        <w:jc w:val="both"/>
        <w:rPr>
          <w:b/>
          <w:bCs/>
          <w:sz w:val="22"/>
          <w:szCs w:val="22"/>
          <w:u w:val="single"/>
        </w:rPr>
      </w:pPr>
      <w:r>
        <w:rPr>
          <w:rFonts w:ascii="TeXGyreAdventor" w:hAnsi="TeXGyreAdventor"/>
          <w:sz w:val="22"/>
          <w:szCs w:val="22"/>
        </w:rPr>
        <w:t>jména a vlastnoruční podpis osob odpovědných za plnění této smlouvy.</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Je-li prodávajícím předložen při předání zboží dodací list nebo obdobný doklad, nahrazuje výše uvedený předávací protokol, nedohodnou-li se smluvní strany jinak.</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Prodávající se zavazuje umožnit kupujícímu prohlídku dodaného zboží.</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Kupující se zavazuje provést prohlídku předaného zboží nejpozději do 2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Kupující je oprávněn odmítnout převzetí zboží také tehdy, pokud prodávající nevyzve kupujícího k převzetí zboží včas dle odst. 4.3. této smlouvy.</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Oznámení o výhradách a oznámení o odmítnutí zboží musí obsahovat popis vad a právo, které kupující v důsledku vady zboží uplatňuje.</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 xml:space="preserve">Prodávající se zavazuje bezplatně odstranit oznámené vady ve lhůtě dle odst. 9.3. této smlouvy. </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Pro opětovné předání zboží se výše uvedený postup uplatní obdobně.</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lastRenderedPageBreak/>
        <w:t>Přechod nebezpečí škody na zboží a nabytí vlastnického práva</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Nebezpečí škody přechází na kupujícího převzetím zboží.</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Převzetím zboží nabývá kupující ke zboží vlastnické právo.</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Práva a povinnosti smluvních stran</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Prodávající je povinen po celou dobu provádění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rsidR="0002205C" w:rsidRDefault="009A4C01">
      <w:pPr>
        <w:pStyle w:val="Nadpis2"/>
        <w:keepLines w:val="0"/>
        <w:numPr>
          <w:ilvl w:val="1"/>
          <w:numId w:val="2"/>
        </w:numPr>
        <w:spacing w:before="240" w:after="160" w:line="240" w:lineRule="auto"/>
        <w:ind w:left="567" w:hanging="567"/>
        <w:jc w:val="both"/>
        <w:rPr>
          <w:rFonts w:ascii="Arial" w:hAnsi="Arial" w:cs="Arial"/>
          <w:color w:val="00000A"/>
          <w:sz w:val="22"/>
          <w:szCs w:val="22"/>
        </w:rPr>
      </w:pPr>
      <w:r>
        <w:rPr>
          <w:rFonts w:ascii="TeXGyreAdventor" w:hAnsi="TeXGyreAdventor" w:cs="Arial"/>
          <w:color w:val="00000A"/>
          <w:sz w:val="22"/>
          <w:szCs w:val="22"/>
        </w:rPr>
        <w:t xml:space="preserve">Předmět smlouvy je prodávající oprávněn realizovat sám nebo prostřednictvím třetích osob (poddodavatelů). Seznam poddodavatelů včetně uvedení jejich identifikačních údajů a věcného rozsahu plnění předložil prodávající před uzavřením této smlouvy a tento seznam se stal její přílohou č. 3. </w:t>
      </w:r>
    </w:p>
    <w:p w:rsidR="0002205C" w:rsidRDefault="009A4C01">
      <w:pPr>
        <w:pStyle w:val="Nadpis2"/>
        <w:keepLines w:val="0"/>
        <w:numPr>
          <w:ilvl w:val="1"/>
          <w:numId w:val="2"/>
        </w:numPr>
        <w:spacing w:before="240" w:after="160" w:line="240" w:lineRule="auto"/>
        <w:ind w:left="567" w:hanging="567"/>
        <w:jc w:val="both"/>
        <w:rPr>
          <w:rFonts w:ascii="Arial" w:hAnsi="Arial" w:cs="Arial"/>
          <w:color w:val="00000A"/>
          <w:sz w:val="22"/>
          <w:szCs w:val="22"/>
        </w:rPr>
      </w:pPr>
      <w:r>
        <w:rPr>
          <w:rFonts w:ascii="TeXGyreAdventor" w:hAnsi="TeXGyreAdventor" w:cs="Arial"/>
          <w:color w:val="00000A"/>
          <w:sz w:val="22"/>
          <w:szCs w:val="22"/>
        </w:rPr>
        <w:t>V případě, že prodávající prokazoval prostřednictvím třetí osoby (poddodavatele) splnění části kvalifikace v zadávacím řízení, musí se takový poddodavatel na plnění předmětu smlouvy podílet v rozsahu deklarovaném v písemném závazku poddodavatele, který prodávající předložil ve své nabídce podané v zadávacím řízení v souladu s § 83 odst. 1 písm. d) ZZVZ. Pokud obsahem písemného závazku jiné osoby byla společná a nerozdílná odpovědnost této osoby za plnění veřejné zakázky společně s prodávajícím ve smyslu § 83 odst. 2 ZZVZ, pak je tato jiná osoba identifikována v záhlaví této smlouvy a svým podpisem na této smlouvě svou společnou a nerozdílnou odpovědnost za splnění předmětu smlouvy stvrzuje.</w:t>
      </w:r>
    </w:p>
    <w:p w:rsidR="0002205C" w:rsidRDefault="009A4C01">
      <w:pPr>
        <w:pStyle w:val="Nadpis2"/>
        <w:keepLines w:val="0"/>
        <w:numPr>
          <w:ilvl w:val="1"/>
          <w:numId w:val="2"/>
        </w:numPr>
        <w:spacing w:before="240" w:after="160" w:line="240" w:lineRule="auto"/>
        <w:ind w:left="567" w:hanging="567"/>
        <w:jc w:val="both"/>
        <w:rPr>
          <w:rFonts w:ascii="Arial" w:hAnsi="Arial" w:cs="Arial"/>
          <w:color w:val="00000A"/>
          <w:sz w:val="22"/>
          <w:szCs w:val="22"/>
        </w:rPr>
      </w:pPr>
      <w:r>
        <w:rPr>
          <w:rFonts w:ascii="TeXGyreAdventor" w:hAnsi="TeXGyreAdventor" w:cs="Arial"/>
          <w:color w:val="00000A"/>
          <w:sz w:val="22"/>
          <w:szCs w:val="22"/>
        </w:rPr>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této smlouvy. V případě změny poddodavatele bude seznam poddodavatelů aktualizován. </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Smluvní strany si výslovně sjednaly, že prodávající nese plnou odpovědnost za splnění všech závazků a povinností vyplývajících z této smlouvy i ze strany svých poddodavatelů. To neplatí v případě, že jiná osoba (poddodavatel) ve </w:t>
      </w:r>
      <w:r>
        <w:rPr>
          <w:rFonts w:ascii="TeXGyreAdventor" w:hAnsi="TeXGyreAdventor"/>
          <w:sz w:val="22"/>
          <w:szCs w:val="22"/>
        </w:rPr>
        <w:lastRenderedPageBreak/>
        <w:t>smyslu odst. 7.5. převzala společnou a nerozdílnou odpovědnost za plnění této smlouvy. Taková osoba je společně s prodávajícím odpovědná za splnění závazků z této smlouvy i za činnost ostatních poddodavatelů.</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Kupní cena a platební podmínky</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Kupní cena je smluvními stranami sjednána ve výši: </w:t>
      </w:r>
    </w:p>
    <w:tbl>
      <w:tblPr>
        <w:tblW w:w="8380" w:type="dxa"/>
        <w:tblInd w:w="567" w:type="dxa"/>
        <w:tblLook w:val="00A0" w:firstRow="1" w:lastRow="0" w:firstColumn="1" w:lastColumn="0" w:noHBand="0" w:noVBand="0"/>
      </w:tblPr>
      <w:tblGrid>
        <w:gridCol w:w="5382"/>
        <w:gridCol w:w="2998"/>
      </w:tblGrid>
      <w:tr w:rsidR="0002205C">
        <w:trPr>
          <w:trHeight w:val="397"/>
        </w:trPr>
        <w:tc>
          <w:tcPr>
            <w:tcW w:w="5381" w:type="dxa"/>
            <w:shd w:val="clear" w:color="auto" w:fill="auto"/>
            <w:vAlign w:val="bottom"/>
          </w:tcPr>
          <w:p w:rsidR="0002205C" w:rsidRDefault="009A4C01">
            <w:pPr>
              <w:pStyle w:val="Odstavecseseznamem"/>
              <w:spacing w:after="0" w:line="240" w:lineRule="auto"/>
              <w:ind w:left="0"/>
              <w:jc w:val="both"/>
              <w:rPr>
                <w:sz w:val="22"/>
                <w:szCs w:val="22"/>
              </w:rPr>
            </w:pPr>
            <w:r>
              <w:rPr>
                <w:rFonts w:ascii="TeXGyreAdventor" w:hAnsi="TeXGyreAdventor"/>
                <w:sz w:val="22"/>
                <w:szCs w:val="22"/>
              </w:rPr>
              <w:t>Celková cena bez DPH</w:t>
            </w:r>
          </w:p>
        </w:tc>
        <w:tc>
          <w:tcPr>
            <w:tcW w:w="2998" w:type="dxa"/>
            <w:tcBorders>
              <w:bottom w:val="dotted" w:sz="4" w:space="0" w:color="00000A"/>
            </w:tcBorders>
            <w:shd w:val="clear" w:color="auto" w:fill="auto"/>
            <w:vAlign w:val="bottom"/>
          </w:tcPr>
          <w:p w:rsidR="0002205C" w:rsidRDefault="007A2086">
            <w:pPr>
              <w:pStyle w:val="Odstavecseseznamem"/>
              <w:spacing w:after="0" w:line="240" w:lineRule="auto"/>
              <w:ind w:left="0"/>
              <w:jc w:val="right"/>
              <w:rPr>
                <w:sz w:val="22"/>
                <w:szCs w:val="22"/>
              </w:rPr>
            </w:pPr>
            <w:r>
              <w:rPr>
                <w:rFonts w:ascii="TeXGyreAdventor" w:hAnsi="TeXGyreAdventor"/>
                <w:sz w:val="22"/>
                <w:szCs w:val="22"/>
              </w:rPr>
              <w:t>266.897,00</w:t>
            </w:r>
            <w:r w:rsidR="009A4C01">
              <w:rPr>
                <w:rFonts w:ascii="TeXGyreAdventor" w:hAnsi="TeXGyreAdventor"/>
                <w:sz w:val="22"/>
                <w:szCs w:val="22"/>
              </w:rPr>
              <w:t>,- Kč</w:t>
            </w:r>
          </w:p>
        </w:tc>
      </w:tr>
      <w:tr w:rsidR="0002205C">
        <w:trPr>
          <w:trHeight w:val="397"/>
        </w:trPr>
        <w:tc>
          <w:tcPr>
            <w:tcW w:w="5381" w:type="dxa"/>
            <w:shd w:val="clear" w:color="auto" w:fill="auto"/>
            <w:vAlign w:val="bottom"/>
          </w:tcPr>
          <w:p w:rsidR="0002205C" w:rsidRDefault="009A4C01" w:rsidP="007A2086">
            <w:pPr>
              <w:pStyle w:val="Odstavecseseznamem"/>
              <w:spacing w:after="0" w:line="240" w:lineRule="auto"/>
              <w:ind w:left="0"/>
              <w:jc w:val="both"/>
              <w:rPr>
                <w:sz w:val="22"/>
                <w:szCs w:val="22"/>
              </w:rPr>
            </w:pPr>
            <w:r>
              <w:rPr>
                <w:rFonts w:ascii="TeXGyreAdventor" w:hAnsi="TeXGyreAdventor"/>
                <w:sz w:val="22"/>
                <w:szCs w:val="22"/>
              </w:rPr>
              <w:t>DPH (</w:t>
            </w:r>
            <w:r w:rsidR="007A2086">
              <w:rPr>
                <w:rFonts w:ascii="TeXGyreAdventor" w:hAnsi="TeXGyreAdventor"/>
                <w:sz w:val="22"/>
                <w:szCs w:val="22"/>
              </w:rPr>
              <w:t>21</w:t>
            </w:r>
            <w:r>
              <w:rPr>
                <w:rFonts w:ascii="TeXGyreAdventor" w:hAnsi="TeXGyreAdventor"/>
                <w:sz w:val="22"/>
                <w:szCs w:val="22"/>
              </w:rPr>
              <w:t>%)</w:t>
            </w:r>
          </w:p>
        </w:tc>
        <w:tc>
          <w:tcPr>
            <w:tcW w:w="2998" w:type="dxa"/>
            <w:tcBorders>
              <w:top w:val="dotted" w:sz="4" w:space="0" w:color="00000A"/>
              <w:bottom w:val="dotted" w:sz="4" w:space="0" w:color="00000A"/>
            </w:tcBorders>
            <w:shd w:val="clear" w:color="auto" w:fill="auto"/>
            <w:vAlign w:val="bottom"/>
          </w:tcPr>
          <w:p w:rsidR="0002205C" w:rsidRDefault="007A2086">
            <w:pPr>
              <w:pStyle w:val="Odstavecseseznamem"/>
              <w:spacing w:after="0" w:line="240" w:lineRule="auto"/>
              <w:ind w:left="0"/>
              <w:jc w:val="right"/>
              <w:rPr>
                <w:sz w:val="22"/>
                <w:szCs w:val="22"/>
              </w:rPr>
            </w:pPr>
            <w:r>
              <w:rPr>
                <w:rFonts w:ascii="TeXGyreAdventor" w:hAnsi="TeXGyreAdventor"/>
                <w:sz w:val="22"/>
                <w:szCs w:val="22"/>
              </w:rPr>
              <w:t>56.048,37</w:t>
            </w:r>
            <w:r w:rsidR="009A4C01">
              <w:rPr>
                <w:rFonts w:ascii="TeXGyreAdventor" w:hAnsi="TeXGyreAdventor"/>
                <w:sz w:val="22"/>
                <w:szCs w:val="22"/>
              </w:rPr>
              <w:t>,- Kč</w:t>
            </w:r>
          </w:p>
        </w:tc>
      </w:tr>
      <w:tr w:rsidR="0002205C">
        <w:trPr>
          <w:trHeight w:val="397"/>
        </w:trPr>
        <w:tc>
          <w:tcPr>
            <w:tcW w:w="5381" w:type="dxa"/>
            <w:shd w:val="clear" w:color="auto" w:fill="auto"/>
            <w:vAlign w:val="bottom"/>
          </w:tcPr>
          <w:p w:rsidR="0002205C" w:rsidRDefault="009A4C01">
            <w:pPr>
              <w:pStyle w:val="Odstavecseseznamem"/>
              <w:spacing w:after="0" w:line="240" w:lineRule="auto"/>
              <w:ind w:left="0"/>
              <w:jc w:val="both"/>
              <w:rPr>
                <w:sz w:val="22"/>
                <w:szCs w:val="22"/>
              </w:rPr>
            </w:pPr>
            <w:r>
              <w:rPr>
                <w:rFonts w:ascii="TeXGyreAdventor" w:hAnsi="TeXGyreAdventor"/>
                <w:sz w:val="22"/>
                <w:szCs w:val="22"/>
              </w:rPr>
              <w:t>Celková cena vč. DPH</w:t>
            </w:r>
          </w:p>
        </w:tc>
        <w:tc>
          <w:tcPr>
            <w:tcW w:w="2998" w:type="dxa"/>
            <w:tcBorders>
              <w:top w:val="dotted" w:sz="4" w:space="0" w:color="00000A"/>
              <w:bottom w:val="dotted" w:sz="4" w:space="0" w:color="00000A"/>
            </w:tcBorders>
            <w:shd w:val="clear" w:color="auto" w:fill="auto"/>
            <w:vAlign w:val="bottom"/>
          </w:tcPr>
          <w:p w:rsidR="0002205C" w:rsidRDefault="007A2086">
            <w:pPr>
              <w:pStyle w:val="Odstavecseseznamem"/>
              <w:spacing w:after="0" w:line="240" w:lineRule="auto"/>
              <w:ind w:left="0"/>
              <w:jc w:val="right"/>
              <w:rPr>
                <w:sz w:val="22"/>
                <w:szCs w:val="22"/>
              </w:rPr>
            </w:pPr>
            <w:r>
              <w:rPr>
                <w:rFonts w:ascii="TeXGyreAdventor" w:hAnsi="TeXGyreAdventor"/>
                <w:sz w:val="22"/>
                <w:szCs w:val="22"/>
              </w:rPr>
              <w:t>322.945,37</w:t>
            </w:r>
            <w:r w:rsidR="009A4C01">
              <w:rPr>
                <w:rFonts w:ascii="TeXGyreAdventor" w:hAnsi="TeXGyreAdventor"/>
                <w:sz w:val="22"/>
                <w:szCs w:val="22"/>
              </w:rPr>
              <w:t>,- Kč</w:t>
            </w:r>
          </w:p>
        </w:tc>
      </w:tr>
    </w:tbl>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Cena dle odst. 8.1. uvedená bez DPH byla stanovena na základě jednotkových cen požadovaného zboží ve sjednaném množství a kvalitě, které je uvedeno v cenové nabídce v příloze č. 2 této smlouvy. Jednotkové ceny zboží jsou stanoveny jako konečné a nepřekročitelné a zahrnují veškeré náklady nezbytné k řádnému splnění závazků prodávajícího, včetně inflace.</w:t>
      </w:r>
    </w:p>
    <w:p w:rsidR="0002205C" w:rsidRDefault="009A4C01">
      <w:pPr>
        <w:numPr>
          <w:ilvl w:val="1"/>
          <w:numId w:val="2"/>
        </w:numPr>
        <w:spacing w:before="120" w:after="0" w:line="240" w:lineRule="auto"/>
        <w:ind w:left="567" w:hanging="567"/>
        <w:jc w:val="both"/>
        <w:rPr>
          <w:sz w:val="22"/>
          <w:szCs w:val="22"/>
        </w:rPr>
      </w:pPr>
      <w:r>
        <w:rPr>
          <w:rFonts w:ascii="TeXGyreAdventor" w:hAnsi="TeXGyreAdventor"/>
          <w:sz w:val="22"/>
          <w:szCs w:val="22"/>
        </w:rPr>
        <w:t xml:space="preserve">Jednotkové  ceny zahrnují veškeré náklady na zhotovení a dodávku zboží včetně obvyklých obalů, dopravy do místa plnění a pojištění při přepravě, instalace (montáže a rozmístění), uvedení do provozu s předvedením funkčnosti (u el. zařízení), úklidu a likvidace obalů a odpadů, instruktáže obsluhy osobou k tomu oprávněnou, včetně případných nezbytných revizí, atestů, technické dokumentace. Ceny  zahrnují  veškeré další náklady prodávajícího  nutné pro realizaci předmětu plnění, včetně pojištění, daní, cel a poplatků, úroků z půjček a všech rizik a vlivů (především kursových a inflačních), včetně nákladů na poskytování bezplatného záručního servisu ve sjednaném rozsahu po sjednanou dobu.  </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Prodávající je oprávněn fakturovat cenu po předání zboží za předpokladu, že podle čl. V této smlouvy je zboží akceptováno bez výhrad a prodávající řádně splnil další závazky vyplývající z této smlouvy.</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Faktura (daňový doklad) je splatná ve lhůtě 30 dnů od jejího doručení kupujícímu. Faktura bude vystavena ve třech originálních vyhotoveních. Zadavatel nebude dodavateli poskytovat zálohy.</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 xml:space="preserve">Faktura (daňový doklad) musí obsahovat zejména: </w:t>
      </w:r>
    </w:p>
    <w:p w:rsidR="0002205C" w:rsidRDefault="009A4C01">
      <w:pPr>
        <w:pStyle w:val="Odstavecseseznamem"/>
        <w:numPr>
          <w:ilvl w:val="0"/>
          <w:numId w:val="4"/>
        </w:numPr>
        <w:spacing w:before="60" w:after="0" w:line="240" w:lineRule="auto"/>
        <w:ind w:left="992" w:hanging="357"/>
        <w:jc w:val="both"/>
        <w:rPr>
          <w:sz w:val="22"/>
          <w:szCs w:val="22"/>
        </w:rPr>
      </w:pPr>
      <w:r>
        <w:rPr>
          <w:rFonts w:ascii="TeXGyreAdventor" w:hAnsi="TeXGyreAdventor"/>
          <w:sz w:val="22"/>
          <w:szCs w:val="22"/>
        </w:rPr>
        <w:t>označení osoby prodávajícího včetně uvedení sídla a IČ (DIČ),</w:t>
      </w:r>
    </w:p>
    <w:p w:rsidR="0002205C" w:rsidRDefault="009A4C01">
      <w:pPr>
        <w:pStyle w:val="Odstavecseseznamem"/>
        <w:numPr>
          <w:ilvl w:val="0"/>
          <w:numId w:val="4"/>
        </w:numPr>
        <w:spacing w:before="60" w:after="0" w:line="240" w:lineRule="auto"/>
        <w:ind w:left="992" w:hanging="357"/>
        <w:jc w:val="both"/>
        <w:rPr>
          <w:sz w:val="22"/>
          <w:szCs w:val="22"/>
        </w:rPr>
      </w:pPr>
      <w:r>
        <w:rPr>
          <w:rFonts w:ascii="TeXGyreAdventor" w:hAnsi="TeXGyreAdventor"/>
          <w:sz w:val="22"/>
          <w:szCs w:val="22"/>
        </w:rPr>
        <w:t xml:space="preserve">označení osoby kupujícího včetně uvedení sídla, IČ a DIČ, </w:t>
      </w:r>
    </w:p>
    <w:p w:rsidR="0002205C" w:rsidRDefault="009A4C01">
      <w:pPr>
        <w:pStyle w:val="Odstavecseseznamem"/>
        <w:numPr>
          <w:ilvl w:val="0"/>
          <w:numId w:val="4"/>
        </w:numPr>
        <w:spacing w:before="60" w:after="0" w:line="240" w:lineRule="auto"/>
        <w:ind w:left="992" w:hanging="357"/>
        <w:jc w:val="both"/>
        <w:rPr>
          <w:sz w:val="22"/>
          <w:szCs w:val="22"/>
        </w:rPr>
      </w:pPr>
      <w:r>
        <w:rPr>
          <w:rFonts w:ascii="TeXGyreAdventor" w:hAnsi="TeXGyreAdventor"/>
          <w:sz w:val="22"/>
          <w:szCs w:val="22"/>
        </w:rPr>
        <w:t>evidenční číslo faktury a datum vystavení faktury,</w:t>
      </w:r>
    </w:p>
    <w:p w:rsidR="0002205C" w:rsidRDefault="009A4C01">
      <w:pPr>
        <w:pStyle w:val="Odstavecseseznamem"/>
        <w:numPr>
          <w:ilvl w:val="0"/>
          <w:numId w:val="4"/>
        </w:numPr>
        <w:spacing w:before="60" w:after="0" w:line="240" w:lineRule="auto"/>
        <w:ind w:left="992" w:hanging="357"/>
        <w:jc w:val="both"/>
        <w:rPr>
          <w:sz w:val="22"/>
          <w:szCs w:val="22"/>
        </w:rPr>
      </w:pPr>
      <w:r>
        <w:rPr>
          <w:rFonts w:ascii="TeXGyreAdventor" w:hAnsi="TeXGyreAdventor"/>
          <w:sz w:val="22"/>
          <w:szCs w:val="22"/>
        </w:rPr>
        <w:t>rozsah a předmět plnění (nestačí pouze odkaz na evidenční číslo této smlouvy),</w:t>
      </w:r>
    </w:p>
    <w:p w:rsidR="0002205C" w:rsidRDefault="009A4C01">
      <w:pPr>
        <w:pStyle w:val="Odstavecseseznamem"/>
        <w:numPr>
          <w:ilvl w:val="0"/>
          <w:numId w:val="4"/>
        </w:numPr>
        <w:spacing w:before="60" w:after="0" w:line="240" w:lineRule="auto"/>
        <w:ind w:left="992" w:hanging="357"/>
        <w:jc w:val="both"/>
        <w:rPr>
          <w:sz w:val="22"/>
          <w:szCs w:val="22"/>
        </w:rPr>
      </w:pPr>
      <w:r>
        <w:rPr>
          <w:rFonts w:ascii="TeXGyreAdventor" w:hAnsi="TeXGyreAdventor"/>
          <w:sz w:val="22"/>
          <w:szCs w:val="22"/>
        </w:rPr>
        <w:t>den uskutečnění plnění,</w:t>
      </w:r>
    </w:p>
    <w:p w:rsidR="0002205C" w:rsidRDefault="009A4C01">
      <w:pPr>
        <w:pStyle w:val="Odstavecseseznamem"/>
        <w:numPr>
          <w:ilvl w:val="0"/>
          <w:numId w:val="4"/>
        </w:numPr>
        <w:spacing w:before="60" w:after="0" w:line="240" w:lineRule="auto"/>
        <w:ind w:left="992" w:hanging="357"/>
        <w:jc w:val="both"/>
        <w:rPr>
          <w:sz w:val="22"/>
          <w:szCs w:val="22"/>
        </w:rPr>
      </w:pPr>
      <w:r>
        <w:rPr>
          <w:rFonts w:ascii="TeXGyreAdventor" w:hAnsi="TeXGyreAdventor"/>
          <w:sz w:val="22"/>
          <w:szCs w:val="22"/>
        </w:rPr>
        <w:t xml:space="preserve">označení této smlouvy včetně uvedení jejího evidenčního čísla, </w:t>
      </w:r>
    </w:p>
    <w:p w:rsidR="0002205C" w:rsidRDefault="009A4C01">
      <w:pPr>
        <w:pStyle w:val="Odstavecseseznamem"/>
        <w:numPr>
          <w:ilvl w:val="0"/>
          <w:numId w:val="4"/>
        </w:numPr>
        <w:spacing w:before="60" w:after="0" w:line="240" w:lineRule="auto"/>
        <w:ind w:left="992" w:hanging="357"/>
        <w:jc w:val="both"/>
        <w:rPr>
          <w:sz w:val="22"/>
          <w:szCs w:val="22"/>
        </w:rPr>
      </w:pPr>
      <w:r>
        <w:rPr>
          <w:rFonts w:ascii="TeXGyreAdventor" w:hAnsi="TeXGyreAdventor"/>
          <w:sz w:val="22"/>
          <w:szCs w:val="22"/>
        </w:rPr>
        <w:t>lhůtu splatnosti v souladu s předchozím odstavcem,</w:t>
      </w:r>
    </w:p>
    <w:p w:rsidR="0002205C" w:rsidRDefault="009A4C01">
      <w:pPr>
        <w:pStyle w:val="Odstavecseseznamem"/>
        <w:numPr>
          <w:ilvl w:val="0"/>
          <w:numId w:val="4"/>
        </w:numPr>
        <w:spacing w:before="60" w:after="0" w:line="240" w:lineRule="auto"/>
        <w:ind w:left="992" w:hanging="357"/>
        <w:jc w:val="both"/>
        <w:rPr>
          <w:sz w:val="22"/>
          <w:szCs w:val="22"/>
        </w:rPr>
      </w:pPr>
      <w:r>
        <w:rPr>
          <w:rFonts w:ascii="TeXGyreAdventor" w:hAnsi="TeXGyreAdventor"/>
          <w:sz w:val="22"/>
          <w:szCs w:val="22"/>
        </w:rPr>
        <w:t>označení banky a číslo účtu, na který má být cena poukázána.</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lastRenderedPageBreak/>
        <w:t xml:space="preserve">Kromě náležitostí uvedených v předchozím odstavci musí faktura (daňový doklad) obsahovat náležitosti dle příslušných právních předpisů. </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Jestliže faktura (daňový doklad) nebude obsahovat dohodnuté náležitosti, nebo náležitosti dle příslušných právních předpisů, nebo bude mít jiné vady, je kupující oprávněn ji vrátit prodávající s uvedením vad. V takovém případě se přeruší lhůta splatnosti a počne běžet znovu ve stejné délce doručením opravené faktury (daňového dokladu).</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Dohodnutou kupní cenu uhradí kupující na základě faktury (daňového dokladu), která obsahuje všechny náležitosti stanovené touto smlouvou a příslušnými právními předpisy, bezhotovostním převodem na účet prodávajícího uvedený v čl. I této smlouvy.</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Odpovědnost prodávajícího za vady</w:t>
      </w:r>
    </w:p>
    <w:p w:rsidR="0002205C" w:rsidRDefault="009A4C01">
      <w:pPr>
        <w:pStyle w:val="Odstavecseseznamem"/>
        <w:numPr>
          <w:ilvl w:val="1"/>
          <w:numId w:val="2"/>
        </w:numPr>
        <w:spacing w:before="240" w:after="0" w:line="240" w:lineRule="auto"/>
        <w:ind w:left="567" w:hanging="567"/>
        <w:jc w:val="both"/>
      </w:pPr>
      <w:r>
        <w:rPr>
          <w:rFonts w:ascii="TeXGyreAdventor" w:hAnsi="TeXGyreAdventor"/>
          <w:sz w:val="22"/>
          <w:szCs w:val="22"/>
        </w:rPr>
        <w:t>Prodávající poskytuje záruku za dodané zboží po dobu</w:t>
      </w:r>
      <w:r>
        <w:rPr>
          <w:rFonts w:ascii="TeXGyreAdventor" w:hAnsi="TeXGyreAdventor"/>
          <w:color w:val="FF3333"/>
          <w:sz w:val="22"/>
          <w:szCs w:val="22"/>
        </w:rPr>
        <w:t xml:space="preserve"> 12 měsíců</w:t>
      </w:r>
      <w:r>
        <w:rPr>
          <w:rFonts w:ascii="TeXGyreAdventor" w:hAnsi="TeXGyreAdventor"/>
          <w:sz w:val="22"/>
          <w:szCs w:val="22"/>
        </w:rPr>
        <w:t xml:space="preserve"> od předání bezvadného zboží. Záruční doba běží ode dne předání a převzetí zboží v souladu s čl. V této smlouvy. </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 xml:space="preserve">Kupující má nárok na bezplatné odstranění jakékoli vady, kterou mělo zboží při předání a převzetí, nebo kterou kupující zjistil kdykoli během záruční doby. </w:t>
      </w:r>
    </w:p>
    <w:p w:rsidR="0002205C" w:rsidRDefault="009A4C01">
      <w:pPr>
        <w:pStyle w:val="Odstavecseseznamem"/>
        <w:numPr>
          <w:ilvl w:val="1"/>
          <w:numId w:val="2"/>
        </w:numPr>
        <w:spacing w:before="240" w:after="0" w:line="240" w:lineRule="auto"/>
        <w:ind w:left="567" w:hanging="567"/>
        <w:jc w:val="both"/>
      </w:pPr>
      <w:r>
        <w:rPr>
          <w:rFonts w:ascii="TeXGyreAdventor" w:hAnsi="TeXGyreAdventor"/>
          <w:sz w:val="22"/>
          <w:szCs w:val="22"/>
        </w:rPr>
        <w:t xml:space="preserve">Prodávající se zavazuje vadu zboží odstranit neprodleně, nejpozději však do  </w:t>
      </w:r>
      <w:r>
        <w:rPr>
          <w:rFonts w:ascii="TeXGyreAdventor" w:hAnsi="TeXGyreAdventor"/>
          <w:color w:val="FF3333"/>
          <w:sz w:val="22"/>
          <w:szCs w:val="22"/>
        </w:rPr>
        <w:t>30 dnů</w:t>
      </w:r>
      <w:r>
        <w:rPr>
          <w:rFonts w:ascii="TeXGyreAdventor" w:hAnsi="TeXGyreAdventor"/>
          <w:sz w:val="22"/>
          <w:szCs w:val="22"/>
        </w:rPr>
        <w:t xml:space="preserve"> ode dne doručení písemného oznámení kupujícího o vadách zboží. </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rsidR="0002205C" w:rsidRDefault="009A4C01">
      <w:pPr>
        <w:pStyle w:val="Odstavecseseznamem"/>
        <w:numPr>
          <w:ilvl w:val="1"/>
          <w:numId w:val="2"/>
        </w:numPr>
        <w:spacing w:before="240" w:after="0" w:line="240" w:lineRule="auto"/>
        <w:ind w:left="567" w:hanging="567"/>
        <w:jc w:val="both"/>
        <w:rPr>
          <w:sz w:val="22"/>
          <w:szCs w:val="22"/>
        </w:rPr>
      </w:pPr>
      <w:r>
        <w:rPr>
          <w:rFonts w:ascii="TeXGyreAdventor" w:hAnsi="TeXGyreAdventor"/>
          <w:sz w:val="22"/>
          <w:szCs w:val="22"/>
        </w:rPr>
        <w:t xml:space="preserve">Písemné oznámení vady musí obsahovat její popis a právo, které kupující v důsledku vady zboží uplatňuje. Za písemné oznámení se považuje i zpráva zaslaná e-mailem na adresu </w:t>
      </w:r>
      <w:r w:rsidR="007A2086">
        <w:rPr>
          <w:rFonts w:ascii="TeXGyreAdventor" w:hAnsi="TeXGyreAdventor"/>
          <w:sz w:val="22"/>
          <w:szCs w:val="22"/>
        </w:rPr>
        <w:t>radek.leeb@advantage-fl.cz.</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Dohoda o smluvní pokutě, úrok z prodlení, náhrada škody a započtení</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V případě, že prodávající nepředá zboží v dohodnutém termínu na dohodnuté místo, zavazuje se kupujícímu uhradit smluvní pokutu ve výši 0,5% z  kupní ceny nedodaného zboží  včetně DPH za každý započatý den prodlení.</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V případě prodlení prodávajícího s odstraněním vad zboží nebo jeho části ve lhůtě stanovené touto smlouvou se prodávající zavazuje kupujícímu uhradit smluvní pokutu ve výši 0,05% z ceny vč. DPH vadného zboží za každý jeden započatý den prodlení, nejméně však 500,00 Kč za každý započatý den prodlení a každý vadný výrobek</w:t>
      </w:r>
      <w:r>
        <w:rPr>
          <w:rFonts w:ascii="TeXGyreAdventor" w:hAnsi="TeXGyreAdventor"/>
          <w:color w:val="0070C0"/>
          <w:sz w:val="22"/>
          <w:szCs w:val="22"/>
        </w:rPr>
        <w:t>.</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Smluvní pokuta je za účelem jejího započtení proti pohledávce prodávajícího na zaplacení kupní ceny splatná ihned po zániku utvrzené povinnosti. Úrok </w:t>
      </w:r>
      <w:r>
        <w:rPr>
          <w:rFonts w:ascii="TeXGyreAdventor" w:hAnsi="TeXGyreAdventor"/>
          <w:sz w:val="22"/>
          <w:szCs w:val="22"/>
        </w:rPr>
        <w:lastRenderedPageBreak/>
        <w:t xml:space="preserve">z prodlení vzniklý v důsledku včasného neuhrazení smluvní pokuty je za účelem jeho započtení proti pohledávce prodávajícího na zaplacení kupní ceny splatný ihned po jeho vzniku. </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Kupující se zavazuje při prodlení se zaplacením faktury zaplatit prodávajícímu úrok z prodlení ve výši 0,05% z fakturované částky za každý den prodlení. </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ZZVZ.</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Odstoupení od smlouvy</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Smluvní strany mohou odstoupit od této smlouvy z důvodů stanovených zákonem nebo touto smlouvou. </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Doručování písemností</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Zástupci smluvních stran, kteří jsou uvedeni v čl. I této smlouvy, jednají za smluvní strany ve všech věcech souvisejících s plněním této smlouvy, zejména podepisují zápisy z jednání smluvních stran a předávací protokol. Určený zástupce kupujícího je též oprávněn oznamovat za kupujícího vady zboží a činit další oznámení, žádosti či jiné úkony podle této smlouvy.</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Změna zástupců smluvních stran nevyžaduje změnu této smlouvy. Smluvní strana, o jejíhož zástupce jde, je však povinna takovou změnu bez zbytečného odkladu písemně sdělit druhé smluvní straně. </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Kromě jiných způsobů komunikace dohodnutých mezi smluvními stranami se za účinné považují osobní doručování, doručování doporučenou poštou, datovou schránkou, faxem či elektronickou poštou e-mailem. Pro doručování platí kontaktní údaje smluvních stran dle čl. I nebo kontaktní údaje, které si smluvní strany po uzavření této smlouvy písemně oznámily. </w:t>
      </w:r>
    </w:p>
    <w:p w:rsidR="0002205C" w:rsidRDefault="009A4C01">
      <w:pPr>
        <w:pStyle w:val="Odstavecseseznamem"/>
        <w:numPr>
          <w:ilvl w:val="1"/>
          <w:numId w:val="2"/>
        </w:numPr>
        <w:spacing w:before="240" w:after="0" w:line="240" w:lineRule="auto"/>
        <w:ind w:left="567" w:hanging="567"/>
        <w:jc w:val="both"/>
        <w:rPr>
          <w:b/>
          <w:bCs/>
          <w:sz w:val="22"/>
          <w:szCs w:val="22"/>
          <w:u w:val="single"/>
        </w:rPr>
      </w:pPr>
      <w:r>
        <w:rPr>
          <w:rFonts w:ascii="TeXGyreAdventor" w:hAnsi="TeXGyreAdventor"/>
          <w:sz w:val="22"/>
          <w:szCs w:val="22"/>
        </w:rPr>
        <w:t xml:space="preserve">Oznámení správně adresovaná se považují za uskutečněná v případě osobního doručování anebo doručování doporučenou poštou okamžikem doručení, v případě posílání faxem či elektronickou poštou e-mailem </w:t>
      </w:r>
      <w:r>
        <w:rPr>
          <w:rFonts w:ascii="TeXGyreAdventor" w:hAnsi="TeXGyreAdventor"/>
          <w:sz w:val="22"/>
          <w:szCs w:val="22"/>
        </w:rPr>
        <w:lastRenderedPageBreak/>
        <w:t xml:space="preserve">okamžikem obdržení potvrzení o doručení od protistrany při použití stejného komunikačního kanálu. </w:t>
      </w:r>
    </w:p>
    <w:p w:rsidR="0002205C" w:rsidRDefault="009A4C01">
      <w:pPr>
        <w:pStyle w:val="Odstavecseseznamem"/>
        <w:numPr>
          <w:ilvl w:val="0"/>
          <w:numId w:val="2"/>
        </w:numPr>
        <w:spacing w:before="480" w:after="0" w:line="240" w:lineRule="auto"/>
        <w:ind w:left="0" w:firstLine="0"/>
        <w:jc w:val="center"/>
        <w:rPr>
          <w:b/>
          <w:bCs/>
          <w:sz w:val="22"/>
          <w:szCs w:val="22"/>
          <w:u w:val="single"/>
        </w:rPr>
      </w:pPr>
      <w:r>
        <w:rPr>
          <w:rFonts w:ascii="TeXGyreAdventor" w:hAnsi="TeXGyreAdventor"/>
          <w:b/>
          <w:bCs/>
          <w:sz w:val="22"/>
          <w:szCs w:val="22"/>
          <w:u w:val="single"/>
        </w:rPr>
        <w:t>Závěrečná ustanovení</w:t>
      </w:r>
    </w:p>
    <w:p w:rsidR="0002205C" w:rsidRDefault="009A4C01">
      <w:pPr>
        <w:pStyle w:val="Seznam"/>
        <w:numPr>
          <w:ilvl w:val="1"/>
          <w:numId w:val="2"/>
        </w:numPr>
        <w:suppressAutoHyphens/>
        <w:spacing w:before="200" w:after="160"/>
        <w:ind w:left="567" w:hanging="567"/>
        <w:jc w:val="both"/>
        <w:rPr>
          <w:rFonts w:cs="Arial"/>
          <w:sz w:val="22"/>
          <w:szCs w:val="22"/>
        </w:rPr>
      </w:pPr>
      <w:r>
        <w:rPr>
          <w:rFonts w:ascii="TeXGyreAdventor" w:hAnsi="TeXGyreAdventor" w:cs="Arial"/>
          <w:sz w:val="22"/>
          <w:szCs w:val="22"/>
        </w:rPr>
        <w:t>Prodávající není oprávněn bez předchozího písemného souhlasu kupujícího převádět jakékoliv pohledávky či práva nebo závazky vyplývající pro něj z této smlouvy na třetí osoby.</w:t>
      </w:r>
    </w:p>
    <w:p w:rsidR="0002205C" w:rsidRDefault="009A4C01">
      <w:pPr>
        <w:pStyle w:val="Seznam"/>
        <w:numPr>
          <w:ilvl w:val="1"/>
          <w:numId w:val="2"/>
        </w:numPr>
        <w:suppressAutoHyphens/>
        <w:spacing w:before="200" w:after="160"/>
        <w:ind w:left="567" w:hanging="567"/>
        <w:jc w:val="both"/>
        <w:rPr>
          <w:rFonts w:cs="Arial"/>
          <w:sz w:val="22"/>
          <w:szCs w:val="22"/>
        </w:rPr>
      </w:pPr>
      <w:r>
        <w:rPr>
          <w:rFonts w:ascii="TeXGyreAdventor" w:hAnsi="TeXGyreAdventor" w:cs="Arial"/>
          <w:sz w:val="22"/>
          <w:szCs w:val="22"/>
        </w:rPr>
        <w:t>Smlouvu lze měnit nebo zrušit na základě dohody obou smluvních stran, a to pouze písemnou formou.</w:t>
      </w:r>
    </w:p>
    <w:p w:rsidR="0002205C" w:rsidRDefault="009A4C01">
      <w:pPr>
        <w:pStyle w:val="Seznam"/>
        <w:numPr>
          <w:ilvl w:val="1"/>
          <w:numId w:val="2"/>
        </w:numPr>
        <w:suppressAutoHyphens/>
        <w:spacing w:before="200" w:after="160"/>
        <w:ind w:left="567" w:hanging="567"/>
        <w:jc w:val="both"/>
        <w:rPr>
          <w:rFonts w:cs="Arial"/>
          <w:sz w:val="22"/>
          <w:szCs w:val="22"/>
        </w:rPr>
      </w:pPr>
      <w:r>
        <w:rPr>
          <w:rFonts w:ascii="TeXGyreAdventor" w:hAnsi="TeXGyreAdventor" w:cs="Arial"/>
          <w:sz w:val="22"/>
          <w:szCs w:val="22"/>
        </w:rPr>
        <w:t>Práva a povinnosti smluvních stran se řídí ustanoveními této smlouvy a ustanoveními občanského zákoníku. V případě konfliktu mají přednost ustanovení této smlouvy, pokud nejsou v rozporu s ustanoveními občanského zákoníku a dalšími právními předpisy.</w:t>
      </w:r>
    </w:p>
    <w:p w:rsidR="0002205C" w:rsidRDefault="009A4C01">
      <w:pPr>
        <w:pStyle w:val="Seznam"/>
        <w:numPr>
          <w:ilvl w:val="1"/>
          <w:numId w:val="2"/>
        </w:numPr>
        <w:suppressAutoHyphens/>
        <w:spacing w:before="200" w:after="160"/>
        <w:ind w:left="567" w:hanging="567"/>
        <w:jc w:val="both"/>
        <w:rPr>
          <w:rFonts w:cs="Arial"/>
          <w:sz w:val="22"/>
          <w:szCs w:val="22"/>
        </w:rPr>
      </w:pPr>
      <w:r>
        <w:rPr>
          <w:rFonts w:ascii="TeXGyreAdventor" w:hAnsi="TeXGyreAdventor" w:cs="Arial"/>
          <w:sz w:val="22"/>
          <w:szCs w:val="22"/>
        </w:rPr>
        <w:t xml:space="preserve">Tato smlouva je vyhotovena ve 3 vyhotoveních, z nichž 2 vyhotovení obdrží kupující a 1 prodávající. </w:t>
      </w:r>
    </w:p>
    <w:p w:rsidR="0002205C" w:rsidRDefault="009A4C01">
      <w:pPr>
        <w:pStyle w:val="Zkladntext"/>
        <w:numPr>
          <w:ilvl w:val="1"/>
          <w:numId w:val="2"/>
        </w:numPr>
        <w:spacing w:before="240" w:after="160"/>
        <w:ind w:left="567" w:hanging="567"/>
        <w:rPr>
          <w:rFonts w:ascii="Arial" w:hAnsi="Arial" w:cs="Arial"/>
          <w:sz w:val="22"/>
          <w:szCs w:val="22"/>
        </w:rPr>
      </w:pPr>
      <w:r>
        <w:rPr>
          <w:rFonts w:ascii="TeXGyreAdventor" w:hAnsi="TeXGyreAdventor" w:cs="Arial"/>
          <w:sz w:val="22"/>
          <w:szCs w:val="22"/>
        </w:rPr>
        <w:t xml:space="preserve">Smlouva včetně všech jejích změn a dodatků bude uveřejněna v souladu s platnými právními předpisy  </w:t>
      </w:r>
    </w:p>
    <w:p w:rsidR="0002205C" w:rsidRDefault="009A4C01">
      <w:pPr>
        <w:pStyle w:val="Seznam"/>
        <w:numPr>
          <w:ilvl w:val="1"/>
          <w:numId w:val="2"/>
        </w:numPr>
        <w:suppressAutoHyphens/>
        <w:spacing w:before="200" w:after="160"/>
        <w:ind w:left="567" w:hanging="567"/>
        <w:jc w:val="both"/>
        <w:rPr>
          <w:rFonts w:cs="Arial"/>
          <w:sz w:val="22"/>
          <w:szCs w:val="22"/>
        </w:rPr>
      </w:pPr>
      <w:r>
        <w:rPr>
          <w:rFonts w:ascii="TeXGyreAdventor" w:hAnsi="TeXGyreAdventor" w:cs="Arial"/>
          <w:sz w:val="22"/>
          <w:szCs w:val="22"/>
        </w:rPr>
        <w:t>Tato smlouva nabývá platnosti i účinnosti dnem jejího podpisu oběma smluvními stranami.</w:t>
      </w:r>
    </w:p>
    <w:p w:rsidR="0002205C" w:rsidRDefault="009A4C01">
      <w:pPr>
        <w:pStyle w:val="Seznam"/>
        <w:numPr>
          <w:ilvl w:val="1"/>
          <w:numId w:val="2"/>
        </w:numPr>
        <w:suppressAutoHyphens/>
        <w:spacing w:before="200" w:after="160"/>
        <w:ind w:left="567" w:hanging="567"/>
        <w:jc w:val="both"/>
        <w:rPr>
          <w:rFonts w:cs="Arial"/>
          <w:sz w:val="22"/>
          <w:szCs w:val="22"/>
        </w:rPr>
      </w:pPr>
      <w:r>
        <w:rPr>
          <w:rFonts w:ascii="TeXGyreAdventor" w:hAnsi="TeXGyreAdventor" w:cs="Arial"/>
          <w:sz w:val="22"/>
          <w:szCs w:val="22"/>
        </w:rPr>
        <w:t xml:space="preserve">Smluvní strany po přečtení smlouvy prohlašují, že souhlasí s jejím obsahem, že smlouva byla sepsána určitě, srozumitelně, na základě jejich pravé a svobodné vůle, bez nátlaku na některou ze stran. Na důkaz toho připojují své podpisy. </w:t>
      </w:r>
    </w:p>
    <w:p w:rsidR="0002205C" w:rsidRDefault="009A4C01">
      <w:pPr>
        <w:pStyle w:val="Seznam"/>
        <w:numPr>
          <w:ilvl w:val="1"/>
          <w:numId w:val="2"/>
        </w:numPr>
        <w:suppressAutoHyphens/>
        <w:spacing w:before="200" w:after="160"/>
        <w:ind w:left="567" w:hanging="567"/>
        <w:jc w:val="both"/>
        <w:rPr>
          <w:rFonts w:cs="Arial"/>
          <w:sz w:val="22"/>
          <w:szCs w:val="22"/>
        </w:rPr>
      </w:pPr>
      <w:r>
        <w:rPr>
          <w:rFonts w:ascii="TeXGyreAdventor" w:hAnsi="TeXGyreAdventor" w:cs="Arial"/>
          <w:sz w:val="22"/>
          <w:szCs w:val="22"/>
        </w:rPr>
        <w:t>Nedílnou součástí této smlouvy o dílo je:</w:t>
      </w:r>
    </w:p>
    <w:p w:rsidR="0002205C" w:rsidRDefault="009A4C01">
      <w:pPr>
        <w:pStyle w:val="Seznam"/>
        <w:ind w:left="567" w:firstLine="0"/>
        <w:jc w:val="both"/>
        <w:rPr>
          <w:rFonts w:cs="Arial"/>
          <w:sz w:val="22"/>
          <w:szCs w:val="22"/>
        </w:rPr>
      </w:pPr>
      <w:r>
        <w:rPr>
          <w:rFonts w:ascii="TeXGyreAdventor" w:hAnsi="TeXGyreAdventor" w:cs="Arial"/>
          <w:sz w:val="22"/>
          <w:szCs w:val="22"/>
        </w:rPr>
        <w:t>Příloha č. 1: Technická specifikace předmětu dodávky - jednotlivého vybavení</w:t>
      </w:r>
    </w:p>
    <w:p w:rsidR="0002205C" w:rsidRDefault="009A4C01">
      <w:pPr>
        <w:pStyle w:val="Seznam"/>
        <w:ind w:left="567" w:firstLine="0"/>
        <w:jc w:val="both"/>
        <w:rPr>
          <w:rFonts w:cs="Arial"/>
          <w:sz w:val="22"/>
          <w:szCs w:val="22"/>
        </w:rPr>
      </w:pPr>
      <w:r>
        <w:rPr>
          <w:rFonts w:ascii="TeXGyreAdventor" w:hAnsi="TeXGyreAdventor" w:cs="Arial"/>
          <w:sz w:val="22"/>
          <w:szCs w:val="22"/>
        </w:rPr>
        <w:t xml:space="preserve">Příloha č. 2: Cenová nabídka </w:t>
      </w:r>
    </w:p>
    <w:p w:rsidR="0002205C" w:rsidRDefault="009A4C01">
      <w:pPr>
        <w:pStyle w:val="Seznam"/>
        <w:ind w:left="567" w:firstLine="0"/>
        <w:jc w:val="both"/>
        <w:rPr>
          <w:rFonts w:cs="Arial"/>
          <w:sz w:val="22"/>
          <w:szCs w:val="22"/>
        </w:rPr>
      </w:pPr>
      <w:r>
        <w:rPr>
          <w:rFonts w:ascii="TeXGyreAdventor" w:hAnsi="TeXGyreAdventor" w:cs="Arial"/>
          <w:sz w:val="22"/>
          <w:szCs w:val="22"/>
        </w:rPr>
        <w:t>Příloha č. 3: Seznam poddodavatelů</w:t>
      </w:r>
    </w:p>
    <w:p w:rsidR="0002205C" w:rsidRDefault="0002205C">
      <w:pPr>
        <w:pStyle w:val="Seznam"/>
        <w:ind w:left="567" w:firstLine="0"/>
        <w:jc w:val="both"/>
        <w:rPr>
          <w:rFonts w:ascii="TeXGyreAdventor" w:hAnsi="TeXGyreAdventor" w:cs="Arial"/>
          <w:sz w:val="22"/>
          <w:szCs w:val="22"/>
        </w:rPr>
      </w:pPr>
    </w:p>
    <w:p w:rsidR="007A2086" w:rsidRDefault="007A2086">
      <w:pPr>
        <w:pStyle w:val="Seznam"/>
        <w:ind w:left="567" w:firstLine="0"/>
        <w:jc w:val="both"/>
        <w:rPr>
          <w:rFonts w:ascii="TeXGyreAdventor" w:hAnsi="TeXGyreAdventor" w:cs="Arial"/>
          <w:sz w:val="22"/>
          <w:szCs w:val="22"/>
        </w:rPr>
      </w:pPr>
    </w:p>
    <w:p w:rsidR="007A2086" w:rsidRDefault="007A2086">
      <w:pPr>
        <w:pStyle w:val="Seznam"/>
        <w:ind w:left="567" w:firstLine="0"/>
        <w:jc w:val="both"/>
        <w:rPr>
          <w:rFonts w:ascii="TeXGyreAdventor" w:hAnsi="TeXGyreAdventor" w:cs="Arial"/>
          <w:sz w:val="22"/>
          <w:szCs w:val="22"/>
        </w:rPr>
      </w:pPr>
    </w:p>
    <w:tbl>
      <w:tblPr>
        <w:tblW w:w="9900" w:type="dxa"/>
        <w:tblCellMar>
          <w:left w:w="70" w:type="dxa"/>
          <w:right w:w="70" w:type="dxa"/>
        </w:tblCellMar>
        <w:tblLook w:val="0000" w:firstRow="0" w:lastRow="0" w:firstColumn="0" w:lastColumn="0" w:noHBand="0" w:noVBand="0"/>
      </w:tblPr>
      <w:tblGrid>
        <w:gridCol w:w="5041"/>
        <w:gridCol w:w="4859"/>
      </w:tblGrid>
      <w:tr w:rsidR="0002205C">
        <w:tc>
          <w:tcPr>
            <w:tcW w:w="5040" w:type="dxa"/>
            <w:shd w:val="clear" w:color="auto" w:fill="auto"/>
          </w:tcPr>
          <w:p w:rsidR="0002205C" w:rsidRDefault="009A4C01">
            <w:pPr>
              <w:pStyle w:val="Nadpis2"/>
            </w:pPr>
            <w:r>
              <w:rPr>
                <w:rFonts w:ascii="TeXGyreAdventor" w:hAnsi="TeXGyreAdventor" w:cs="Arial"/>
                <w:color w:val="00000A"/>
                <w:sz w:val="22"/>
                <w:szCs w:val="22"/>
              </w:rPr>
              <w:lastRenderedPageBreak/>
              <w:t>V Jablonci nad Nisou dne ......................….. 2019</w:t>
            </w:r>
          </w:p>
          <w:p w:rsidR="0002205C" w:rsidRDefault="0002205C">
            <w:pPr>
              <w:rPr>
                <w:rFonts w:ascii="TeXGyreAdventor" w:hAnsi="TeXGyreAdventor"/>
                <w:sz w:val="22"/>
                <w:szCs w:val="22"/>
              </w:rPr>
            </w:pPr>
          </w:p>
          <w:p w:rsidR="0002205C" w:rsidRDefault="009A4C01">
            <w:pPr>
              <w:rPr>
                <w:sz w:val="22"/>
                <w:szCs w:val="22"/>
              </w:rPr>
            </w:pPr>
            <w:r>
              <w:rPr>
                <w:rFonts w:ascii="TeXGyreAdventor" w:hAnsi="TeXGyreAdventor"/>
                <w:sz w:val="22"/>
                <w:szCs w:val="22"/>
              </w:rPr>
              <w:t>Za kupujícího:</w:t>
            </w:r>
          </w:p>
          <w:p w:rsidR="0002205C" w:rsidRDefault="0002205C">
            <w:pPr>
              <w:rPr>
                <w:rFonts w:ascii="TeXGyreAdventor" w:hAnsi="TeXGyreAdventor"/>
                <w:sz w:val="22"/>
                <w:szCs w:val="22"/>
              </w:rPr>
            </w:pPr>
          </w:p>
          <w:p w:rsidR="00FC24BD" w:rsidRDefault="00FC24BD">
            <w:pPr>
              <w:rPr>
                <w:rFonts w:ascii="TeXGyreAdventor" w:hAnsi="TeXGyreAdventor"/>
                <w:sz w:val="22"/>
                <w:szCs w:val="22"/>
              </w:rPr>
            </w:pPr>
          </w:p>
          <w:p w:rsidR="00FC24BD" w:rsidRDefault="00FC24BD">
            <w:pPr>
              <w:rPr>
                <w:rFonts w:ascii="TeXGyreAdventor" w:hAnsi="TeXGyreAdventor"/>
                <w:sz w:val="22"/>
                <w:szCs w:val="22"/>
              </w:rPr>
            </w:pPr>
          </w:p>
          <w:p w:rsidR="0002205C" w:rsidRDefault="009A4C01">
            <w:pPr>
              <w:spacing w:after="0"/>
              <w:jc w:val="center"/>
              <w:rPr>
                <w:sz w:val="22"/>
                <w:szCs w:val="22"/>
              </w:rPr>
            </w:pPr>
            <w:r>
              <w:rPr>
                <w:rFonts w:ascii="TeXGyreAdventor" w:hAnsi="TeXGyreAdventor"/>
                <w:sz w:val="22"/>
                <w:szCs w:val="22"/>
              </w:rPr>
              <w:t>................................................</w:t>
            </w:r>
          </w:p>
          <w:p w:rsidR="0002205C" w:rsidRDefault="009A4C01">
            <w:pPr>
              <w:spacing w:before="20" w:after="20"/>
              <w:jc w:val="center"/>
              <w:rPr>
                <w:rFonts w:ascii="TeXGyreAdventor" w:hAnsi="TeXGyreAdventor"/>
                <w:sz w:val="22"/>
                <w:szCs w:val="22"/>
              </w:rPr>
            </w:pPr>
            <w:r>
              <w:rPr>
                <w:rFonts w:ascii="TeXGyreAdventor" w:hAnsi="TeXGyreAdventor"/>
                <w:sz w:val="22"/>
                <w:szCs w:val="22"/>
              </w:rPr>
              <w:t>Mgr. Bc. Martina Picko Baumannová</w:t>
            </w:r>
          </w:p>
          <w:p w:rsidR="0002205C" w:rsidRDefault="009A4C01">
            <w:pPr>
              <w:spacing w:before="20" w:after="20"/>
              <w:jc w:val="center"/>
              <w:rPr>
                <w:sz w:val="22"/>
                <w:szCs w:val="22"/>
              </w:rPr>
            </w:pPr>
            <w:r>
              <w:rPr>
                <w:rFonts w:ascii="TeXGyreAdventor" w:hAnsi="TeXGyreAdventor"/>
                <w:sz w:val="22"/>
                <w:szCs w:val="22"/>
              </w:rPr>
              <w:t>ředitelka</w:t>
            </w:r>
          </w:p>
          <w:p w:rsidR="0002205C" w:rsidRDefault="0002205C">
            <w:pPr>
              <w:jc w:val="center"/>
              <w:rPr>
                <w:rFonts w:ascii="TeXGyreAdventor" w:hAnsi="TeXGyreAdventor"/>
                <w:sz w:val="22"/>
                <w:szCs w:val="22"/>
              </w:rPr>
            </w:pPr>
          </w:p>
        </w:tc>
        <w:tc>
          <w:tcPr>
            <w:tcW w:w="4859" w:type="dxa"/>
            <w:shd w:val="clear" w:color="auto" w:fill="auto"/>
          </w:tcPr>
          <w:p w:rsidR="0002205C" w:rsidRDefault="009A4C01" w:rsidP="00FC24BD">
            <w:pPr>
              <w:pStyle w:val="Nadpis2"/>
              <w:jc w:val="center"/>
            </w:pPr>
            <w:r>
              <w:rPr>
                <w:rFonts w:ascii="TeXGyreAdventor" w:hAnsi="TeXGyreAdventor" w:cs="Arial"/>
                <w:color w:val="00000A"/>
                <w:sz w:val="22"/>
                <w:szCs w:val="22"/>
              </w:rPr>
              <w:t>V </w:t>
            </w:r>
            <w:r w:rsidR="007A2086">
              <w:rPr>
                <w:rFonts w:ascii="TeXGyreAdventor" w:hAnsi="TeXGyreAdventor" w:cs="Arial"/>
                <w:color w:val="00000A"/>
                <w:sz w:val="22"/>
                <w:szCs w:val="22"/>
              </w:rPr>
              <w:t xml:space="preserve">Praze </w:t>
            </w:r>
            <w:r>
              <w:rPr>
                <w:rFonts w:ascii="TeXGyreAdventor" w:hAnsi="TeXGyreAdventor" w:cs="Arial"/>
                <w:color w:val="00000A"/>
                <w:sz w:val="22"/>
                <w:szCs w:val="22"/>
              </w:rPr>
              <w:t xml:space="preserve">dne </w:t>
            </w:r>
            <w:r w:rsidR="007A2086">
              <w:rPr>
                <w:rFonts w:ascii="TeXGyreAdventor" w:hAnsi="TeXGyreAdventor" w:cs="Arial"/>
                <w:color w:val="00000A"/>
                <w:sz w:val="22"/>
                <w:szCs w:val="22"/>
              </w:rPr>
              <w:t>4. prosince</w:t>
            </w:r>
            <w:r>
              <w:rPr>
                <w:rFonts w:ascii="TeXGyreAdventor" w:hAnsi="TeXGyreAdventor" w:cs="Arial"/>
                <w:color w:val="00000A"/>
                <w:sz w:val="22"/>
                <w:szCs w:val="22"/>
              </w:rPr>
              <w:t xml:space="preserve"> 2019</w:t>
            </w:r>
          </w:p>
          <w:p w:rsidR="0002205C" w:rsidRDefault="0002205C">
            <w:pPr>
              <w:rPr>
                <w:rFonts w:ascii="TeXGyreAdventor" w:hAnsi="TeXGyreAdventor"/>
                <w:sz w:val="22"/>
                <w:szCs w:val="22"/>
              </w:rPr>
            </w:pPr>
          </w:p>
          <w:p w:rsidR="0002205C" w:rsidRDefault="009A4C01">
            <w:pPr>
              <w:rPr>
                <w:sz w:val="22"/>
                <w:szCs w:val="22"/>
              </w:rPr>
            </w:pPr>
            <w:r>
              <w:rPr>
                <w:rFonts w:ascii="TeXGyreAdventor" w:hAnsi="TeXGyreAdventor"/>
                <w:sz w:val="22"/>
                <w:szCs w:val="22"/>
              </w:rPr>
              <w:t>Za prodávajícího:</w:t>
            </w:r>
          </w:p>
          <w:p w:rsidR="0002205C" w:rsidRDefault="0002205C">
            <w:pPr>
              <w:pStyle w:val="Tabellentext"/>
              <w:keepLines w:val="0"/>
              <w:spacing w:before="0" w:after="0"/>
              <w:rPr>
                <w:rFonts w:ascii="TeXGyreAdventor" w:hAnsi="TeXGyreAdventor" w:cs="Arial"/>
                <w:lang w:val="cs-CZ"/>
              </w:rPr>
            </w:pPr>
          </w:p>
          <w:p w:rsidR="00FC24BD" w:rsidRDefault="00FC24BD">
            <w:pPr>
              <w:pStyle w:val="Tabellentext"/>
              <w:keepLines w:val="0"/>
              <w:spacing w:before="0" w:after="0"/>
              <w:rPr>
                <w:rFonts w:ascii="TeXGyreAdventor" w:hAnsi="TeXGyreAdventor" w:cs="Arial"/>
                <w:lang w:val="cs-CZ"/>
              </w:rPr>
            </w:pPr>
          </w:p>
          <w:p w:rsidR="00FC24BD" w:rsidRDefault="00FC24BD">
            <w:pPr>
              <w:pStyle w:val="Tabellentext"/>
              <w:keepLines w:val="0"/>
              <w:spacing w:before="0" w:after="0"/>
              <w:rPr>
                <w:rFonts w:ascii="TeXGyreAdventor" w:hAnsi="TeXGyreAdventor" w:cs="Arial"/>
                <w:lang w:val="cs-CZ"/>
              </w:rPr>
            </w:pPr>
          </w:p>
          <w:p w:rsidR="00FC24BD" w:rsidRDefault="00FC24BD">
            <w:pPr>
              <w:pStyle w:val="Tabellentext"/>
              <w:keepLines w:val="0"/>
              <w:spacing w:before="0" w:after="0"/>
              <w:rPr>
                <w:rFonts w:ascii="TeXGyreAdventor" w:hAnsi="TeXGyreAdventor" w:cs="Arial"/>
                <w:lang w:val="cs-CZ"/>
              </w:rPr>
            </w:pPr>
          </w:p>
          <w:p w:rsidR="0002205C" w:rsidRDefault="0002205C">
            <w:pPr>
              <w:pStyle w:val="Tabellentext"/>
              <w:keepLines w:val="0"/>
              <w:spacing w:before="0" w:after="0"/>
              <w:rPr>
                <w:rFonts w:ascii="TeXGyreAdventor" w:hAnsi="TeXGyreAdventor" w:cs="Arial"/>
                <w:lang w:val="cs-CZ"/>
              </w:rPr>
            </w:pPr>
          </w:p>
          <w:p w:rsidR="008E73FD" w:rsidRPr="008E73FD" w:rsidRDefault="008E73FD">
            <w:pPr>
              <w:spacing w:after="0"/>
              <w:jc w:val="center"/>
              <w:rPr>
                <w:rFonts w:ascii="TeXGyreAdventor" w:hAnsi="TeXGyreAdventor"/>
                <w:szCs w:val="22"/>
              </w:rPr>
            </w:pPr>
            <w:r w:rsidRPr="008E73FD">
              <w:rPr>
                <w:rFonts w:ascii="TeXGyreAdventor" w:hAnsi="TeXGyreAdventor"/>
                <w:szCs w:val="22"/>
              </w:rPr>
              <w:t>.....................................................</w:t>
            </w:r>
          </w:p>
          <w:p w:rsidR="007A2086" w:rsidRDefault="007A2086">
            <w:pPr>
              <w:spacing w:after="0"/>
              <w:jc w:val="center"/>
              <w:rPr>
                <w:rFonts w:ascii="TeXGyreAdventor" w:hAnsi="TeXGyreAdventor"/>
                <w:sz w:val="22"/>
                <w:szCs w:val="22"/>
              </w:rPr>
            </w:pPr>
            <w:r>
              <w:rPr>
                <w:rFonts w:ascii="TeXGyreAdventor" w:hAnsi="TeXGyreAdventor"/>
                <w:sz w:val="22"/>
                <w:szCs w:val="22"/>
              </w:rPr>
              <w:t>Radek Leeb</w:t>
            </w:r>
          </w:p>
          <w:p w:rsidR="0002205C" w:rsidRPr="007A2086" w:rsidRDefault="008E73FD">
            <w:pPr>
              <w:spacing w:after="0"/>
              <w:jc w:val="center"/>
              <w:rPr>
                <w:rFonts w:ascii="Times New Roman" w:hAnsi="Times New Roman" w:cs="Times New Roman"/>
                <w:sz w:val="22"/>
                <w:szCs w:val="22"/>
              </w:rPr>
            </w:pPr>
            <w:r w:rsidRPr="008E73FD">
              <w:rPr>
                <w:rFonts w:ascii="Times New Roman" w:hAnsi="Times New Roman" w:cs="Times New Roman"/>
                <w:sz w:val="20"/>
                <w:szCs w:val="22"/>
              </w:rPr>
              <w:t>v</w:t>
            </w:r>
            <w:r w:rsidR="007A2086" w:rsidRPr="008E73FD">
              <w:rPr>
                <w:rFonts w:ascii="Times New Roman" w:hAnsi="Times New Roman" w:cs="Times New Roman"/>
                <w:sz w:val="20"/>
                <w:szCs w:val="22"/>
              </w:rPr>
              <w:t>edoucí</w:t>
            </w:r>
            <w:r w:rsidR="007A2086" w:rsidRPr="007A2086">
              <w:rPr>
                <w:rFonts w:ascii="Times New Roman" w:hAnsi="Times New Roman" w:cs="Times New Roman"/>
                <w:sz w:val="22"/>
                <w:szCs w:val="22"/>
              </w:rPr>
              <w:t xml:space="preserve"> prodeje</w:t>
            </w:r>
          </w:p>
        </w:tc>
      </w:tr>
    </w:tbl>
    <w:p w:rsidR="0002205C" w:rsidRDefault="0002205C">
      <w:pPr>
        <w:pStyle w:val="Seznam"/>
        <w:ind w:left="567" w:firstLine="0"/>
        <w:jc w:val="both"/>
        <w:rPr>
          <w:rFonts w:ascii="TeXGyreAdventor" w:hAnsi="TeXGyreAdventor" w:cs="Arial"/>
          <w:sz w:val="22"/>
          <w:szCs w:val="22"/>
        </w:rPr>
      </w:pPr>
    </w:p>
    <w:p w:rsidR="0002205C" w:rsidRDefault="0002205C">
      <w:pPr>
        <w:spacing w:before="240" w:after="0" w:line="240" w:lineRule="auto"/>
        <w:jc w:val="both"/>
      </w:pPr>
    </w:p>
    <w:sectPr w:rsidR="0002205C">
      <w:headerReference w:type="default" r:id="rId8"/>
      <w:footerReference w:type="default" r:id="rId9"/>
      <w:footerReference w:type="first" r:id="rId10"/>
      <w:pgSz w:w="11906" w:h="16838"/>
      <w:pgMar w:top="1531" w:right="1418" w:bottom="1418" w:left="1531" w:header="709" w:footer="709" w:gutter="0"/>
      <w:cols w:space="708"/>
      <w:formProt w:val="0"/>
      <w:titlePg/>
      <w:docGrid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B47" w:rsidRDefault="00342B47">
      <w:pPr>
        <w:spacing w:after="0" w:line="240" w:lineRule="auto"/>
      </w:pPr>
      <w:r>
        <w:separator/>
      </w:r>
    </w:p>
  </w:endnote>
  <w:endnote w:type="continuationSeparator" w:id="0">
    <w:p w:rsidR="00342B47" w:rsidRDefault="0034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GyreAdventor">
    <w:altName w:val="Times New Roman"/>
    <w:panose1 w:val="00000500000000000000"/>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CorpoS">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5C" w:rsidRDefault="009A4C01">
    <w:pPr>
      <w:pStyle w:val="Zpat"/>
      <w:pBdr>
        <w:top w:val="single" w:sz="4" w:space="1" w:color="00000A"/>
      </w:pBdr>
      <w:spacing w:before="120"/>
      <w:jc w:val="center"/>
    </w:pPr>
    <w:r>
      <w:t xml:space="preserve">- </w:t>
    </w:r>
    <w:r>
      <w:fldChar w:fldCharType="begin"/>
    </w:r>
    <w:r>
      <w:instrText>PAGE</w:instrText>
    </w:r>
    <w:r>
      <w:fldChar w:fldCharType="separate"/>
    </w:r>
    <w:r w:rsidR="0094782C">
      <w:rPr>
        <w:noProof/>
      </w:rPr>
      <w:t>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5C" w:rsidRDefault="009A4C01">
    <w:pPr>
      <w:pStyle w:val="Zpat"/>
      <w:pBdr>
        <w:top w:val="single" w:sz="4" w:space="1" w:color="00000A"/>
      </w:pBdr>
      <w:jc w:val="center"/>
    </w:pPr>
    <w:r>
      <w:t xml:space="preserve">- </w:t>
    </w:r>
    <w:r>
      <w:fldChar w:fldCharType="begin"/>
    </w:r>
    <w:r>
      <w:instrText>PAGE</w:instrText>
    </w:r>
    <w:r>
      <w:fldChar w:fldCharType="separate"/>
    </w:r>
    <w:r w:rsidR="0094782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B47" w:rsidRDefault="00342B47">
      <w:pPr>
        <w:spacing w:after="0" w:line="240" w:lineRule="auto"/>
      </w:pPr>
      <w:r>
        <w:separator/>
      </w:r>
    </w:p>
  </w:footnote>
  <w:footnote w:type="continuationSeparator" w:id="0">
    <w:p w:rsidR="00342B47" w:rsidRDefault="00342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5C" w:rsidRDefault="009A4C01">
    <w:pPr>
      <w:pStyle w:val="Zhlav"/>
      <w:jc w:val="right"/>
      <w:rPr>
        <w:b/>
        <w:bCs/>
      </w:rPr>
    </w:pPr>
    <w:r>
      <w:rPr>
        <w:b/>
        <w:bCs/>
        <w:noProof/>
        <w:lang w:eastAsia="cs-CZ"/>
      </w:rPr>
      <w:drawing>
        <wp:anchor distT="0" distB="0" distL="114300" distR="114300" simplePos="0" relativeHeight="10" behindDoc="1" locked="0" layoutInCell="1" allowOverlap="1">
          <wp:simplePos x="0" y="0"/>
          <wp:positionH relativeFrom="column">
            <wp:align>center</wp:align>
          </wp:positionH>
          <wp:positionV relativeFrom="paragraph">
            <wp:posOffset>-81280</wp:posOffset>
          </wp:positionV>
          <wp:extent cx="5760720" cy="372110"/>
          <wp:effectExtent l="0" t="0" r="0" b="0"/>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pic:cNvPicPr>
                    <a:picLocks noChangeAspect="1" noChangeArrowheads="1"/>
                  </pic:cNvPicPr>
                </pic:nvPicPr>
                <pic:blipFill>
                  <a:blip r:embed="rId1"/>
                  <a:stretch>
                    <a:fillRect/>
                  </a:stretch>
                </pic:blipFill>
                <pic:spPr bwMode="auto">
                  <a:xfrm>
                    <a:off x="0" y="0"/>
                    <a:ext cx="5760720" cy="3721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5F6"/>
    <w:multiLevelType w:val="multilevel"/>
    <w:tmpl w:val="7CF8B674"/>
    <w:lvl w:ilvl="0">
      <w:start w:val="1"/>
      <w:numFmt w:val="bullet"/>
      <w:lvlText w:val="-"/>
      <w:lvlJc w:val="left"/>
      <w:pPr>
        <w:ind w:left="720" w:hanging="360"/>
      </w:pPr>
      <w:rPr>
        <w:rFonts w:ascii="Garamond" w:hAnsi="Garamond" w:cs="Garamond"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61B0312"/>
    <w:multiLevelType w:val="multilevel"/>
    <w:tmpl w:val="D6807FD6"/>
    <w:lvl w:ilvl="0">
      <w:start w:val="1"/>
      <w:numFmt w:val="decimal"/>
      <w:lvlText w:val="%1."/>
      <w:lvlJc w:val="left"/>
      <w:pPr>
        <w:ind w:left="360" w:hanging="360"/>
      </w:pPr>
      <w:rPr>
        <w:b/>
        <w:bCs/>
      </w:rPr>
    </w:lvl>
    <w:lvl w:ilvl="1">
      <w:start w:val="1"/>
      <w:numFmt w:val="decimal"/>
      <w:lvlText w:val="%1.%2."/>
      <w:lvlJc w:val="left"/>
      <w:pPr>
        <w:ind w:left="432" w:hanging="432"/>
      </w:pPr>
      <w:rPr>
        <w:rFonts w:ascii="TeXGyreAdventor" w:hAnsi="TeXGyreAdventor" w:cs="Arial"/>
        <w:b/>
        <w:bCs w:val="0"/>
        <w:sz w:val="22"/>
        <w:szCs w:val="20"/>
      </w:rPr>
    </w:lvl>
    <w:lvl w:ilvl="2">
      <w:start w:val="1"/>
      <w:numFmt w:val="decimal"/>
      <w:lvlText w:val="%1.%2.%3."/>
      <w:lvlJc w:val="left"/>
      <w:pPr>
        <w:ind w:left="121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E676383"/>
    <w:multiLevelType w:val="multilevel"/>
    <w:tmpl w:val="E5D00A64"/>
    <w:lvl w:ilvl="0">
      <w:start w:val="1"/>
      <w:numFmt w:val="upperRoman"/>
      <w:lvlText w:val="%1."/>
      <w:lvlJc w:val="left"/>
      <w:pPr>
        <w:ind w:left="1080" w:hanging="720"/>
      </w:pPr>
      <w:rPr>
        <w:b/>
        <w:i w:val="0"/>
        <w:iCs w:val="0"/>
        <w:sz w:val="22"/>
      </w:rPr>
    </w:lvl>
    <w:lvl w:ilvl="1">
      <w:start w:val="1"/>
      <w:numFmt w:val="decimal"/>
      <w:lvlText w:val="%1.%2."/>
      <w:lvlJc w:val="left"/>
      <w:pPr>
        <w:ind w:left="1004" w:hanging="720"/>
      </w:pPr>
      <w:rPr>
        <w:rFonts w:ascii="Arial" w:hAnsi="Arial"/>
        <w:b/>
        <w:bCs w:val="0"/>
        <w:i w:val="0"/>
        <w:iCs w:val="0"/>
        <w:strike w:val="0"/>
        <w:dstrike w:val="0"/>
        <w:sz w:val="22"/>
      </w:rPr>
    </w:lvl>
    <w:lvl w:ilvl="2">
      <w:start w:val="1"/>
      <w:numFmt w:val="decimal"/>
      <w:lvlText w:val="%1.%2.%3."/>
      <w:lvlJc w:val="left"/>
      <w:pPr>
        <w:ind w:left="1494" w:hanging="720"/>
      </w:p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042" w:hanging="1440"/>
      </w:pPr>
    </w:lvl>
    <w:lvl w:ilvl="7">
      <w:start w:val="1"/>
      <w:numFmt w:val="decimal"/>
      <w:lvlText w:val="%1.%2.%3.%4.%5.%6.%7.%8."/>
      <w:lvlJc w:val="left"/>
      <w:pPr>
        <w:ind w:left="3609" w:hanging="1800"/>
      </w:pPr>
    </w:lvl>
    <w:lvl w:ilvl="8">
      <w:start w:val="1"/>
      <w:numFmt w:val="decimal"/>
      <w:lvlText w:val="%1.%2.%3.%4.%5.%6.%7.%8.%9."/>
      <w:lvlJc w:val="left"/>
      <w:pPr>
        <w:ind w:left="3816" w:hanging="1800"/>
      </w:pPr>
    </w:lvl>
  </w:abstractNum>
  <w:abstractNum w:abstractNumId="3">
    <w:nsid w:val="71DC5A21"/>
    <w:multiLevelType w:val="multilevel"/>
    <w:tmpl w:val="DBEEE350"/>
    <w:lvl w:ilvl="0">
      <w:start w:val="1"/>
      <w:numFmt w:val="bullet"/>
      <w:lvlText w:val="-"/>
      <w:lvlJc w:val="left"/>
      <w:pPr>
        <w:ind w:left="720" w:hanging="360"/>
      </w:pPr>
      <w:rPr>
        <w:rFonts w:ascii="Times New Roman" w:hAnsi="Times New Roman" w:cs="Times New Roman" w:hint="default"/>
        <w:b/>
        <w:i w:val="0"/>
        <w:iCs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9D12AB7"/>
    <w:multiLevelType w:val="multilevel"/>
    <w:tmpl w:val="AD74D1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5C"/>
    <w:rsid w:val="0002205C"/>
    <w:rsid w:val="00342B47"/>
    <w:rsid w:val="007A2086"/>
    <w:rsid w:val="008E73FD"/>
    <w:rsid w:val="0094782C"/>
    <w:rsid w:val="009A4C01"/>
    <w:rsid w:val="00D3566E"/>
    <w:rsid w:val="00FC24B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9887C-5B9C-4F32-B1CA-4A7DBE36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1229"/>
    <w:pPr>
      <w:spacing w:after="160" w:line="259" w:lineRule="auto"/>
    </w:pPr>
    <w:rPr>
      <w:rFonts w:cs="Arial"/>
      <w:color w:val="00000A"/>
      <w:sz w:val="18"/>
      <w:szCs w:val="18"/>
      <w:lang w:eastAsia="en-US"/>
    </w:rPr>
  </w:style>
  <w:style w:type="paragraph" w:styleId="Nadpis1">
    <w:name w:val="heading 1"/>
    <w:basedOn w:val="Normln"/>
    <w:link w:val="Nadpis1Char"/>
    <w:uiPriority w:val="99"/>
    <w:qFormat/>
    <w:rsid w:val="00560584"/>
    <w:pPr>
      <w:keepNext/>
      <w:spacing w:after="0" w:line="240" w:lineRule="auto"/>
      <w:outlineLvl w:val="0"/>
    </w:pPr>
    <w:rPr>
      <w:rFonts w:eastAsia="Times New Roman"/>
      <w:sz w:val="20"/>
      <w:szCs w:val="20"/>
      <w:lang w:eastAsia="cs-CZ"/>
    </w:rPr>
  </w:style>
  <w:style w:type="paragraph" w:styleId="Nadpis2">
    <w:name w:val="heading 2"/>
    <w:basedOn w:val="Normln"/>
    <w:link w:val="Nadpis2Char"/>
    <w:uiPriority w:val="99"/>
    <w:qFormat/>
    <w:rsid w:val="001E4150"/>
    <w:pPr>
      <w:keepNext/>
      <w:keepLines/>
      <w:spacing w:before="40" w:after="0"/>
      <w:outlineLvl w:val="1"/>
    </w:pPr>
    <w:rPr>
      <w:rFonts w:ascii="Calibri Light" w:eastAsia="Times New Roman" w:hAnsi="Calibri Light" w:cs="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sid w:val="00560584"/>
    <w:rPr>
      <w:rFonts w:eastAsia="Times New Roman"/>
      <w:sz w:val="20"/>
      <w:szCs w:val="20"/>
      <w:lang w:eastAsia="cs-CZ"/>
    </w:rPr>
  </w:style>
  <w:style w:type="character" w:customStyle="1" w:styleId="Nadpis2Char">
    <w:name w:val="Nadpis 2 Char"/>
    <w:basedOn w:val="Standardnpsmoodstavce"/>
    <w:link w:val="Nadpis2"/>
    <w:uiPriority w:val="99"/>
    <w:qFormat/>
    <w:rsid w:val="001E4150"/>
    <w:rPr>
      <w:rFonts w:ascii="Calibri Light" w:hAnsi="Calibri Light" w:cs="Calibri Light"/>
      <w:color w:val="2E74B5"/>
      <w:sz w:val="26"/>
      <w:szCs w:val="26"/>
    </w:rPr>
  </w:style>
  <w:style w:type="character" w:styleId="Odkaznakoment">
    <w:name w:val="annotation reference"/>
    <w:basedOn w:val="Standardnpsmoodstavce"/>
    <w:uiPriority w:val="99"/>
    <w:semiHidden/>
    <w:qFormat/>
    <w:rsid w:val="00DB2BF6"/>
    <w:rPr>
      <w:sz w:val="16"/>
      <w:szCs w:val="16"/>
    </w:rPr>
  </w:style>
  <w:style w:type="character" w:customStyle="1" w:styleId="TextkomenteChar">
    <w:name w:val="Text komentáře Char"/>
    <w:basedOn w:val="Standardnpsmoodstavce"/>
    <w:link w:val="Textkomente"/>
    <w:uiPriority w:val="99"/>
    <w:semiHidden/>
    <w:qFormat/>
    <w:rsid w:val="00DB2BF6"/>
    <w:rPr>
      <w:sz w:val="20"/>
      <w:szCs w:val="20"/>
    </w:rPr>
  </w:style>
  <w:style w:type="character" w:customStyle="1" w:styleId="PedmtkomenteChar">
    <w:name w:val="Předmět komentáře Char"/>
    <w:basedOn w:val="TextkomenteChar"/>
    <w:link w:val="Pedmtkomente"/>
    <w:uiPriority w:val="99"/>
    <w:semiHidden/>
    <w:qFormat/>
    <w:rsid w:val="00DB2BF6"/>
    <w:rPr>
      <w:b/>
      <w:bCs/>
      <w:sz w:val="20"/>
      <w:szCs w:val="20"/>
    </w:rPr>
  </w:style>
  <w:style w:type="character" w:customStyle="1" w:styleId="TextbublinyChar">
    <w:name w:val="Text bubliny Char"/>
    <w:basedOn w:val="Standardnpsmoodstavce"/>
    <w:link w:val="Textbubliny"/>
    <w:uiPriority w:val="99"/>
    <w:semiHidden/>
    <w:qFormat/>
    <w:rsid w:val="00DB2BF6"/>
    <w:rPr>
      <w:rFonts w:ascii="Segoe UI" w:hAnsi="Segoe UI" w:cs="Segoe UI"/>
      <w:sz w:val="18"/>
      <w:szCs w:val="18"/>
    </w:rPr>
  </w:style>
  <w:style w:type="character" w:customStyle="1" w:styleId="ZhlavChar">
    <w:name w:val="Záhlaví Char"/>
    <w:basedOn w:val="Standardnpsmoodstavce"/>
    <w:link w:val="Zhlav"/>
    <w:uiPriority w:val="99"/>
    <w:qFormat/>
    <w:rsid w:val="001E4150"/>
    <w:rPr>
      <w:rFonts w:cs="Times New Roman"/>
    </w:rPr>
  </w:style>
  <w:style w:type="character" w:customStyle="1" w:styleId="ZpatChar">
    <w:name w:val="Zápatí Char"/>
    <w:basedOn w:val="Standardnpsmoodstavce"/>
    <w:link w:val="Zpat"/>
    <w:uiPriority w:val="99"/>
    <w:qFormat/>
    <w:rsid w:val="001E4150"/>
    <w:rPr>
      <w:rFonts w:cs="Times New Roman"/>
    </w:rPr>
  </w:style>
  <w:style w:type="character" w:customStyle="1" w:styleId="ZkladntextChar">
    <w:name w:val="Základní text Char"/>
    <w:basedOn w:val="Standardnpsmoodstavce"/>
    <w:link w:val="Zkladntext"/>
    <w:uiPriority w:val="99"/>
    <w:semiHidden/>
    <w:qFormat/>
    <w:rsid w:val="00F905E3"/>
    <w:rPr>
      <w:rFonts w:ascii="Times New Roman" w:hAnsi="Times New Roman" w:cs="Times New Roman"/>
      <w:sz w:val="24"/>
      <w:szCs w:val="24"/>
    </w:rPr>
  </w:style>
  <w:style w:type="character" w:customStyle="1" w:styleId="SeznamChar">
    <w:name w:val="Seznam Char"/>
    <w:link w:val="Seznam"/>
    <w:uiPriority w:val="99"/>
    <w:qFormat/>
    <w:rsid w:val="00146003"/>
    <w:rPr>
      <w:rFonts w:ascii="Times New Roman" w:hAnsi="Times New Roman" w:cs="Times New Roman"/>
      <w:sz w:val="20"/>
      <w:szCs w:val="20"/>
      <w:lang w:eastAsia="cs-CZ"/>
    </w:rPr>
  </w:style>
  <w:style w:type="character" w:customStyle="1" w:styleId="Zkladntextodsazen3Char">
    <w:name w:val="Základní text odsazený 3 Char"/>
    <w:basedOn w:val="Standardnpsmoodstavce"/>
    <w:link w:val="Zkladntextodsazen3"/>
    <w:uiPriority w:val="99"/>
    <w:semiHidden/>
    <w:qFormat/>
    <w:rsid w:val="005E470E"/>
    <w:rPr>
      <w:rFonts w:cs="Times New Roman"/>
      <w:sz w:val="16"/>
      <w:szCs w:val="16"/>
    </w:rPr>
  </w:style>
  <w:style w:type="character" w:customStyle="1" w:styleId="TextkomenteChar1">
    <w:name w:val="Text komentáře Char1"/>
    <w:uiPriority w:val="99"/>
    <w:qFormat/>
    <w:rsid w:val="00DF67A4"/>
    <w:rPr>
      <w:rFonts w:eastAsia="Times New Roman" w:cs="Times New Roman"/>
      <w:lang w:val="cs-CZ" w:eastAsia="cs-CZ"/>
    </w:rPr>
  </w:style>
  <w:style w:type="character" w:customStyle="1" w:styleId="h1a1">
    <w:name w:val="h1a1"/>
    <w:uiPriority w:val="99"/>
    <w:qFormat/>
    <w:rsid w:val="00DF67A4"/>
    <w:rPr>
      <w:rFonts w:cs="Times New Roman"/>
      <w:sz w:val="24"/>
      <w:szCs w:val="24"/>
    </w:rPr>
  </w:style>
  <w:style w:type="character" w:customStyle="1" w:styleId="ListLabel1">
    <w:name w:val="ListLabel 1"/>
    <w:qFormat/>
    <w:rPr>
      <w:b/>
      <w:bCs/>
    </w:rPr>
  </w:style>
  <w:style w:type="character" w:customStyle="1" w:styleId="ListLabel2">
    <w:name w:val="ListLabel 2"/>
    <w:qFormat/>
    <w:rPr>
      <w:rFonts w:cs="Arial"/>
      <w:b/>
      <w:bCs w:val="0"/>
      <w:sz w:val="22"/>
      <w:szCs w:val="20"/>
    </w:rPr>
  </w:style>
  <w:style w:type="character" w:customStyle="1" w:styleId="ListLabel3">
    <w:name w:val="ListLabel 3"/>
    <w:qFormat/>
    <w:rPr>
      <w:b w:val="0"/>
      <w:bCs w:val="0"/>
    </w:rPr>
  </w:style>
  <w:style w:type="character" w:customStyle="1" w:styleId="ListLabel4">
    <w:name w:val="ListLabel 4"/>
    <w:qFormat/>
    <w:rPr>
      <w:b/>
      <w:i w:val="0"/>
      <w:iCs w:val="0"/>
      <w:sz w:val="22"/>
    </w:rPr>
  </w:style>
  <w:style w:type="character" w:customStyle="1" w:styleId="ListLabel5">
    <w:name w:val="ListLabel 5"/>
    <w:qFormat/>
    <w:rPr>
      <w:rFonts w:ascii="Arial" w:hAnsi="Arial"/>
      <w:b/>
      <w:bCs w:val="0"/>
      <w:i w:val="0"/>
      <w:iCs w:val="0"/>
      <w:strike w:val="0"/>
      <w:dstrike w:val="0"/>
      <w:sz w:val="22"/>
    </w:rPr>
  </w:style>
  <w:style w:type="character" w:customStyle="1" w:styleId="ListLabel6">
    <w:name w:val="ListLabel 6"/>
    <w:qFormat/>
    <w:rPr>
      <w:i w:val="0"/>
      <w:iCs w:val="0"/>
    </w:rPr>
  </w:style>
  <w:style w:type="character" w:customStyle="1" w:styleId="ListLabel7">
    <w:name w:val="ListLabel 7"/>
    <w:qFormat/>
    <w:rPr>
      <w:b w:val="0"/>
      <w:bCs w:val="0"/>
      <w:i w:val="0"/>
      <w:iCs w:val="0"/>
    </w:rPr>
  </w:style>
  <w:style w:type="character" w:customStyle="1" w:styleId="ListLabel8">
    <w:name w:val="ListLabel 8"/>
    <w:qFormat/>
    <w:rPr>
      <w:rFonts w:cs="Arial"/>
      <w:b/>
      <w:bCs/>
      <w:i w:val="0"/>
      <w:iCs w:val="0"/>
      <w:sz w:val="20"/>
      <w:szCs w:val="20"/>
    </w:rPr>
  </w:style>
  <w:style w:type="character" w:customStyle="1" w:styleId="ListLabel9">
    <w:name w:val="ListLabel 9"/>
    <w:qFormat/>
    <w:rPr>
      <w:rFonts w:cs="Arial"/>
      <w:b/>
      <w:bCs/>
      <w:i w:val="0"/>
      <w:iCs w:val="0"/>
      <w:color w:val="00000A"/>
      <w:sz w:val="20"/>
      <w:szCs w:val="20"/>
    </w:rPr>
  </w:style>
  <w:style w:type="character" w:customStyle="1" w:styleId="ListLabel10">
    <w:name w:val="ListLabel 10"/>
    <w:qFormat/>
    <w:rPr>
      <w:rFonts w:cs="Arial"/>
      <w:b/>
      <w:bCs/>
      <w:i w:val="0"/>
      <w:iCs w:val="0"/>
      <w:caps w:val="0"/>
      <w:smallCaps w:val="0"/>
      <w:strike w:val="0"/>
      <w:dstrike w:val="0"/>
      <w:vanish w:val="0"/>
      <w:color w:val="00000A"/>
      <w:position w:val="0"/>
      <w:sz w:val="20"/>
      <w:szCs w:val="20"/>
      <w:vertAlign w:val="baseline"/>
    </w:rPr>
  </w:style>
  <w:style w:type="character" w:customStyle="1" w:styleId="ListLabel11">
    <w:name w:val="ListLabel 11"/>
    <w:qFormat/>
    <w:rPr>
      <w:b w:val="0"/>
      <w:bCs w:val="0"/>
      <w:i/>
      <w:iCs/>
    </w:rPr>
  </w:style>
  <w:style w:type="character" w:customStyle="1" w:styleId="ListLabel12">
    <w:name w:val="ListLabel 12"/>
    <w:qFormat/>
    <w:rPr>
      <w:b/>
      <w:bCs/>
    </w:rPr>
  </w:style>
  <w:style w:type="character" w:customStyle="1" w:styleId="ListLabel13">
    <w:name w:val="ListLabel 13"/>
    <w:qFormat/>
    <w:rPr>
      <w:b/>
      <w:bCs/>
    </w:rPr>
  </w:style>
  <w:style w:type="character" w:customStyle="1" w:styleId="ListLabel14">
    <w:name w:val="ListLabel 14"/>
    <w:qFormat/>
    <w:rPr>
      <w:b/>
      <w:bCs/>
    </w:rPr>
  </w:style>
  <w:style w:type="character" w:customStyle="1" w:styleId="ListLabel15">
    <w:name w:val="ListLabel 15"/>
    <w:qFormat/>
    <w:rPr>
      <w:b/>
      <w:bCs/>
    </w:rPr>
  </w:style>
  <w:style w:type="character" w:customStyle="1" w:styleId="ListLabel16">
    <w:name w:val="ListLabel 16"/>
    <w:qFormat/>
    <w:rPr>
      <w:b/>
      <w:bCs/>
    </w:rPr>
  </w:style>
  <w:style w:type="character" w:customStyle="1" w:styleId="ListLabel17">
    <w:name w:val="ListLabel 17"/>
    <w:qFormat/>
    <w:rPr>
      <w:rFonts w:cs="Arial"/>
      <w:b/>
      <w:bCs/>
      <w:strike w:val="0"/>
      <w:dstrike w:val="0"/>
      <w:color w:val="000000"/>
      <w:sz w:val="22"/>
      <w:szCs w:val="22"/>
    </w:rPr>
  </w:style>
  <w:style w:type="character" w:customStyle="1" w:styleId="ListLabel18">
    <w:name w:val="ListLabel 18"/>
    <w:qFormat/>
    <w:rPr>
      <w:b w:val="0"/>
      <w:bCs w:val="0"/>
    </w:rPr>
  </w:style>
  <w:style w:type="character" w:customStyle="1" w:styleId="ListLabel19">
    <w:name w:val="ListLabel 19"/>
    <w:qFormat/>
    <w:rPr>
      <w:rFonts w:eastAsia="Times New Roman"/>
      <w:b/>
      <w:i w:val="0"/>
      <w:iCs w:val="0"/>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eastAsia="Times New Roman"/>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eastAsia="Times New Roman"/>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Doporuen">
    <w:name w:val="Doporučení"/>
    <w:qFormat/>
    <w:rPr>
      <w:rFonts w:ascii="Times New Roman" w:hAnsi="Times New Roman" w:cs="Times New Roman"/>
      <w:color w:val="A8143A"/>
      <w:sz w:val="24"/>
      <w:u w:val="single"/>
    </w:rPr>
  </w:style>
  <w:style w:type="character" w:customStyle="1" w:styleId="ListLabel46">
    <w:name w:val="ListLabel 46"/>
    <w:qFormat/>
    <w:rPr>
      <w:b/>
      <w:bCs/>
    </w:rPr>
  </w:style>
  <w:style w:type="character" w:customStyle="1" w:styleId="ListLabel47">
    <w:name w:val="ListLabel 47"/>
    <w:qFormat/>
    <w:rPr>
      <w:rFonts w:ascii="TeXGyreAdventor" w:hAnsi="TeXGyreAdventor" w:cs="Arial"/>
      <w:b/>
      <w:bCs w:val="0"/>
      <w:sz w:val="22"/>
      <w:szCs w:val="20"/>
    </w:rPr>
  </w:style>
  <w:style w:type="character" w:customStyle="1" w:styleId="ListLabel48">
    <w:name w:val="ListLabel 48"/>
    <w:qFormat/>
    <w:rPr>
      <w:b w:val="0"/>
      <w:bCs w:val="0"/>
    </w:rPr>
  </w:style>
  <w:style w:type="character" w:customStyle="1" w:styleId="ListLabel49">
    <w:name w:val="ListLabel 49"/>
    <w:qFormat/>
    <w:rPr>
      <w:b/>
      <w:i w:val="0"/>
      <w:iCs w:val="0"/>
      <w:sz w:val="22"/>
    </w:rPr>
  </w:style>
  <w:style w:type="character" w:customStyle="1" w:styleId="ListLabel50">
    <w:name w:val="ListLabel 50"/>
    <w:qFormat/>
    <w:rPr>
      <w:rFonts w:ascii="Arial" w:hAnsi="Arial"/>
      <w:b/>
      <w:bCs w:val="0"/>
      <w:i w:val="0"/>
      <w:iCs w:val="0"/>
      <w:strike w:val="0"/>
      <w:dstrike w:val="0"/>
      <w:sz w:val="22"/>
    </w:rPr>
  </w:style>
  <w:style w:type="character" w:customStyle="1" w:styleId="ListLabel51">
    <w:name w:val="ListLabel 51"/>
    <w:qFormat/>
    <w:rPr>
      <w:rFonts w:cs="Times New Roman"/>
      <w:b/>
      <w:i w:val="0"/>
      <w:iCs w:val="0"/>
      <w:sz w:val="22"/>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Garamond"/>
      <w:sz w:val="22"/>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b/>
      <w:bCs/>
    </w:rPr>
  </w:style>
  <w:style w:type="character" w:customStyle="1" w:styleId="ListLabel70">
    <w:name w:val="ListLabel 70"/>
    <w:qFormat/>
    <w:rPr>
      <w:rFonts w:ascii="TeXGyreAdventor" w:hAnsi="TeXGyreAdventor" w:cs="Arial"/>
      <w:b/>
      <w:bCs w:val="0"/>
      <w:sz w:val="22"/>
      <w:szCs w:val="20"/>
    </w:rPr>
  </w:style>
  <w:style w:type="character" w:customStyle="1" w:styleId="ListLabel71">
    <w:name w:val="ListLabel 71"/>
    <w:qFormat/>
    <w:rPr>
      <w:b w:val="0"/>
      <w:bCs w:val="0"/>
    </w:rPr>
  </w:style>
  <w:style w:type="character" w:customStyle="1" w:styleId="ListLabel72">
    <w:name w:val="ListLabel 72"/>
    <w:qFormat/>
    <w:rPr>
      <w:b/>
      <w:i w:val="0"/>
      <w:iCs w:val="0"/>
      <w:sz w:val="22"/>
    </w:rPr>
  </w:style>
  <w:style w:type="character" w:customStyle="1" w:styleId="ListLabel73">
    <w:name w:val="ListLabel 73"/>
    <w:qFormat/>
    <w:rPr>
      <w:rFonts w:ascii="Arial" w:hAnsi="Arial"/>
      <w:b/>
      <w:bCs w:val="0"/>
      <w:i w:val="0"/>
      <w:iCs w:val="0"/>
      <w:strike w:val="0"/>
      <w:dstrike w:val="0"/>
      <w:sz w:val="22"/>
    </w:rPr>
  </w:style>
  <w:style w:type="character" w:customStyle="1" w:styleId="ListLabel74">
    <w:name w:val="ListLabel 74"/>
    <w:qFormat/>
    <w:rPr>
      <w:rFonts w:cs="Times New Roman"/>
      <w:b/>
      <w:i w:val="0"/>
      <w:iCs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Garamond"/>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b/>
      <w:bCs/>
    </w:rPr>
  </w:style>
  <w:style w:type="character" w:customStyle="1" w:styleId="ListLabel93">
    <w:name w:val="ListLabel 93"/>
    <w:qFormat/>
    <w:rPr>
      <w:rFonts w:ascii="TeXGyreAdventor" w:hAnsi="TeXGyreAdventor" w:cs="Arial"/>
      <w:b/>
      <w:bCs w:val="0"/>
      <w:sz w:val="22"/>
      <w:szCs w:val="20"/>
    </w:rPr>
  </w:style>
  <w:style w:type="character" w:customStyle="1" w:styleId="ListLabel94">
    <w:name w:val="ListLabel 94"/>
    <w:qFormat/>
    <w:rPr>
      <w:b w:val="0"/>
      <w:bCs w:val="0"/>
    </w:rPr>
  </w:style>
  <w:style w:type="character" w:customStyle="1" w:styleId="ListLabel95">
    <w:name w:val="ListLabel 95"/>
    <w:qFormat/>
    <w:rPr>
      <w:b/>
      <w:i w:val="0"/>
      <w:iCs w:val="0"/>
      <w:sz w:val="22"/>
    </w:rPr>
  </w:style>
  <w:style w:type="character" w:customStyle="1" w:styleId="ListLabel96">
    <w:name w:val="ListLabel 96"/>
    <w:qFormat/>
    <w:rPr>
      <w:rFonts w:ascii="Arial" w:hAnsi="Arial"/>
      <w:b/>
      <w:bCs w:val="0"/>
      <w:i w:val="0"/>
      <w:iCs w:val="0"/>
      <w:strike w:val="0"/>
      <w:dstrike w:val="0"/>
      <w:sz w:val="22"/>
    </w:rPr>
  </w:style>
  <w:style w:type="character" w:customStyle="1" w:styleId="ListLabel97">
    <w:name w:val="ListLabel 97"/>
    <w:qFormat/>
    <w:rPr>
      <w:rFonts w:cs="Times New Roman"/>
      <w:b/>
      <w:i w:val="0"/>
      <w:iCs w:val="0"/>
      <w:sz w:val="22"/>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Garamond"/>
      <w:sz w:val="22"/>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semiHidden/>
    <w:rsid w:val="00F905E3"/>
    <w:pPr>
      <w:spacing w:after="0" w:line="240" w:lineRule="auto"/>
      <w:jc w:val="both"/>
    </w:pPr>
    <w:rPr>
      <w:rFonts w:ascii="Times New Roman" w:eastAsia="Times New Roman" w:hAnsi="Times New Roman" w:cs="Times New Roman"/>
      <w:sz w:val="24"/>
      <w:szCs w:val="24"/>
      <w:lang w:eastAsia="cs-CZ"/>
    </w:rPr>
  </w:style>
  <w:style w:type="paragraph" w:styleId="Seznam">
    <w:name w:val="List"/>
    <w:basedOn w:val="Normln"/>
    <w:link w:val="SeznamChar"/>
    <w:uiPriority w:val="99"/>
    <w:rsid w:val="00146003"/>
    <w:pPr>
      <w:spacing w:after="0" w:line="240" w:lineRule="auto"/>
      <w:ind w:left="283" w:hanging="283"/>
    </w:pPr>
    <w:rPr>
      <w:rFonts w:cs="Times New Roman"/>
      <w:sz w:val="20"/>
      <w:szCs w:val="20"/>
      <w:lang w:eastAsia="cs-CZ"/>
    </w:rPr>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HLAVICKA">
    <w:name w:val="HLAVICKA"/>
    <w:basedOn w:val="Normln"/>
    <w:uiPriority w:val="99"/>
    <w:qFormat/>
    <w:rsid w:val="00560584"/>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spacing w:after="0" w:line="288" w:lineRule="auto"/>
      <w:textAlignment w:val="baseline"/>
    </w:pPr>
    <w:rPr>
      <w:rFonts w:eastAsia="Times New Roman"/>
      <w:color w:val="000000"/>
      <w:sz w:val="20"/>
      <w:szCs w:val="20"/>
      <w:lang w:eastAsia="cs-CZ"/>
    </w:rPr>
  </w:style>
  <w:style w:type="paragraph" w:styleId="Textkomente">
    <w:name w:val="annotation text"/>
    <w:basedOn w:val="Normln"/>
    <w:link w:val="TextkomenteChar"/>
    <w:uiPriority w:val="99"/>
    <w:semiHidden/>
    <w:qFormat/>
    <w:rsid w:val="00DB2BF6"/>
    <w:pPr>
      <w:spacing w:line="240" w:lineRule="auto"/>
    </w:pPr>
    <w:rPr>
      <w:sz w:val="20"/>
      <w:szCs w:val="20"/>
    </w:rPr>
  </w:style>
  <w:style w:type="paragraph" w:styleId="Pedmtkomente">
    <w:name w:val="annotation subject"/>
    <w:basedOn w:val="Textkomente"/>
    <w:link w:val="PedmtkomenteChar"/>
    <w:uiPriority w:val="99"/>
    <w:semiHidden/>
    <w:qFormat/>
    <w:rsid w:val="00DB2BF6"/>
    <w:rPr>
      <w:b/>
      <w:bCs/>
    </w:rPr>
  </w:style>
  <w:style w:type="paragraph" w:styleId="Textbubliny">
    <w:name w:val="Balloon Text"/>
    <w:basedOn w:val="Normln"/>
    <w:link w:val="TextbublinyChar"/>
    <w:uiPriority w:val="99"/>
    <w:semiHidden/>
    <w:qFormat/>
    <w:rsid w:val="00DB2BF6"/>
    <w:pPr>
      <w:spacing w:after="0" w:line="240" w:lineRule="auto"/>
    </w:pPr>
    <w:rPr>
      <w:rFonts w:ascii="Segoe UI" w:hAnsi="Segoe UI" w:cs="Segoe UI"/>
    </w:rPr>
  </w:style>
  <w:style w:type="paragraph" w:styleId="Odstavecseseznamem">
    <w:name w:val="List Paragraph"/>
    <w:basedOn w:val="Normln"/>
    <w:uiPriority w:val="99"/>
    <w:qFormat/>
    <w:rsid w:val="00DB2BF6"/>
    <w:pPr>
      <w:ind w:left="720"/>
      <w:contextualSpacing/>
    </w:pPr>
  </w:style>
  <w:style w:type="paragraph" w:styleId="Zhlav">
    <w:name w:val="header"/>
    <w:basedOn w:val="Normln"/>
    <w:link w:val="ZhlavChar"/>
    <w:uiPriority w:val="99"/>
    <w:rsid w:val="001E4150"/>
    <w:pPr>
      <w:tabs>
        <w:tab w:val="center" w:pos="4536"/>
        <w:tab w:val="right" w:pos="9072"/>
      </w:tabs>
      <w:spacing w:after="0" w:line="240" w:lineRule="auto"/>
    </w:pPr>
  </w:style>
  <w:style w:type="paragraph" w:styleId="Zpat">
    <w:name w:val="footer"/>
    <w:basedOn w:val="Normln"/>
    <w:link w:val="ZpatChar"/>
    <w:uiPriority w:val="99"/>
    <w:rsid w:val="001E4150"/>
    <w:pPr>
      <w:tabs>
        <w:tab w:val="center" w:pos="4536"/>
        <w:tab w:val="right" w:pos="9072"/>
      </w:tabs>
      <w:spacing w:after="0" w:line="240" w:lineRule="auto"/>
    </w:pPr>
  </w:style>
  <w:style w:type="paragraph" w:customStyle="1" w:styleId="Tabellentext">
    <w:name w:val="Tabellentext"/>
    <w:basedOn w:val="Normln"/>
    <w:uiPriority w:val="99"/>
    <w:qFormat/>
    <w:rsid w:val="00097BD9"/>
    <w:pPr>
      <w:keepLines/>
      <w:spacing w:before="40" w:after="40" w:line="240" w:lineRule="auto"/>
    </w:pPr>
    <w:rPr>
      <w:rFonts w:ascii="CorpoS" w:eastAsia="Times New Roman" w:hAnsi="CorpoS" w:cs="CorpoS"/>
      <w:sz w:val="22"/>
      <w:szCs w:val="22"/>
      <w:lang w:val="de-DE" w:eastAsia="ar-SA"/>
    </w:rPr>
  </w:style>
  <w:style w:type="paragraph" w:styleId="Zkladntextodsazen3">
    <w:name w:val="Body Text Indent 3"/>
    <w:basedOn w:val="Normln"/>
    <w:link w:val="Zkladntextodsazen3Char"/>
    <w:uiPriority w:val="99"/>
    <w:semiHidden/>
    <w:qFormat/>
    <w:rsid w:val="005E470E"/>
    <w:pPr>
      <w:spacing w:after="120"/>
      <w:ind w:left="283"/>
    </w:pPr>
    <w:rPr>
      <w:sz w:val="16"/>
      <w:szCs w:val="16"/>
    </w:rPr>
  </w:style>
  <w:style w:type="table" w:styleId="Mkatabulky">
    <w:name w:val="Table Grid"/>
    <w:basedOn w:val="Normlntabulka"/>
    <w:uiPriority w:val="99"/>
    <w:rsid w:val="00995DDB"/>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2678</Words>
  <Characters>15807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Krajský úřad Libereckého kraje</Company>
  <LinksUpToDate>false</LinksUpToDate>
  <CharactersWithSpaces>18449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Compet Consult</dc:creator>
  <dc:description/>
  <cp:lastModifiedBy>Student</cp:lastModifiedBy>
  <cp:revision>2</cp:revision>
  <cp:lastPrinted>2019-12-03T15:16:00Z</cp:lastPrinted>
  <dcterms:created xsi:type="dcterms:W3CDTF">2019-12-20T08:23:00Z</dcterms:created>
  <dcterms:modified xsi:type="dcterms:W3CDTF">2019-12-20T08:23:00Z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Krajský úřad Libereckého kraje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