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80" w:line="240" w:lineRule="auto"/>
        <w:ind w:left="156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poskytování závodního stravování</w:t>
      </w:r>
      <w:bookmarkEnd w:id="2"/>
      <w:bookmarkEnd w:id="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Uzavřena mezi: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KDVJ centrum, S.r.O.</w:t>
      </w:r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588 42 Větrný Jeníkov 198/1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277 14 900 DIČ: CZ 277 14 900 Č.ú.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734" w:val="left"/>
          <w:tab w:pos="773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Tel.fax,</w:t>
        <w:tab/>
        <w:t>, e-mail</w:t>
        <w:tab/>
        <w:t>i.cz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jednatelem -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80" w:line="223" w:lineRule="auto"/>
        <w:ind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dále jen: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  <w:bookmarkEnd w:id="6"/>
      <w:bookmarkEnd w:id="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a firmou 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</w:t>
      </w:r>
      <w:bookmarkEnd w:id="8"/>
      <w:bookmarkEnd w:id="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114300</wp:posOffset>
                </wp:positionV>
                <wp:extent cx="1316990" cy="25590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°--</w:t>
                              <w:tab/>
                              <w:t>-11- 2019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05000000000001pt;margin-top:9.pt;width:103.7pt;height:20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°--</w:t>
                        <w:tab/>
                        <w:t>-11- 2019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IČ:00090450 DIČ: CZ200090450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480" w:line="240" w:lineRule="auto"/>
        <w:ind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dále jen: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</w:t>
      </w:r>
      <w:bookmarkEnd w:id="10"/>
      <w:bookmarkEnd w:id="11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32"/>
          <w:szCs w:val="32"/>
        </w:rPr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Smluvní podmínky:</w:t>
      </w:r>
      <w:bookmarkEnd w:id="12"/>
      <w:bookmarkEnd w:id="1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závodního stravování bude dodávat minimálně dva druhy teplých jídel a jedno studené (dietu,salát),v požadovaném množství a kvalitě, na adresu odběratele v předem domluvený čas ( 10,00 - 12.00 hodin)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Za kvalitu a teplotu jídla při převozu (dle HCCP) odpovídá dodavatel, od převzetí po výdej stravy odpovídá odběratel.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Obědy se boudou objednávat u dodavatele telefonicky na čísle 567 230 136, u vedoucího kuchyně pana Šťastného, nejpozději do 13.30 den předem. Přiobjednat lze, nejpozději do 7.30 hodin, odhlásit pouze po dohodě s vedoucím kuchyně rovněž nej později do 7.30 hodin.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bude fakturovat jednou měsíčně se čtrnáctidenní splatností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má právo, v případě pozdní platby (15 dnů po splatnosti), přerušit dodávky stravy do uhrazení dlužné částky odběratelem.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má právo účtovat smluvní pokutu ve výši 0,1% za každý den prodlení, a to po neuhrazení faktury, 15 dnů po splatnosti (30 dnů od vystavení) po předchozím upozornění. Případné navýšení ceny bude ohlášeno minimálně 25 dnů předem, většinou s fakturou za obědy za předchozí měsíc.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Navýšení ceny do 5% bude řešeno dodatkem ke smlouvě, vyšší zdražení pak novou smlouvou. V případě nesouhlasu v navýšením ceny oběda, je výpovědní doba 30 dnů od data obdržení (zpravidla k datu platnosti nové ceny).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stravy se zavazuje dodržovat směrnice HCCP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bude uchovávat jídelní lístky za uplynulý kalendářní rok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zajistí svoz zbytků jídel a zajistí likvidaci renomovanou firmou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 bude rozesílat jídelní lístky elektronicky týden předem na dohodnutou e-mail adresu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Strana II.</w:t>
      </w:r>
    </w:p>
    <w:tbl>
      <w:tblPr>
        <w:tblOverlap w:val="never"/>
        <w:jc w:val="center"/>
        <w:tblLayout w:type="fixed"/>
      </w:tblPr>
      <w:tblGrid>
        <w:gridCol w:w="4790"/>
        <w:gridCol w:w="5054"/>
      </w:tblGrid>
      <w:tr>
        <w:trPr>
          <w:trHeight w:val="15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Kalkulace jednoho obědu: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4442" w:val="right"/>
                <w:tab w:pos="5014" w:val="righ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hodnota surovin</w:t>
              <w:tab/>
              <w:t>32,-</w:t>
              <w:tab/>
              <w:t>Kč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4423" w:val="right"/>
                <w:tab w:pos="4990" w:val="right"/>
              </w:tabs>
              <w:bidi w:val="0"/>
              <w:spacing w:before="0" w:after="30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režie a ostatní náklady</w:t>
              <w:tab/>
              <w:t>32,-</w:t>
              <w:tab/>
              <w:t>Kč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4423" w:val="right"/>
                <w:tab w:pos="4975" w:val="righ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cena bez DPH</w:t>
              <w:tab/>
              <w:t>64,-</w:t>
              <w:tab/>
              <w:t>Kč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 platná sazba DPH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smlouva se uzavírá na dobu neurčitou s výpovědní lhůtou dvou měsíců, pokud nedojde ke změně ceny.</w:t>
      </w:r>
    </w:p>
    <w:tbl>
      <w:tblPr>
        <w:tblOverlap w:val="never"/>
        <w:jc w:val="center"/>
        <w:tblLayout w:type="fixed"/>
      </w:tblPr>
      <w:tblGrid>
        <w:gridCol w:w="4790"/>
        <w:gridCol w:w="5054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Tato smlouva nabývá platnosti dne: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1.1. 2020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zúčastněné strany dodatek podepsali dne: 20.12.2019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0 7. 11. 7019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354" w:val="left"/>
        </w:tabs>
        <w:bidi w:val="0"/>
        <w:spacing w:before="0" w:after="108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dodavatele</w:t>
        <w:tab/>
        <w:t>za odběratele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má dvě strany a byla vyhotovena ve dvou originálech.</w:t>
      </w:r>
    </w:p>
    <w:sectPr>
      <w:headerReference w:type="default" r:id="rId5"/>
      <w:headerReference w:type="even" r:id="rId6"/>
      <w:footnotePr>
        <w:pos w:val="pageBottom"/>
        <w:numFmt w:val="decimal"/>
        <w:numRestart w:val="continuous"/>
      </w:footnotePr>
      <w:pgSz w:w="11900" w:h="16840"/>
      <w:pgMar w:top="1012" w:left="1031" w:right="563" w:bottom="2168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386715</wp:posOffset>
              </wp:positionV>
              <wp:extent cx="66421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42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STRANA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3.90000000000001pt;margin-top:30.449999999999999pt;width:52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STRANA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3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1">
    <w:name w:val="Základní text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Základní text (5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240"/>
      <w:ind w:left="780" w:firstLine="7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ind w:left="23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ind w:left="23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spacing w:after="430"/>
      <w:ind w:left="232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0">
    <w:name w:val="Základní text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5">
    <w:name w:val="Základní text (5)"/>
    <w:basedOn w:val="Normal"/>
    <w:link w:val="CharStyle26"/>
    <w:pPr>
      <w:widowControl w:val="0"/>
      <w:shd w:val="clear" w:color="auto" w:fill="FFFFFF"/>
      <w:spacing w:after="1940"/>
      <w:ind w:left="75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