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03" w:rsidRDefault="006739DD">
      <w:pPr>
        <w:spacing w:after="0"/>
        <w:ind w:left="266"/>
        <w:jc w:val="center"/>
      </w:pPr>
      <w:r>
        <w:rPr>
          <w:sz w:val="26"/>
        </w:rPr>
        <w:t>SMLOUVA O POSKYTOVÁNÍ SLUŽEB ELEKTRONICKÝCH KOMUNIKACÍ</w:t>
      </w:r>
    </w:p>
    <w:p w:rsidR="00FF0C03" w:rsidRDefault="006739DD">
      <w:pPr>
        <w:spacing w:after="0"/>
        <w:ind w:left="223"/>
        <w:jc w:val="center"/>
      </w:pPr>
      <w:r>
        <w:rPr>
          <w:sz w:val="28"/>
        </w:rPr>
        <w:t>č. 19286113-D/I</w:t>
      </w:r>
    </w:p>
    <w:p w:rsidR="00FF0C03" w:rsidRDefault="006739DD">
      <w:pPr>
        <w:spacing w:after="42"/>
        <w:ind w:left="262" w:hanging="10"/>
        <w:jc w:val="center"/>
      </w:pPr>
      <w:r>
        <w:rPr>
          <w:sz w:val="14"/>
        </w:rPr>
        <w:t>uzavř</w:t>
      </w:r>
      <w:r>
        <w:rPr>
          <w:sz w:val="14"/>
        </w:rPr>
        <w:t>ena</w:t>
      </w:r>
      <w:r>
        <w:rPr>
          <w:sz w:val="14"/>
        </w:rPr>
        <w:t xml:space="preserve"> mezi</w:t>
      </w:r>
    </w:p>
    <w:p w:rsidR="00FF0C03" w:rsidRDefault="006739DD">
      <w:pPr>
        <w:tabs>
          <w:tab w:val="center" w:pos="3238"/>
        </w:tabs>
        <w:spacing w:after="0"/>
      </w:pPr>
      <w:r>
        <w:rPr>
          <w:sz w:val="18"/>
        </w:rPr>
        <w:t>Zákazník:</w:t>
      </w:r>
      <w:r>
        <w:rPr>
          <w:sz w:val="18"/>
        </w:rPr>
        <w:tab/>
        <w:t>VYSOKOMÝTSKÁ KULTURNÍ, o.p.s.</w:t>
      </w:r>
    </w:p>
    <w:tbl>
      <w:tblPr>
        <w:tblStyle w:val="TableGrid"/>
        <w:tblW w:w="9742" w:type="dxa"/>
        <w:tblInd w:w="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5382"/>
        <w:gridCol w:w="2662"/>
      </w:tblGrid>
      <w:tr w:rsidR="00FF0C03">
        <w:trPr>
          <w:trHeight w:val="424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tabs>
                <w:tab w:val="center" w:pos="3122"/>
              </w:tabs>
              <w:spacing w:after="0"/>
            </w:pPr>
            <w:r>
              <w:rPr>
                <w:sz w:val="20"/>
              </w:rPr>
              <w:t>Adresa sídla: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Litomyšlská 72, 566 01 Vysoké Mýto</w:t>
            </w:r>
          </w:p>
          <w:p w:rsidR="00FF0C03" w:rsidRDefault="006739DD">
            <w:pPr>
              <w:spacing w:after="0"/>
              <w:ind w:left="22"/>
            </w:pPr>
            <w:r>
              <w:rPr>
                <w:sz w:val="18"/>
              </w:rPr>
              <w:t>Adr. korespondenční: Litomyšlská 72, 566 01 Vysoké Mýto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7"/>
              <w:jc w:val="both"/>
            </w:pPr>
            <w:r>
              <w:rPr>
                <w:sz w:val="20"/>
              </w:rPr>
              <w:t>IC: 28852150 DIČ: CZ28852150</w:t>
            </w:r>
          </w:p>
        </w:tc>
      </w:tr>
      <w:tr w:rsidR="00FF0C03" w:rsidTr="006739DD">
        <w:trPr>
          <w:trHeight w:val="244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36"/>
            </w:pPr>
            <w:r>
              <w:rPr>
                <w:sz w:val="12"/>
              </w:rPr>
              <w:t>Obch. rejstřík: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16"/>
              </w:rPr>
              <w:t>0 274 vedená u Krajského soudu v Hradci Králové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  <w:tr w:rsidR="00FF0C03">
        <w:trPr>
          <w:trHeight w:val="20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12"/>
              </w:rPr>
              <w:t>Jednající: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16"/>
              </w:rPr>
              <w:t>Ing. DAGMAR SABOLČIKOVÁ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  <w:tr w:rsidR="00FF0C03">
        <w:trPr>
          <w:trHeight w:val="210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22"/>
            </w:pPr>
            <w:r>
              <w:rPr>
                <w:sz w:val="18"/>
              </w:rPr>
              <w:t>Telefon: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14"/>
              </w:rPr>
              <w:t>731942484 (autentizační)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  <w:tr w:rsidR="00FF0C03">
        <w:trPr>
          <w:trHeight w:val="441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29"/>
            </w:pPr>
            <w:r>
              <w:rPr>
                <w:sz w:val="18"/>
              </w:rPr>
              <w:t>Email:</w:t>
            </w:r>
          </w:p>
          <w:p w:rsidR="00FF0C03" w:rsidRDefault="006739DD">
            <w:pPr>
              <w:spacing w:after="0"/>
              <w:ind w:left="29"/>
            </w:pPr>
            <w:r>
              <w:rPr>
                <w:sz w:val="20"/>
              </w:rPr>
              <w:t>(dále jen Zákazník)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</w:pPr>
            <w:r>
              <w:rPr>
                <w:sz w:val="14"/>
              </w:rPr>
              <w:t>dagmar.sabolcikova@vysoke-myto.cz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  <w:tr w:rsidR="00FF0C03">
        <w:trPr>
          <w:trHeight w:val="24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29"/>
            </w:pPr>
            <w:r>
              <w:rPr>
                <w:sz w:val="20"/>
              </w:rPr>
              <w:t>Poskytovatel: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</w:pPr>
            <w:r>
              <w:rPr>
                <w:sz w:val="18"/>
              </w:rPr>
              <w:t>PODA a.s.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jc w:val="both"/>
            </w:pPr>
            <w:r>
              <w:rPr>
                <w:sz w:val="20"/>
              </w:rPr>
              <w:t>IC: 25816179 DIC: CZ25816179</w:t>
            </w:r>
          </w:p>
        </w:tc>
      </w:tr>
      <w:tr w:rsidR="00FF0C03">
        <w:trPr>
          <w:trHeight w:val="206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14"/>
            </w:pPr>
            <w:r>
              <w:rPr>
                <w:sz w:val="20"/>
              </w:rPr>
              <w:t>Adresa sídla: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</w:pPr>
            <w:r>
              <w:rPr>
                <w:sz w:val="20"/>
              </w:rPr>
              <w:t>28. října 102, 702 00 Ostrava - Moravská Ostrava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  <w:tr w:rsidR="00FF0C03">
        <w:trPr>
          <w:trHeight w:val="203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29"/>
            </w:pPr>
            <w:r>
              <w:rPr>
                <w:sz w:val="20"/>
              </w:rPr>
              <w:t>Obch. rejstřík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 w:rsidP="006739DD">
            <w:pPr>
              <w:spacing w:after="0"/>
            </w:pPr>
            <w:r>
              <w:rPr>
                <w:sz w:val="20"/>
              </w:rPr>
              <w:t>Krajský soud v Ostravě, oddí</w:t>
            </w:r>
            <w:r>
              <w:rPr>
                <w:sz w:val="20"/>
              </w:rPr>
              <w:t>l B, vložka č. 4020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  <w:tr w:rsidR="00FF0C03">
        <w:trPr>
          <w:trHeight w:val="19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</w:pPr>
            <w:r>
              <w:rPr>
                <w:sz w:val="20"/>
              </w:rPr>
              <w:t>Jednající: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20"/>
              </w:rPr>
              <w:t>Švarc Jiří na základě plné moci ze dne 1.3.2017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FF0C03" w:rsidRDefault="00FF0C03"/>
        </w:tc>
      </w:tr>
    </w:tbl>
    <w:p w:rsidR="00FF0C03" w:rsidRDefault="006739DD">
      <w:pPr>
        <w:spacing w:after="185" w:line="265" w:lineRule="auto"/>
        <w:ind w:left="53" w:hanging="10"/>
      </w:pPr>
      <w:r>
        <w:rPr>
          <w:sz w:val="14"/>
        </w:rPr>
        <w:t>(dále jen Poskytovatel)</w:t>
      </w:r>
    </w:p>
    <w:p w:rsidR="00FF0C03" w:rsidRDefault="006739DD">
      <w:pPr>
        <w:pStyle w:val="Nadpis1"/>
        <w:ind w:left="24"/>
      </w:pPr>
      <w:r>
        <w:t>Předmět smlouvy</w:t>
      </w:r>
    </w:p>
    <w:p w:rsidR="00FF0C03" w:rsidRDefault="006739DD">
      <w:pPr>
        <w:spacing w:after="83"/>
        <w:ind w:left="38" w:hanging="10"/>
      </w:pPr>
      <w:r>
        <w:rPr>
          <w:sz w:val="18"/>
        </w:rPr>
        <w:t>Poskytovatel se zavazuje poskytovat Zákazníkovi služby elektronických komunikací (dále jen „Služby”) specifikované v této Smlouvě za podmínek stanovených touto Smlouvou a Zákazník se touto Smlouvou zavazuje platit cenu za poskytování Služeb</w:t>
      </w:r>
      <w:r>
        <w:rPr>
          <w:sz w:val="18"/>
        </w:rPr>
        <w:t>.</w:t>
      </w:r>
    </w:p>
    <w:tbl>
      <w:tblPr>
        <w:tblStyle w:val="TableGrid"/>
        <w:tblW w:w="10234" w:type="dxa"/>
        <w:tblInd w:w="61" w:type="dxa"/>
        <w:tblCellMar>
          <w:top w:w="22" w:type="dxa"/>
          <w:left w:w="7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093"/>
        <w:gridCol w:w="634"/>
        <w:gridCol w:w="466"/>
        <w:gridCol w:w="156"/>
        <w:gridCol w:w="651"/>
        <w:gridCol w:w="367"/>
        <w:gridCol w:w="248"/>
        <w:gridCol w:w="658"/>
        <w:gridCol w:w="324"/>
        <w:gridCol w:w="1101"/>
        <w:gridCol w:w="2212"/>
      </w:tblGrid>
      <w:tr w:rsidR="00FF0C03">
        <w:trPr>
          <w:trHeight w:val="233"/>
        </w:trPr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18"/>
              </w:rPr>
              <w:t>Služba / Poznámka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65"/>
            </w:pPr>
            <w:r>
              <w:rPr>
                <w:sz w:val="20"/>
              </w:rPr>
              <w:t>Cena/měsíc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right="76"/>
              <w:jc w:val="right"/>
            </w:pPr>
            <w:r>
              <w:rPr>
                <w:sz w:val="18"/>
              </w:rPr>
              <w:t xml:space="preserve">DPH </w:t>
            </w:r>
          </w:p>
        </w:tc>
        <w:tc>
          <w:tcPr>
            <w:tcW w:w="1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29"/>
            </w:pPr>
            <w:r>
              <w:rPr>
                <w:sz w:val="18"/>
              </w:rPr>
              <w:t xml:space="preserve">Cena vč. DPH </w:t>
            </w:r>
          </w:p>
        </w:tc>
        <w:tc>
          <w:tcPr>
            <w:tcW w:w="3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</w:pPr>
            <w:r>
              <w:rPr>
                <w:sz w:val="20"/>
              </w:rPr>
              <w:t>Místo</w:t>
            </w:r>
          </w:p>
        </w:tc>
      </w:tr>
      <w:tr w:rsidR="00FF0C03">
        <w:trPr>
          <w:trHeight w:val="230"/>
        </w:trPr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</w:pPr>
            <w:r>
              <w:rPr>
                <w:sz w:val="14"/>
              </w:rPr>
              <w:t>NK Garant 50/50 Mbps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158"/>
            </w:pPr>
            <w:r>
              <w:rPr>
                <w:sz w:val="16"/>
              </w:rPr>
              <w:t>6240.OO Kč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238"/>
            </w:pPr>
            <w:r>
              <w:rPr>
                <w:sz w:val="16"/>
              </w:rPr>
              <w:t>1310.OO Kč</w:t>
            </w:r>
          </w:p>
        </w:tc>
        <w:tc>
          <w:tcPr>
            <w:tcW w:w="1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right="76"/>
              <w:jc w:val="right"/>
            </w:pPr>
            <w:r>
              <w:rPr>
                <w:sz w:val="18"/>
              </w:rPr>
              <w:t xml:space="preserve">7550.00 Kč </w:t>
            </w:r>
          </w:p>
        </w:tc>
        <w:tc>
          <w:tcPr>
            <w:tcW w:w="3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7"/>
            </w:pPr>
            <w:r>
              <w:rPr>
                <w:sz w:val="18"/>
              </w:rPr>
              <w:t>Litomyšlská 72, Vysoké Mýto</w:t>
            </w:r>
          </w:p>
        </w:tc>
      </w:tr>
      <w:tr w:rsidR="00FF0C03">
        <w:trPr>
          <w:trHeight w:val="230"/>
        </w:trPr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</w:pPr>
            <w:r>
              <w:rPr>
                <w:sz w:val="18"/>
              </w:rPr>
              <w:t>Celkem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158"/>
            </w:pPr>
            <w:r>
              <w:rPr>
                <w:sz w:val="16"/>
              </w:rPr>
              <w:t>6240.OO Kč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238"/>
            </w:pPr>
            <w:r>
              <w:rPr>
                <w:sz w:val="18"/>
              </w:rPr>
              <w:t>1310,00 Kč</w:t>
            </w:r>
          </w:p>
        </w:tc>
        <w:tc>
          <w:tcPr>
            <w:tcW w:w="1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288"/>
            </w:pPr>
            <w:r>
              <w:rPr>
                <w:sz w:val="18"/>
              </w:rPr>
              <w:t>7550.00 Kč</w:t>
            </w:r>
          </w:p>
        </w:tc>
        <w:tc>
          <w:tcPr>
            <w:tcW w:w="3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FF0C03"/>
        </w:tc>
      </w:tr>
      <w:tr w:rsidR="00FF0C03">
        <w:tblPrEx>
          <w:tblCellMar>
            <w:top w:w="42" w:type="dxa"/>
            <w:left w:w="0" w:type="dxa"/>
          </w:tblCellMar>
        </w:tblPrEx>
        <w:trPr>
          <w:gridBefore w:val="1"/>
          <w:gridAfter w:val="1"/>
          <w:wBefore w:w="2324" w:type="dxa"/>
          <w:wAfter w:w="2212" w:type="dxa"/>
          <w:trHeight w:val="243"/>
        </w:trPr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83"/>
            </w:pPr>
            <w:r>
              <w:rPr>
                <w:sz w:val="20"/>
              </w:rPr>
              <w:t xml:space="preserve">Zřizovací poplatky 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C03" w:rsidRDefault="006739DD">
            <w:pPr>
              <w:spacing w:after="0"/>
              <w:ind w:left="90"/>
            </w:pPr>
            <w:r>
              <w:rPr>
                <w:sz w:val="20"/>
              </w:rPr>
              <w:t>Cena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0C03" w:rsidRDefault="00FF0C03"/>
        </w:tc>
        <w:tc>
          <w:tcPr>
            <w:tcW w:w="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C03" w:rsidRDefault="006739DD">
            <w:pPr>
              <w:spacing w:after="0"/>
              <w:ind w:left="83"/>
            </w:pPr>
            <w:r>
              <w:rPr>
                <w:sz w:val="20"/>
              </w:rPr>
              <w:t>DPH</w:t>
            </w: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0C03" w:rsidRDefault="00FF0C03"/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83"/>
            </w:pPr>
            <w:r>
              <w:rPr>
                <w:sz w:val="20"/>
              </w:rPr>
              <w:t>Cena vč. DPH</w:t>
            </w:r>
          </w:p>
        </w:tc>
      </w:tr>
      <w:tr w:rsidR="00FF0C03">
        <w:tblPrEx>
          <w:tblCellMar>
            <w:top w:w="42" w:type="dxa"/>
            <w:left w:w="0" w:type="dxa"/>
          </w:tblCellMar>
        </w:tblPrEx>
        <w:trPr>
          <w:gridBefore w:val="1"/>
          <w:gridAfter w:val="1"/>
          <w:wBefore w:w="2324" w:type="dxa"/>
          <w:wAfter w:w="2212" w:type="dxa"/>
          <w:trHeight w:val="254"/>
        </w:trPr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left="83"/>
            </w:pPr>
            <w:r>
              <w:rPr>
                <w:sz w:val="20"/>
              </w:rPr>
              <w:t>Celkem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C03" w:rsidRDefault="00FF0C03"/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</w:pPr>
            <w:r>
              <w:rPr>
                <w:sz w:val="20"/>
              </w:rPr>
              <w:t>0.00 Kč</w:t>
            </w: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C03" w:rsidRDefault="00FF0C03"/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</w:pPr>
            <w:r>
              <w:rPr>
                <w:sz w:val="20"/>
              </w:rPr>
              <w:t>0.00 Kč</w:t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C03" w:rsidRDefault="006739DD">
            <w:pPr>
              <w:spacing w:after="0"/>
              <w:ind w:right="84"/>
              <w:jc w:val="right"/>
            </w:pPr>
            <w:r>
              <w:rPr>
                <w:sz w:val="20"/>
              </w:rPr>
              <w:t>0.00 Kč</w:t>
            </w:r>
          </w:p>
        </w:tc>
      </w:tr>
    </w:tbl>
    <w:p w:rsidR="00FF0C03" w:rsidRDefault="006739DD">
      <w:pPr>
        <w:spacing w:after="10" w:line="216" w:lineRule="auto"/>
        <w:ind w:left="-5" w:right="57" w:hanging="3"/>
      </w:pPr>
      <w:r>
        <w:rPr>
          <w:sz w:val="20"/>
        </w:rPr>
        <w:t>Nedí</w:t>
      </w:r>
      <w:r>
        <w:rPr>
          <w:sz w:val="20"/>
        </w:rPr>
        <w:t>lnou součástí této smlouvy jsou Všeobecné podmínky poskytování služeb elektronických komunikací společnosti PODA a.s. pro podnikatele a jiné osoby, které nejsou spotřebiteli v platném znění. Zákazník svým podpisem potvrzuje, že se s nimi sezná</w:t>
      </w:r>
      <w:r>
        <w:rPr>
          <w:sz w:val="20"/>
        </w:rPr>
        <w:t>mil a Že s nimi souhlasí.</w:t>
      </w:r>
    </w:p>
    <w:p w:rsidR="00FF0C03" w:rsidRDefault="006739DD">
      <w:pPr>
        <w:spacing w:after="267" w:line="255" w:lineRule="auto"/>
        <w:ind w:left="7" w:right="669" w:firstLine="7"/>
        <w:jc w:val="both"/>
      </w:pPr>
      <w:r>
        <w:rPr>
          <w:sz w:val="20"/>
        </w:rPr>
        <w:t>Zákazní</w:t>
      </w:r>
      <w:r>
        <w:rPr>
          <w:sz w:val="20"/>
        </w:rPr>
        <w:t>k se v případě porušení svých smluvních povinností zavazuje zaplatit Poskytovateli smluvní pokutu ve výši součtu měsíčních paušálů zbývajících do konce sjednané minimální doby užívání Služeb; pokud smlouva skončí před uplynutím sjednané minimální do</w:t>
      </w:r>
      <w:r>
        <w:rPr>
          <w:sz w:val="20"/>
        </w:rPr>
        <w:t>by užívání služeb z jiných důvodů, Zákazník se zavazuje zaplatit Poskytovateli smluvní pokutu ve výši součtu měsíčních paušálů zbývajících do konce sjednané minimální doby užívání Služeb dle ČI. 6.9. Podmínek.</w:t>
      </w:r>
    </w:p>
    <w:p w:rsidR="00FF0C03" w:rsidRDefault="006739DD">
      <w:pPr>
        <w:pStyle w:val="Nadpis1"/>
        <w:ind w:left="24"/>
      </w:pPr>
      <w:r>
        <w:t>Ostatní ujednání</w:t>
      </w:r>
    </w:p>
    <w:p w:rsidR="00FF0C03" w:rsidRDefault="006739DD">
      <w:pPr>
        <w:spacing w:after="552" w:line="216" w:lineRule="auto"/>
        <w:ind w:left="-5" w:right="57" w:hanging="3"/>
      </w:pPr>
      <w:r>
        <w:rPr>
          <w:sz w:val="20"/>
        </w:rPr>
        <w:t>Tato smlouva se uzavírá na do</w:t>
      </w:r>
      <w:r>
        <w:rPr>
          <w:sz w:val="20"/>
        </w:rPr>
        <w:t>bu neurčitou s minimální dobou užívání služeb v délce 36 měsíců.</w:t>
      </w:r>
    </w:p>
    <w:p w:rsidR="00FF0C03" w:rsidRDefault="006739DD">
      <w:pPr>
        <w:tabs>
          <w:tab w:val="center" w:pos="5403"/>
        </w:tabs>
        <w:spacing w:after="582" w:line="265" w:lineRule="auto"/>
      </w:pPr>
      <w:r>
        <w:rPr>
          <w:sz w:val="14"/>
        </w:rPr>
        <w:t>Zákazník:</w:t>
      </w:r>
      <w:r>
        <w:rPr>
          <w:sz w:val="14"/>
        </w:rPr>
        <w:tab/>
        <w:t>Poskytovatel:</w:t>
      </w:r>
    </w:p>
    <w:p w:rsidR="00FF0C03" w:rsidRDefault="006739DD">
      <w:pPr>
        <w:spacing w:after="0"/>
        <w:ind w:left="262" w:right="23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3092957</wp:posOffset>
                </wp:positionH>
                <wp:positionV relativeFrom="paragraph">
                  <wp:posOffset>385603</wp:posOffset>
                </wp:positionV>
                <wp:extent cx="3522407" cy="9137"/>
                <wp:effectExtent l="0" t="0" r="0" b="0"/>
                <wp:wrapSquare wrapText="bothSides"/>
                <wp:docPr id="6187" name="Group 6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407" cy="9137"/>
                          <a:chOff x="0" y="0"/>
                          <a:chExt cx="3522407" cy="9137"/>
                        </a:xfrm>
                      </wpg:grpSpPr>
                      <wps:wsp>
                        <wps:cNvPr id="6186" name="Shape 6186"/>
                        <wps:cNvSpPr/>
                        <wps:spPr>
                          <a:xfrm>
                            <a:off x="0" y="0"/>
                            <a:ext cx="352240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407" h="9137">
                                <a:moveTo>
                                  <a:pt x="0" y="4568"/>
                                </a:moveTo>
                                <a:lnTo>
                                  <a:pt x="352240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9E3CB" id="Group 6187" o:spid="_x0000_s1026" style="position:absolute;margin-left:243.55pt;margin-top:30.35pt;width:277.35pt;height:.7pt;z-index:251659264" coordsize="352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">
                <v:shape id="Shape 6186" o:spid="_x0000_s1027" style="position:absolute;width:35224;height:91;visibility:visible;mso-wrap-style:square;v-text-anchor:top" coordsize="352240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" path="m,4568r3522407,e" filled="f" strokeweight=".25381mm">
                  <v:stroke miterlimit="1" joinstyle="miter"/>
                  <v:path arrowok="t" textboxrect="0,0,3522407,9137"/>
                </v:shape>
                <w10:wrap type="square"/>
              </v:group>
            </w:pict>
          </mc:Fallback>
        </mc:AlternateContent>
      </w:r>
      <w:r>
        <w:rPr>
          <w:sz w:val="14"/>
        </w:rPr>
        <w:t>Za společnost PODA a.s. podepsal(a)</w:t>
      </w:r>
    </w:p>
    <w:p w:rsidR="00FF0C03" w:rsidRDefault="006739DD">
      <w:pPr>
        <w:tabs>
          <w:tab w:val="center" w:pos="5274"/>
          <w:tab w:val="center" w:pos="6378"/>
        </w:tabs>
        <w:spacing w:after="237"/>
      </w:pPr>
      <w:r>
        <w:rPr>
          <w:sz w:val="20"/>
        </w:rPr>
        <w:tab/>
      </w:r>
      <w:r>
        <w:rPr>
          <w:sz w:val="20"/>
        </w:rPr>
        <w:t xml:space="preserve">5. </w:t>
      </w:r>
      <w:r>
        <w:rPr>
          <w:sz w:val="20"/>
        </w:rPr>
        <w:t xml:space="preserve">12. </w:t>
      </w:r>
      <w:bookmarkStart w:id="0" w:name="_GoBack"/>
      <w:bookmarkEnd w:id="0"/>
      <w:r>
        <w:rPr>
          <w:sz w:val="20"/>
        </w:rPr>
        <w:t>2019</w:t>
      </w:r>
      <w:r>
        <w:rPr>
          <w:sz w:val="20"/>
        </w:rPr>
        <w:tab/>
        <w:t>Jiří Švarc</w:t>
      </w:r>
    </w:p>
    <w:p w:rsidR="00FF0C03" w:rsidRDefault="006739DD">
      <w:pPr>
        <w:tabs>
          <w:tab w:val="center" w:pos="5148"/>
          <w:tab w:val="center" w:pos="6367"/>
        </w:tabs>
        <w:spacing w:before="40" w:after="0"/>
      </w:pPr>
      <w:r>
        <w:rPr>
          <w:sz w:val="18"/>
        </w:rPr>
        <w:t>Podpis</w:t>
      </w:r>
      <w:r>
        <w:rPr>
          <w:sz w:val="18"/>
        </w:rPr>
        <w:tab/>
      </w:r>
      <w:r>
        <w:rPr>
          <w:sz w:val="18"/>
        </w:rPr>
        <w:t>Datum</w:t>
      </w:r>
      <w:r>
        <w:rPr>
          <w:sz w:val="18"/>
        </w:rPr>
        <w:tab/>
        <w:t>Podpis</w:t>
      </w:r>
    </w:p>
    <w:sectPr w:rsidR="00FF0C03">
      <w:pgSz w:w="11900" w:h="16820"/>
      <w:pgMar w:top="1440" w:right="971" w:bottom="1440" w:left="6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3"/>
    <w:rsid w:val="006739DD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46BF"/>
  <w15:docId w15:val="{98E9F95B-0895-4930-8B16-59F50233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9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Ineo224e MKLUB-20191219135940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Ineo224e MKLUB-20191219135940</dc:title>
  <dc:subject/>
  <dc:creator>Uživatel systému Windows</dc:creator>
  <cp:keywords/>
  <cp:lastModifiedBy>Uživatel systému Windows</cp:lastModifiedBy>
  <cp:revision>2</cp:revision>
  <dcterms:created xsi:type="dcterms:W3CDTF">2019-12-19T14:38:00Z</dcterms:created>
  <dcterms:modified xsi:type="dcterms:W3CDTF">2019-12-19T14:38:00Z</dcterms:modified>
</cp:coreProperties>
</file>