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55661F6C" w14:textId="77777777" w:rsidR="0055768E" w:rsidRDefault="0055768E" w:rsidP="0055768E">
      <w:pPr>
        <w:spacing w:line="240" w:lineRule="auto"/>
        <w:rPr>
          <w:rFonts w:asciiTheme="minorHAnsi" w:hAnsiTheme="minorHAnsi" w:cstheme="minorHAnsi"/>
          <w:b/>
          <w:sz w:val="24"/>
          <w:szCs w:val="24"/>
        </w:rPr>
      </w:pPr>
      <w:r>
        <w:rPr>
          <w:rFonts w:asciiTheme="minorHAnsi" w:hAnsiTheme="minorHAnsi" w:cstheme="minorHAnsi"/>
          <w:b/>
          <w:sz w:val="24"/>
          <w:szCs w:val="24"/>
        </w:rPr>
        <w:t>Obec Řisuty</w:t>
      </w:r>
    </w:p>
    <w:p w14:paraId="49D042DB" w14:textId="77777777" w:rsidR="0055768E" w:rsidRPr="00E677C6" w:rsidRDefault="0055768E" w:rsidP="0055768E">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8142DA">
        <w:rPr>
          <w:rFonts w:asciiTheme="minorHAnsi" w:hAnsiTheme="minorHAnsi" w:cstheme="minorHAnsi"/>
          <w:sz w:val="24"/>
          <w:szCs w:val="24"/>
        </w:rPr>
        <w:t>Řisuty 84</w:t>
      </w:r>
      <w:r>
        <w:rPr>
          <w:rFonts w:asciiTheme="minorHAnsi" w:hAnsiTheme="minorHAnsi" w:cstheme="minorHAnsi"/>
          <w:sz w:val="24"/>
          <w:szCs w:val="24"/>
        </w:rPr>
        <w:t xml:space="preserve">, </w:t>
      </w:r>
      <w:r w:rsidRPr="008142DA">
        <w:rPr>
          <w:rFonts w:asciiTheme="minorHAnsi" w:hAnsiTheme="minorHAnsi" w:cstheme="minorHAnsi"/>
          <w:sz w:val="24"/>
          <w:szCs w:val="24"/>
        </w:rPr>
        <w:t>273 78 Řisuty</w:t>
      </w:r>
    </w:p>
    <w:p w14:paraId="55A1B67B" w14:textId="77777777" w:rsidR="0055768E" w:rsidRDefault="0055768E" w:rsidP="0055768E">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w:t>
      </w:r>
      <w:r w:rsidRPr="008142DA">
        <w:rPr>
          <w:rFonts w:asciiTheme="minorHAnsi" w:hAnsiTheme="minorHAnsi" w:cstheme="minorHAnsi"/>
          <w:sz w:val="24"/>
          <w:szCs w:val="24"/>
        </w:rPr>
        <w:t>234851</w:t>
      </w:r>
    </w:p>
    <w:p w14:paraId="37E26E3E" w14:textId="77777777" w:rsidR="0055768E" w:rsidRPr="00CE6D96" w:rsidRDefault="0055768E" w:rsidP="0055768E">
      <w:pPr>
        <w:spacing w:line="240" w:lineRule="auto"/>
        <w:rPr>
          <w:rFonts w:asciiTheme="minorHAnsi" w:hAnsiTheme="minorHAnsi" w:cstheme="minorHAnsi"/>
          <w:sz w:val="24"/>
          <w:szCs w:val="24"/>
        </w:rPr>
      </w:pPr>
      <w:r>
        <w:rPr>
          <w:rFonts w:asciiTheme="minorHAnsi" w:hAnsiTheme="minorHAnsi" w:cstheme="minorHAnsi"/>
          <w:sz w:val="24"/>
          <w:szCs w:val="24"/>
        </w:rPr>
        <w:t>zastoupena Jitku Ryšavou, starostkou</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88C1E4F"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55768E">
        <w:rPr>
          <w:rFonts w:asciiTheme="minorHAnsi" w:hAnsiTheme="minorHAnsi" w:cstheme="minorHAnsi"/>
          <w:sz w:val="24"/>
          <w:szCs w:val="24"/>
        </w:rPr>
        <w:t>30. 10</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lastRenderedPageBreak/>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 xml:space="preserve">kolaudační souhlas, čestné prohlášení Vlastníka, že nový Vodohospodářský majetek byl proveden v souladu s příslušnými ustanoveními </w:t>
      </w:r>
      <w:r w:rsidR="008A0B8E">
        <w:rPr>
          <w:rFonts w:asciiTheme="minorHAnsi" w:hAnsiTheme="minorHAnsi" w:cstheme="minorHAnsi"/>
          <w:sz w:val="24"/>
          <w:szCs w:val="24"/>
        </w:rPr>
        <w:lastRenderedPageBreak/>
        <w:t>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lastRenderedPageBreak/>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lastRenderedPageBreak/>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45E4C3E0"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2E5451">
        <w:rPr>
          <w:rFonts w:asciiTheme="minorHAnsi" w:hAnsiTheme="minorHAnsi" w:cstheme="minorHAnsi"/>
          <w:sz w:val="24"/>
          <w:szCs w:val="24"/>
        </w:rPr>
        <w:t>2</w:t>
      </w:r>
      <w:r w:rsidR="0055768E">
        <w:rPr>
          <w:rFonts w:asciiTheme="minorHAnsi" w:hAnsiTheme="minorHAnsi" w:cstheme="minorHAnsi"/>
          <w:sz w:val="24"/>
          <w:szCs w:val="24"/>
        </w:rPr>
        <w:t xml:space="preserve">5. 3. </w:t>
      </w:r>
      <w:r w:rsidR="003B4A33">
        <w:rPr>
          <w:rFonts w:asciiTheme="minorHAnsi" w:hAnsiTheme="minorHAnsi" w:cstheme="minorHAnsi"/>
          <w:sz w:val="24"/>
          <w:szCs w:val="24"/>
        </w:rPr>
        <w:t>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2728465F"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55768E">
        <w:rPr>
          <w:rFonts w:ascii="Calibri" w:eastAsia="Calibri" w:hAnsi="Calibri"/>
          <w:sz w:val="24"/>
          <w:szCs w:val="24"/>
        </w:rPr>
        <w:t xml:space="preserve"> Řisutech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7FA3316E" w:rsidR="003B4A33" w:rsidRDefault="003B4A33" w:rsidP="008F180A">
      <w:pPr>
        <w:spacing w:after="160" w:line="259" w:lineRule="auto"/>
        <w:ind w:left="284" w:hanging="284"/>
        <w:rPr>
          <w:rFonts w:ascii="Calibri" w:eastAsia="Calibri" w:hAnsi="Calibri"/>
          <w:sz w:val="24"/>
          <w:szCs w:val="24"/>
        </w:rPr>
      </w:pPr>
    </w:p>
    <w:p w14:paraId="32AC51EE" w14:textId="77777777" w:rsidR="0055768E" w:rsidRDefault="0055768E"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153B65B6"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55768E">
        <w:rPr>
          <w:rFonts w:ascii="Calibri" w:eastAsia="Calibri" w:hAnsi="Calibri"/>
          <w:b/>
          <w:bCs/>
          <w:sz w:val="24"/>
          <w:szCs w:val="24"/>
        </w:rPr>
        <w:t>Řisuty</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78880957" w:rsidR="003B4A33" w:rsidRDefault="0055768E" w:rsidP="003B4A33">
      <w:pPr>
        <w:spacing w:after="160" w:line="259" w:lineRule="auto"/>
        <w:ind w:left="284" w:hanging="284"/>
        <w:rPr>
          <w:rFonts w:ascii="Calibri" w:eastAsia="Calibri" w:hAnsi="Calibri"/>
          <w:sz w:val="24"/>
          <w:szCs w:val="24"/>
        </w:rPr>
      </w:pPr>
      <w:r>
        <w:rPr>
          <w:rFonts w:ascii="Calibri" w:eastAsia="Calibri" w:hAnsi="Calibri"/>
          <w:sz w:val="24"/>
          <w:szCs w:val="24"/>
        </w:rPr>
        <w:t>Jitka Ryšavá</w:t>
      </w:r>
      <w:r>
        <w:rPr>
          <w:rFonts w:ascii="Calibri" w:eastAsia="Calibri" w:hAnsi="Calibri"/>
          <w:sz w:val="24"/>
          <w:szCs w:val="24"/>
        </w:rPr>
        <w:tab/>
      </w:r>
      <w:bookmarkStart w:id="75" w:name="_GoBack"/>
      <w:bookmarkEnd w:id="75"/>
      <w:r w:rsidR="002E5451">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14560C03"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w:t>
      </w:r>
      <w:r w:rsidR="00B42B77">
        <w:rPr>
          <w:rFonts w:ascii="Calibri" w:eastAsia="Calibri" w:hAnsi="Calibri"/>
          <w:sz w:val="24"/>
          <w:szCs w:val="24"/>
        </w:rPr>
        <w:t>k</w:t>
      </w:r>
      <w:r>
        <w:rPr>
          <w:rFonts w:ascii="Calibri" w:eastAsia="Calibri" w:hAnsi="Calibri"/>
          <w:sz w:val="24"/>
          <w:szCs w:val="24"/>
        </w:rPr>
        <w: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BE78C" w14:textId="77777777" w:rsidR="00A431A5" w:rsidRDefault="00A431A5" w:rsidP="00C57926">
      <w:pPr>
        <w:spacing w:line="240" w:lineRule="auto"/>
      </w:pPr>
      <w:r>
        <w:separator/>
      </w:r>
    </w:p>
  </w:endnote>
  <w:endnote w:type="continuationSeparator" w:id="0">
    <w:p w14:paraId="675078C0" w14:textId="77777777" w:rsidR="00A431A5" w:rsidRDefault="00A431A5" w:rsidP="00C57926">
      <w:pPr>
        <w:spacing w:line="240" w:lineRule="auto"/>
      </w:pPr>
      <w:r>
        <w:continuationSeparator/>
      </w:r>
    </w:p>
  </w:endnote>
  <w:endnote w:type="continuationNotice" w:id="1">
    <w:p w14:paraId="3B5C6B92" w14:textId="77777777" w:rsidR="00A431A5" w:rsidRDefault="00A431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9C60" w14:textId="77777777" w:rsidR="00A431A5" w:rsidRDefault="00A431A5" w:rsidP="00C57926">
      <w:pPr>
        <w:spacing w:line="240" w:lineRule="auto"/>
      </w:pPr>
      <w:r>
        <w:separator/>
      </w:r>
    </w:p>
  </w:footnote>
  <w:footnote w:type="continuationSeparator" w:id="0">
    <w:p w14:paraId="0191EBC6" w14:textId="77777777" w:rsidR="00A431A5" w:rsidRDefault="00A431A5" w:rsidP="00C57926">
      <w:pPr>
        <w:spacing w:line="240" w:lineRule="auto"/>
      </w:pPr>
      <w:r>
        <w:continuationSeparator/>
      </w:r>
    </w:p>
  </w:footnote>
  <w:footnote w:type="continuationNotice" w:id="1">
    <w:p w14:paraId="0F18A88B" w14:textId="77777777" w:rsidR="00A431A5" w:rsidRDefault="00A431A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96261"/>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5768E"/>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31A5"/>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DB483-5D20-45F9-AC1A-FB687B50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10691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2019-12-19T12:09:00Z</dcterms:created>
  <dcterms:modified xsi:type="dcterms:W3CDTF">2019-12-19T12:09:00Z</dcterms:modified>
</cp:coreProperties>
</file>