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F24B4B">
        <w:rPr>
          <w:rFonts w:ascii="Georgia" w:hAnsi="Georgia"/>
          <w:b/>
          <w:caps/>
          <w:spacing w:val="20"/>
          <w:sz w:val="28"/>
          <w:szCs w:val="28"/>
        </w:rPr>
        <w:t xml:space="preserve">6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>č. smlouvy: 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Vodárna Káraný,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Pražská vodohospodářská společnost a.s.</w:t>
      </w:r>
    </w:p>
    <w:p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D85785" w:rsidRPr="00E02674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Vodárna Káraný, a.s.</w:t>
      </w:r>
      <w:r>
        <w:rPr>
          <w:rFonts w:ascii="Georgia" w:hAnsi="Georgia"/>
          <w:sz w:val="21"/>
          <w:szCs w:val="21"/>
        </w:rPr>
        <w:t>, IČO: 291 48 995, se sídlem Praha 1 – Staré Město, Žatecká 110/2, PSČ 110 00, zapsaná v obchodním rejstříku vedeném Městským soudem v Praze, oddíl B, vložka 18857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Objednatel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:rsidR="008840F7" w:rsidRPr="00CC3776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a</w:t>
      </w:r>
    </w:p>
    <w:p w:rsidR="008840F7" w:rsidRPr="00CC3776" w:rsidRDefault="008840F7" w:rsidP="00510BF9">
      <w:pPr>
        <w:tabs>
          <w:tab w:val="left" w:pos="709"/>
        </w:tabs>
        <w:spacing w:line="300" w:lineRule="exact"/>
        <w:ind w:left="709"/>
        <w:rPr>
          <w:rFonts w:ascii="Georgia" w:hAnsi="Georgia"/>
          <w:b/>
          <w:bCs/>
          <w:sz w:val="21"/>
          <w:szCs w:val="21"/>
        </w:rPr>
      </w:pPr>
    </w:p>
    <w:p w:rsidR="00D85785" w:rsidRPr="000707F8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Pražská vodohospodářská společnost a.s.</w:t>
      </w:r>
      <w:r>
        <w:rPr>
          <w:rFonts w:ascii="Georgia" w:hAnsi="Georgia"/>
          <w:sz w:val="21"/>
          <w:szCs w:val="21"/>
        </w:rPr>
        <w:t>, IČO: 256 56 112, se sídlem Praha 1 – Staré Město, Žatecká 110/2, PSČ 110 00, zapsaná v obchodním rejstříku vedeném Městským soudem v Praze, oddíl B, vložka 5290</w:t>
      </w:r>
      <w:r w:rsidR="00424387">
        <w:rPr>
          <w:rFonts w:ascii="Georgia" w:hAnsi="Georgia"/>
          <w:sz w:val="21"/>
          <w:szCs w:val="21"/>
        </w:rPr>
        <w:t>,</w:t>
      </w:r>
    </w:p>
    <w:p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Poskytovatel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:rsidR="00D85785" w:rsidRDefault="00D85785" w:rsidP="00D85785">
      <w:pPr>
        <w:pStyle w:val="Odstavecseseznamem"/>
        <w:spacing w:line="300" w:lineRule="exact"/>
        <w:ind w:left="567"/>
        <w:contextualSpacing w:val="0"/>
        <w:rPr>
          <w:rFonts w:ascii="Georgia" w:hAnsi="Georgia"/>
          <w:b/>
          <w:sz w:val="21"/>
          <w:szCs w:val="21"/>
        </w:rPr>
      </w:pPr>
    </w:p>
    <w:p w:rsidR="008840F7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="Georgia" w:hAnsi="Georgia"/>
          <w:sz w:val="21"/>
          <w:szCs w:val="21"/>
        </w:rPr>
      </w:pPr>
    </w:p>
    <w:p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:rsidR="00424387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:rsidR="00C02F7D" w:rsidRDefault="00C02F7D" w:rsidP="00C02F7D">
      <w:pPr>
        <w:spacing w:after="120" w:line="300" w:lineRule="exact"/>
        <w:rPr>
          <w:rFonts w:ascii="Georgia" w:hAnsi="Georgia"/>
          <w:sz w:val="21"/>
          <w:szCs w:val="21"/>
        </w:rPr>
      </w:pPr>
    </w:p>
    <w:p w:rsidR="008840F7" w:rsidRPr="00823BFF" w:rsidRDefault="008840F7" w:rsidP="00510BF9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823BFF">
        <w:rPr>
          <w:rFonts w:ascii="Georgia" w:hAnsi="Georgia"/>
          <w:b/>
          <w:smallCaps/>
          <w:sz w:val="21"/>
          <w:szCs w:val="21"/>
        </w:rPr>
        <w:t>Preambule</w:t>
      </w:r>
    </w:p>
    <w:p w:rsidR="008840F7" w:rsidRPr="00823BFF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823BFF">
        <w:rPr>
          <w:rFonts w:ascii="Georgia" w:hAnsi="Georgia"/>
          <w:sz w:val="21"/>
          <w:szCs w:val="21"/>
        </w:rPr>
        <w:t>:</w:t>
      </w:r>
    </w:p>
    <w:p w:rsidR="008840F7" w:rsidRPr="008B6632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Dne 4</w:t>
      </w:r>
      <w:r w:rsidR="00F9205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listopadu</w:t>
      </w:r>
      <w:r w:rsidR="00F9205D">
        <w:rPr>
          <w:rFonts w:ascii="Georgia" w:hAnsi="Georgia"/>
          <w:sz w:val="21"/>
          <w:szCs w:val="21"/>
        </w:rPr>
        <w:t xml:space="preserve"> 2013 </w:t>
      </w:r>
      <w:r w:rsidR="005035E4">
        <w:rPr>
          <w:rFonts w:ascii="Georgia" w:hAnsi="Georgia"/>
          <w:sz w:val="21"/>
          <w:szCs w:val="21"/>
        </w:rPr>
        <w:t xml:space="preserve">mezi sebou </w:t>
      </w:r>
      <w:r w:rsidR="00F9205D">
        <w:rPr>
          <w:rFonts w:ascii="Georgia" w:hAnsi="Georgia"/>
          <w:sz w:val="21"/>
          <w:szCs w:val="21"/>
        </w:rPr>
        <w:t xml:space="preserve">Smluvní strany </w:t>
      </w:r>
      <w:r w:rsidR="005035E4">
        <w:rPr>
          <w:rFonts w:ascii="Georgia" w:hAnsi="Georgia"/>
          <w:sz w:val="21"/>
          <w:szCs w:val="21"/>
        </w:rPr>
        <w:t xml:space="preserve">uzavřely Smlouvu o </w:t>
      </w:r>
      <w:r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>
        <w:rPr>
          <w:rFonts w:ascii="Georgia" w:hAnsi="Georgia"/>
          <w:sz w:val="21"/>
          <w:szCs w:val="21"/>
        </w:rPr>
        <w:t>(dále jen „</w:t>
      </w:r>
      <w:r w:rsidR="00AB4605" w:rsidRPr="00AB4605">
        <w:rPr>
          <w:rFonts w:ascii="Georgia" w:hAnsi="Georgia"/>
          <w:b/>
          <w:sz w:val="21"/>
          <w:szCs w:val="21"/>
        </w:rPr>
        <w:t>Smlouva</w:t>
      </w:r>
      <w:r w:rsidR="00AB4605">
        <w:rPr>
          <w:rFonts w:ascii="Georgia" w:hAnsi="Georgia"/>
          <w:sz w:val="21"/>
          <w:szCs w:val="21"/>
        </w:rPr>
        <w:t>“)</w:t>
      </w:r>
      <w:r w:rsidR="008B6632">
        <w:rPr>
          <w:rFonts w:ascii="Georgia" w:hAnsi="Georgia"/>
          <w:sz w:val="21"/>
          <w:szCs w:val="21"/>
        </w:rPr>
        <w:t>,</w:t>
      </w:r>
      <w:r w:rsidR="005E7AD0">
        <w:rPr>
          <w:rFonts w:ascii="Georgia" w:hAnsi="Georgia"/>
          <w:sz w:val="21"/>
          <w:szCs w:val="21"/>
        </w:rPr>
        <w:t xml:space="preserve"> jejímž</w:t>
      </w:r>
      <w:r>
        <w:rPr>
          <w:rFonts w:ascii="Georgia" w:hAnsi="Georgia"/>
          <w:sz w:val="21"/>
          <w:szCs w:val="21"/>
        </w:rPr>
        <w:t xml:space="preserve"> </w:t>
      </w:r>
      <w:r w:rsidR="005E7AD0">
        <w:rPr>
          <w:rFonts w:ascii="Georgia" w:hAnsi="Georgia"/>
          <w:sz w:val="21"/>
          <w:szCs w:val="21"/>
        </w:rPr>
        <w:t>p</w:t>
      </w:r>
      <w:r>
        <w:rPr>
          <w:rFonts w:ascii="Georgia" w:hAnsi="Georgia"/>
          <w:sz w:val="21"/>
          <w:szCs w:val="21"/>
        </w:rPr>
        <w:t>ředmětem je závazek</w:t>
      </w:r>
      <w:r w:rsidR="005E7AD0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>
        <w:rPr>
          <w:rFonts w:ascii="Georgia" w:hAnsi="Georgia"/>
          <w:sz w:val="21"/>
          <w:szCs w:val="21"/>
        </w:rPr>
        <w:t>e uveden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:rsidR="00D20C32" w:rsidRDefault="00D20C32" w:rsidP="00D20C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:rsidR="008B6632" w:rsidRPr="00E772C1" w:rsidRDefault="008B6632" w:rsidP="008B66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:rsidR="008840F7" w:rsidRPr="00295AC8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z w:val="21"/>
          <w:szCs w:val="21"/>
        </w:rPr>
      </w:pPr>
      <w:r w:rsidRPr="00295AC8">
        <w:rPr>
          <w:rFonts w:ascii="Georgia" w:hAnsi="Georgia"/>
          <w:smallCaps/>
          <w:sz w:val="21"/>
          <w:szCs w:val="21"/>
        </w:rPr>
        <w:t>se Smluvní strany dohodly následovně:</w:t>
      </w:r>
    </w:p>
    <w:p w:rsidR="008840F7" w:rsidRDefault="008840F7" w:rsidP="00C02F7D">
      <w:pPr>
        <w:pStyle w:val="VEC"/>
        <w:spacing w:before="0" w:after="120" w:line="300" w:lineRule="exact"/>
        <w:jc w:val="left"/>
        <w:rPr>
          <w:rFonts w:ascii="Georgia" w:hAnsi="Georgia"/>
          <w:b w:val="0"/>
          <w:sz w:val="21"/>
          <w:szCs w:val="21"/>
        </w:rPr>
      </w:pPr>
    </w:p>
    <w:p w:rsidR="008840F7" w:rsidRPr="00CC3776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:rsidR="008D3029" w:rsidRDefault="008D3029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Smluvní strany se dohodly na níže uvedených změnách Smlouvy.</w:t>
      </w:r>
    </w:p>
    <w:p w:rsidR="005E7AD0" w:rsidRPr="005E7AD0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>Článek 7 (Doba trvání a možnost ukončení Smlouvy) odst. 7.1 Smlouvy se mění a nahrazuje následujícím zněním:</w:t>
      </w:r>
    </w:p>
    <w:p w:rsidR="005E7AD0" w:rsidRDefault="005E7AD0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7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Tato Smlouva se uzavírá na dobu určitou od 1. 11. 2013 do </w:t>
      </w:r>
      <w:r w:rsidR="00B663C4">
        <w:rPr>
          <w:rFonts w:ascii="Georgia" w:hAnsi="Georgia"/>
          <w:i/>
          <w:sz w:val="21"/>
          <w:szCs w:val="21"/>
        </w:rPr>
        <w:t>31</w:t>
      </w:r>
      <w:r>
        <w:rPr>
          <w:rFonts w:ascii="Georgia" w:hAnsi="Georgia"/>
          <w:i/>
          <w:sz w:val="21"/>
          <w:szCs w:val="21"/>
        </w:rPr>
        <w:t xml:space="preserve">. </w:t>
      </w:r>
      <w:r w:rsidR="00B663C4">
        <w:rPr>
          <w:rFonts w:ascii="Georgia" w:hAnsi="Georgia"/>
          <w:i/>
          <w:sz w:val="21"/>
          <w:szCs w:val="21"/>
        </w:rPr>
        <w:t>1</w:t>
      </w:r>
      <w:r>
        <w:rPr>
          <w:rFonts w:ascii="Georgia" w:hAnsi="Georgia"/>
          <w:i/>
          <w:sz w:val="21"/>
          <w:szCs w:val="21"/>
        </w:rPr>
        <w:t>2</w:t>
      </w:r>
      <w:r w:rsidRPr="005E7AD0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 xml:space="preserve"> </w:t>
      </w:r>
      <w:r w:rsidR="00F24B4B">
        <w:rPr>
          <w:rFonts w:ascii="Georgia" w:hAnsi="Georgia"/>
          <w:i/>
          <w:sz w:val="21"/>
          <w:szCs w:val="21"/>
        </w:rPr>
        <w:t>2020</w:t>
      </w:r>
      <w:r>
        <w:rPr>
          <w:rFonts w:ascii="Georgia" w:hAnsi="Georgia"/>
          <w:i/>
          <w:sz w:val="21"/>
          <w:szCs w:val="21"/>
        </w:rPr>
        <w:t>.</w:t>
      </w:r>
    </w:p>
    <w:p w:rsidR="00FD1FF7" w:rsidRDefault="00FD1FF7" w:rsidP="00FD1FF7">
      <w:pPr>
        <w:pStyle w:val="Norm"/>
        <w:numPr>
          <w:ilvl w:val="1"/>
          <w:numId w:val="29"/>
        </w:numPr>
        <w:spacing w:line="300" w:lineRule="exact"/>
        <w:ind w:left="574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:rsidR="00AB4605" w:rsidRPr="00CC3776" w:rsidRDefault="00AB4605" w:rsidP="00AB4605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lastRenderedPageBreak/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:rsidR="00AB4605" w:rsidRDefault="00AB4605" w:rsidP="00CC210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smluvní dodatek (text smlouvy bez příloh) podléhá povinnosti zveřejnění prostřednictvím registru smluv dle zákona č. 340/2015 Sb., zákon o registru smluv. Zveřejnění smlouvy 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>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vyhotovení.</w:t>
      </w:r>
    </w:p>
    <w:p w:rsidR="00AB4605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:rsidR="004A3739" w:rsidRPr="00CC3776" w:rsidRDefault="004A3739" w:rsidP="004A3739">
      <w:pPr>
        <w:pStyle w:val="Norm"/>
        <w:spacing w:line="300" w:lineRule="exact"/>
        <w:jc w:val="left"/>
        <w:rPr>
          <w:rFonts w:ascii="Georgia" w:hAnsi="Georgia"/>
          <w:sz w:val="21"/>
          <w:szCs w:val="21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:rsidTr="00FD6460">
        <w:tc>
          <w:tcPr>
            <w:tcW w:w="4412" w:type="dxa"/>
          </w:tcPr>
          <w:p w:rsidR="008840F7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proofErr w:type="gramStart"/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 xml:space="preserve">dne </w:t>
            </w:r>
            <w:ins w:id="0" w:author="Autor">
              <w:r w:rsidR="00017F49">
                <w:rPr>
                  <w:rFonts w:ascii="Georgia" w:hAnsi="Georgia"/>
                  <w:snapToGrid w:val="0"/>
                  <w:sz w:val="21"/>
                  <w:szCs w:val="21"/>
                </w:rPr>
                <w:t xml:space="preserve"> 17.12.2019</w:t>
              </w:r>
            </w:ins>
            <w:proofErr w:type="gramEnd"/>
          </w:p>
          <w:p w:rsidR="008840F7" w:rsidRPr="00663276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b/>
                <w:sz w:val="21"/>
                <w:szCs w:val="21"/>
              </w:rPr>
              <w:tab/>
            </w:r>
            <w:r w:rsidRPr="00BE7F32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:rsidR="008840F7" w:rsidRPr="00663276" w:rsidRDefault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  <w:ins w:id="1" w:author="Autor">
              <w:r w:rsidR="00017F49">
                <w:rPr>
                  <w:rFonts w:ascii="Georgia" w:hAnsi="Georgia"/>
                  <w:b w:val="0"/>
                  <w:snapToGrid w:val="0"/>
                  <w:sz w:val="21"/>
                  <w:szCs w:val="21"/>
                </w:rPr>
                <w:t>17.12.2019</w:t>
              </w:r>
            </w:ins>
            <w:bookmarkStart w:id="2" w:name="_GoBack"/>
            <w:bookmarkEnd w:id="2"/>
          </w:p>
        </w:tc>
      </w:tr>
      <w:tr w:rsidR="00D016ED" w:rsidRPr="00CC3776" w:rsidTr="00FD6460">
        <w:tc>
          <w:tcPr>
            <w:tcW w:w="4412" w:type="dxa"/>
          </w:tcPr>
          <w:p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Pr="00D016ED">
              <w:rPr>
                <w:rFonts w:ascii="Georgia" w:hAnsi="Georgia"/>
                <w:sz w:val="21"/>
                <w:szCs w:val="21"/>
              </w:rPr>
              <w:t>Vodárna Káraný, a.s.</w:t>
            </w:r>
          </w:p>
          <w:p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:rsidTr="00FD6460">
        <w:trPr>
          <w:trHeight w:val="1814"/>
        </w:trPr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Pavel Válek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, MBA</w:t>
            </w:r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:rsidTr="00FD6460">
        <w:tc>
          <w:tcPr>
            <w:tcW w:w="4412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Mgr. Martin </w:t>
            </w:r>
            <w:proofErr w:type="spellStart"/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Velík</w:t>
            </w:r>
            <w:proofErr w:type="spellEnd"/>
          </w:p>
          <w:p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místopředseda představenstva</w:t>
            </w:r>
          </w:p>
        </w:tc>
      </w:tr>
    </w:tbl>
    <w:p w:rsidR="008840F7" w:rsidRDefault="008840F7" w:rsidP="001916F8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632C14">
      <w:footerReference w:type="default" r:id="rId8"/>
      <w:pgSz w:w="11906" w:h="16838"/>
      <w:pgMar w:top="1418" w:right="849" w:bottom="1701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E15" w:rsidRDefault="00575E15">
      <w:r>
        <w:separator/>
      </w:r>
    </w:p>
  </w:endnote>
  <w:endnote w:type="continuationSeparator" w:id="0">
    <w:p w:rsidR="00575E15" w:rsidRDefault="0057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:rsidR="00EA01B5" w:rsidRDefault="00EA01B5">
    <w:pPr>
      <w:pStyle w:val="Zpat"/>
      <w:jc w:val="center"/>
    </w:pPr>
  </w:p>
  <w:p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E15" w:rsidRDefault="00575E15">
      <w:r>
        <w:separator/>
      </w:r>
    </w:p>
  </w:footnote>
  <w:footnote w:type="continuationSeparator" w:id="0">
    <w:p w:rsidR="00575E15" w:rsidRDefault="0057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6" w15:restartNumberingAfterBreak="0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9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4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9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3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33"/>
  </w:num>
  <w:num w:numId="5">
    <w:abstractNumId w:val="6"/>
  </w:num>
  <w:num w:numId="6">
    <w:abstractNumId w:val="12"/>
  </w:num>
  <w:num w:numId="7">
    <w:abstractNumId w:val="23"/>
  </w:num>
  <w:num w:numId="8">
    <w:abstractNumId w:val="28"/>
  </w:num>
  <w:num w:numId="9">
    <w:abstractNumId w:val="29"/>
  </w:num>
  <w:num w:numId="10">
    <w:abstractNumId w:val="18"/>
  </w:num>
  <w:num w:numId="11">
    <w:abstractNumId w:val="15"/>
  </w:num>
  <w:num w:numId="12">
    <w:abstractNumId w:val="2"/>
  </w:num>
  <w:num w:numId="13">
    <w:abstractNumId w:val="25"/>
  </w:num>
  <w:num w:numId="14">
    <w:abstractNumId w:val="24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9"/>
  </w:num>
  <w:num w:numId="20">
    <w:abstractNumId w:val="0"/>
  </w:num>
  <w:num w:numId="21">
    <w:abstractNumId w:val="30"/>
  </w:num>
  <w:num w:numId="22">
    <w:abstractNumId w:val="3"/>
  </w:num>
  <w:num w:numId="23">
    <w:abstractNumId w:val="26"/>
  </w:num>
  <w:num w:numId="24">
    <w:abstractNumId w:val="22"/>
  </w:num>
  <w:num w:numId="25">
    <w:abstractNumId w:val="13"/>
  </w:num>
  <w:num w:numId="26">
    <w:abstractNumId w:val="31"/>
  </w:num>
  <w:num w:numId="27">
    <w:abstractNumId w:val="10"/>
  </w:num>
  <w:num w:numId="28">
    <w:abstractNumId w:val="27"/>
  </w:num>
  <w:num w:numId="29">
    <w:abstractNumId w:val="5"/>
  </w:num>
  <w:num w:numId="30">
    <w:abstractNumId w:val="11"/>
  </w:num>
  <w:num w:numId="31">
    <w:abstractNumId w:val="14"/>
  </w:num>
  <w:num w:numId="32">
    <w:abstractNumId w:val="19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17F49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545A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449F"/>
    <w:rsid w:val="000E7D4F"/>
    <w:rsid w:val="000F14EF"/>
    <w:rsid w:val="00110B76"/>
    <w:rsid w:val="001177B7"/>
    <w:rsid w:val="00117B91"/>
    <w:rsid w:val="001223B2"/>
    <w:rsid w:val="001226C5"/>
    <w:rsid w:val="0012514C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55EC"/>
    <w:rsid w:val="002276A2"/>
    <w:rsid w:val="00231914"/>
    <w:rsid w:val="0024405C"/>
    <w:rsid w:val="00245E15"/>
    <w:rsid w:val="00250CF3"/>
    <w:rsid w:val="00255D5A"/>
    <w:rsid w:val="00273964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F10A8"/>
    <w:rsid w:val="00300D2F"/>
    <w:rsid w:val="00304EA6"/>
    <w:rsid w:val="00316181"/>
    <w:rsid w:val="00317E5C"/>
    <w:rsid w:val="003209CC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B375A"/>
    <w:rsid w:val="003C603E"/>
    <w:rsid w:val="003D0698"/>
    <w:rsid w:val="003D7EB1"/>
    <w:rsid w:val="003E0931"/>
    <w:rsid w:val="003E7C6F"/>
    <w:rsid w:val="003F5067"/>
    <w:rsid w:val="004025FF"/>
    <w:rsid w:val="004051C9"/>
    <w:rsid w:val="00407B74"/>
    <w:rsid w:val="004137B8"/>
    <w:rsid w:val="00424387"/>
    <w:rsid w:val="004257E0"/>
    <w:rsid w:val="00426947"/>
    <w:rsid w:val="00427EAA"/>
    <w:rsid w:val="00434D21"/>
    <w:rsid w:val="00435366"/>
    <w:rsid w:val="004461C2"/>
    <w:rsid w:val="00475B87"/>
    <w:rsid w:val="00475B9D"/>
    <w:rsid w:val="00481A03"/>
    <w:rsid w:val="004847BD"/>
    <w:rsid w:val="004A3739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5E15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7629"/>
    <w:rsid w:val="00697EBC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BFD"/>
    <w:rsid w:val="00701AB3"/>
    <w:rsid w:val="00713F25"/>
    <w:rsid w:val="00720AA2"/>
    <w:rsid w:val="007220D8"/>
    <w:rsid w:val="0072255D"/>
    <w:rsid w:val="007248F8"/>
    <w:rsid w:val="007255AB"/>
    <w:rsid w:val="00730645"/>
    <w:rsid w:val="00737021"/>
    <w:rsid w:val="007437E1"/>
    <w:rsid w:val="00750CCC"/>
    <w:rsid w:val="00751256"/>
    <w:rsid w:val="00751929"/>
    <w:rsid w:val="00761DD1"/>
    <w:rsid w:val="00763D0F"/>
    <w:rsid w:val="00780E68"/>
    <w:rsid w:val="00782BDD"/>
    <w:rsid w:val="00784B15"/>
    <w:rsid w:val="0078740F"/>
    <w:rsid w:val="00787CD6"/>
    <w:rsid w:val="00796065"/>
    <w:rsid w:val="007A1938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7F4A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72905"/>
    <w:rsid w:val="00881AC1"/>
    <w:rsid w:val="00881B62"/>
    <w:rsid w:val="008840F7"/>
    <w:rsid w:val="00890508"/>
    <w:rsid w:val="00894524"/>
    <w:rsid w:val="00894D23"/>
    <w:rsid w:val="008976CF"/>
    <w:rsid w:val="008A53F1"/>
    <w:rsid w:val="008A61E8"/>
    <w:rsid w:val="008A6CE0"/>
    <w:rsid w:val="008B3F36"/>
    <w:rsid w:val="008B6632"/>
    <w:rsid w:val="008D3029"/>
    <w:rsid w:val="008E0466"/>
    <w:rsid w:val="008F5945"/>
    <w:rsid w:val="008F5EE4"/>
    <w:rsid w:val="00900D00"/>
    <w:rsid w:val="00905CAC"/>
    <w:rsid w:val="00906B22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E2E2D"/>
    <w:rsid w:val="009E582A"/>
    <w:rsid w:val="009E7F76"/>
    <w:rsid w:val="009F11B8"/>
    <w:rsid w:val="00A0212D"/>
    <w:rsid w:val="00A13BAF"/>
    <w:rsid w:val="00A1433F"/>
    <w:rsid w:val="00A16DD3"/>
    <w:rsid w:val="00A314A6"/>
    <w:rsid w:val="00A36A9F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B7792"/>
    <w:rsid w:val="00AC0527"/>
    <w:rsid w:val="00AC4D79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33FC"/>
    <w:rsid w:val="00B24121"/>
    <w:rsid w:val="00B265F5"/>
    <w:rsid w:val="00B4135E"/>
    <w:rsid w:val="00B55F25"/>
    <w:rsid w:val="00B63E88"/>
    <w:rsid w:val="00B663C4"/>
    <w:rsid w:val="00B864F8"/>
    <w:rsid w:val="00B97DD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7DCE"/>
    <w:rsid w:val="00C40317"/>
    <w:rsid w:val="00C40A84"/>
    <w:rsid w:val="00C40B5A"/>
    <w:rsid w:val="00C42BE4"/>
    <w:rsid w:val="00C512F6"/>
    <w:rsid w:val="00C55A34"/>
    <w:rsid w:val="00C72B10"/>
    <w:rsid w:val="00C77B92"/>
    <w:rsid w:val="00C82302"/>
    <w:rsid w:val="00C86D27"/>
    <w:rsid w:val="00C906F9"/>
    <w:rsid w:val="00CA08FE"/>
    <w:rsid w:val="00CB3FAE"/>
    <w:rsid w:val="00CB613B"/>
    <w:rsid w:val="00CC2106"/>
    <w:rsid w:val="00CD6D41"/>
    <w:rsid w:val="00CE2A2E"/>
    <w:rsid w:val="00D0006A"/>
    <w:rsid w:val="00D016ED"/>
    <w:rsid w:val="00D06925"/>
    <w:rsid w:val="00D12520"/>
    <w:rsid w:val="00D14C28"/>
    <w:rsid w:val="00D164A7"/>
    <w:rsid w:val="00D20C32"/>
    <w:rsid w:val="00D27C35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900E1"/>
    <w:rsid w:val="00E93BB3"/>
    <w:rsid w:val="00E969DD"/>
    <w:rsid w:val="00EA01B5"/>
    <w:rsid w:val="00EB66E0"/>
    <w:rsid w:val="00EB6B06"/>
    <w:rsid w:val="00EC1CFA"/>
    <w:rsid w:val="00EC2159"/>
    <w:rsid w:val="00EC5215"/>
    <w:rsid w:val="00EC5494"/>
    <w:rsid w:val="00EE3DC4"/>
    <w:rsid w:val="00EE4E2C"/>
    <w:rsid w:val="00EE6475"/>
    <w:rsid w:val="00EF36CB"/>
    <w:rsid w:val="00EF6868"/>
    <w:rsid w:val="00F007F1"/>
    <w:rsid w:val="00F02E7F"/>
    <w:rsid w:val="00F04D38"/>
    <w:rsid w:val="00F170FB"/>
    <w:rsid w:val="00F24B4B"/>
    <w:rsid w:val="00F25629"/>
    <w:rsid w:val="00F413DE"/>
    <w:rsid w:val="00F41898"/>
    <w:rsid w:val="00F42E11"/>
    <w:rsid w:val="00F45A0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3C7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6B985-3761-4936-8145-E73FE4EA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2019-12-19T10:10:00Z</dcterms:created>
  <dcterms:modified xsi:type="dcterms:W3CDTF">2019-12-19T10:10:00Z</dcterms:modified>
</cp:coreProperties>
</file>