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CA" w:rsidRDefault="00EA60AF" w:rsidP="00EA60AF">
      <w:pPr>
        <w:pStyle w:val="Zpat"/>
        <w:tabs>
          <w:tab w:val="clear" w:pos="4536"/>
          <w:tab w:val="clear" w:pos="9072"/>
          <w:tab w:val="right" w:pos="8647"/>
        </w:tabs>
        <w:ind w:right="360" w:firstLine="142"/>
        <w:jc w:val="center"/>
        <w:rPr>
          <w:rFonts w:ascii="Tahoma" w:hAnsi="Tahoma" w:cs="Tahoma"/>
          <w:b/>
          <w:sz w:val="18"/>
        </w:rPr>
      </w:pPr>
      <w:r w:rsidRPr="00B51DCA">
        <w:rPr>
          <w:rFonts w:ascii="Tahoma" w:hAnsi="Tahoma" w:cs="Tahoma"/>
          <w:b/>
          <w:sz w:val="18"/>
        </w:rPr>
        <w:t xml:space="preserve">                                                                                                                                  </w:t>
      </w:r>
    </w:p>
    <w:p w:rsidR="00EA60AF" w:rsidRPr="00B51DCA" w:rsidRDefault="00CD7D06" w:rsidP="00EA60AF">
      <w:pPr>
        <w:pStyle w:val="Zpat"/>
        <w:tabs>
          <w:tab w:val="clear" w:pos="4536"/>
          <w:tab w:val="clear" w:pos="9072"/>
          <w:tab w:val="right" w:pos="8647"/>
        </w:tabs>
        <w:ind w:right="360" w:firstLine="142"/>
        <w:jc w:val="center"/>
        <w:rPr>
          <w:rFonts w:ascii="Tahoma" w:hAnsi="Tahoma" w:cs="Tahoma"/>
          <w:b/>
          <w:sz w:val="18"/>
        </w:rPr>
      </w:pPr>
      <w:r w:rsidRPr="00B51DCA">
        <w:rPr>
          <w:rFonts w:ascii="Tahoma" w:hAnsi="Tahoma" w:cs="Tahoma"/>
          <w:b/>
          <w:sz w:val="18"/>
        </w:rPr>
        <w:t>Čísl</w:t>
      </w:r>
      <w:r w:rsidR="00EA60AF" w:rsidRPr="00B51DCA">
        <w:rPr>
          <w:rFonts w:ascii="Tahoma" w:hAnsi="Tahoma" w:cs="Tahoma"/>
          <w:b/>
          <w:sz w:val="18"/>
        </w:rPr>
        <w:t xml:space="preserve">o smlouvy: </w:t>
      </w:r>
      <w:r w:rsidR="00E25998">
        <w:rPr>
          <w:rFonts w:ascii="Tahoma" w:hAnsi="Tahoma" w:cs="Tahoma"/>
          <w:b/>
          <w:sz w:val="18"/>
        </w:rPr>
        <w:t>2189</w:t>
      </w:r>
    </w:p>
    <w:p w:rsidR="00DF2016" w:rsidRPr="00B51DCA" w:rsidRDefault="00CD7D06" w:rsidP="00CD7D06">
      <w:pPr>
        <w:pStyle w:val="Zpat"/>
        <w:tabs>
          <w:tab w:val="clear" w:pos="4536"/>
          <w:tab w:val="clear" w:pos="9072"/>
          <w:tab w:val="right" w:pos="8647"/>
        </w:tabs>
        <w:ind w:right="360" w:firstLine="142"/>
        <w:jc w:val="center"/>
        <w:rPr>
          <w:rFonts w:ascii="Tahoma" w:hAnsi="Tahoma" w:cs="Tahoma"/>
          <w:b/>
          <w:sz w:val="28"/>
          <w:szCs w:val="28"/>
        </w:rPr>
      </w:pPr>
      <w:r w:rsidRPr="00B51DCA">
        <w:rPr>
          <w:rFonts w:ascii="Tahoma" w:hAnsi="Tahoma" w:cs="Tahoma"/>
          <w:b/>
          <w:sz w:val="28"/>
          <w:szCs w:val="28"/>
        </w:rPr>
        <w:tab/>
      </w:r>
      <w:r w:rsidR="00DF2016" w:rsidRPr="00B51DCA">
        <w:rPr>
          <w:rFonts w:ascii="Tahoma" w:hAnsi="Tahoma" w:cs="Tahoma"/>
          <w:b/>
          <w:sz w:val="28"/>
          <w:szCs w:val="28"/>
        </w:rPr>
        <w:t xml:space="preserve"> </w:t>
      </w:r>
    </w:p>
    <w:p w:rsidR="003D2112" w:rsidRPr="00B51DCA" w:rsidRDefault="003D2112" w:rsidP="00561ABE">
      <w:pPr>
        <w:pStyle w:val="Zpat"/>
        <w:tabs>
          <w:tab w:val="clear" w:pos="4536"/>
          <w:tab w:val="clear" w:pos="9072"/>
          <w:tab w:val="right" w:pos="8647"/>
        </w:tabs>
        <w:ind w:right="360" w:firstLine="142"/>
        <w:jc w:val="center"/>
        <w:rPr>
          <w:rFonts w:ascii="Tahoma" w:hAnsi="Tahoma" w:cs="Tahoma"/>
          <w:b/>
          <w:szCs w:val="24"/>
        </w:rPr>
      </w:pPr>
    </w:p>
    <w:p w:rsidR="000D38BF" w:rsidRDefault="003D211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SMLOUVA O DÍLO</w:t>
      </w:r>
    </w:p>
    <w:p w:rsidR="003D2112" w:rsidRPr="00B51DCA" w:rsidRDefault="003D2112">
      <w:pPr>
        <w:jc w:val="center"/>
        <w:rPr>
          <w:rFonts w:ascii="Tahoma" w:hAnsi="Tahoma" w:cs="Tahoma"/>
          <w:b/>
          <w:sz w:val="28"/>
          <w:szCs w:val="28"/>
        </w:rPr>
      </w:pPr>
    </w:p>
    <w:p w:rsidR="00B51DCA" w:rsidRDefault="00B51DCA" w:rsidP="00B51DCA">
      <w:pPr>
        <w:tabs>
          <w:tab w:val="left" w:pos="720"/>
          <w:tab w:val="left" w:pos="4320"/>
          <w:tab w:val="left" w:pos="4500"/>
        </w:tabs>
        <w:ind w:left="360" w:right="362"/>
        <w:jc w:val="center"/>
        <w:rPr>
          <w:rFonts w:ascii="Tahoma" w:hAnsi="Tahoma" w:cs="Tahoma"/>
          <w:szCs w:val="24"/>
        </w:rPr>
      </w:pPr>
      <w:r w:rsidRPr="00B51DCA">
        <w:rPr>
          <w:rFonts w:ascii="Tahoma" w:hAnsi="Tahoma" w:cs="Tahoma"/>
          <w:szCs w:val="24"/>
        </w:rPr>
        <w:t xml:space="preserve">uzavřená níže uvedeného dne a roku uzavřená mezi stranami podle ustanovení </w:t>
      </w:r>
    </w:p>
    <w:p w:rsidR="00B51DCA" w:rsidRPr="00B51DCA" w:rsidRDefault="00B51DCA" w:rsidP="00B51DCA">
      <w:pPr>
        <w:tabs>
          <w:tab w:val="left" w:pos="720"/>
          <w:tab w:val="left" w:pos="4320"/>
          <w:tab w:val="left" w:pos="4500"/>
        </w:tabs>
        <w:ind w:left="360" w:right="362"/>
        <w:jc w:val="center"/>
        <w:rPr>
          <w:rFonts w:ascii="Tahoma" w:hAnsi="Tahoma" w:cs="Tahoma"/>
          <w:b/>
          <w:szCs w:val="24"/>
        </w:rPr>
      </w:pPr>
      <w:r w:rsidRPr="00B51DCA">
        <w:rPr>
          <w:rFonts w:ascii="Tahoma" w:hAnsi="Tahoma" w:cs="Tahoma"/>
          <w:szCs w:val="24"/>
        </w:rPr>
        <w:t>§ 1746 odst. 2 a § 2586 a násl. zákona č 89/2012 Sb. Občanského zákoníku,</w:t>
      </w:r>
    </w:p>
    <w:p w:rsidR="00B51DCA" w:rsidRPr="00B51DCA" w:rsidRDefault="00B51DCA" w:rsidP="00B51DCA">
      <w:pPr>
        <w:jc w:val="center"/>
        <w:rPr>
          <w:rFonts w:ascii="Tahoma" w:hAnsi="Tahoma" w:cs="Tahoma"/>
          <w:szCs w:val="24"/>
        </w:rPr>
      </w:pPr>
    </w:p>
    <w:p w:rsidR="00DF2016" w:rsidRPr="00B51DCA" w:rsidRDefault="00DF2016">
      <w:pPr>
        <w:rPr>
          <w:rFonts w:ascii="Tahoma" w:hAnsi="Tahoma" w:cs="Tahoma"/>
          <w:b/>
          <w:caps/>
          <w:sz w:val="28"/>
          <w:szCs w:val="28"/>
        </w:rPr>
      </w:pPr>
    </w:p>
    <w:p w:rsidR="00DF2016" w:rsidRDefault="00E05854" w:rsidP="00E05854">
      <w:pPr>
        <w:jc w:val="center"/>
        <w:rPr>
          <w:b/>
          <w:caps/>
        </w:rPr>
      </w:pPr>
      <w:r>
        <w:rPr>
          <w:rFonts w:ascii="Tahoma" w:hAnsi="Tahoma" w:cs="Tahoma"/>
          <w:b/>
          <w:sz w:val="28"/>
          <w:szCs w:val="28"/>
        </w:rPr>
        <w:t>Článek I.</w:t>
      </w:r>
    </w:p>
    <w:p w:rsidR="00DF2016" w:rsidRPr="0060794A" w:rsidRDefault="00DF2016" w:rsidP="00B51DCA">
      <w:pPr>
        <w:tabs>
          <w:tab w:val="left" w:pos="180"/>
          <w:tab w:val="left" w:pos="975"/>
        </w:tabs>
        <w:rPr>
          <w:rFonts w:ascii="Tahoma" w:hAnsi="Tahoma" w:cs="Tahoma"/>
          <w:b/>
          <w:caps/>
          <w:sz w:val="22"/>
          <w:szCs w:val="22"/>
        </w:rPr>
      </w:pPr>
      <w:r w:rsidRPr="0060794A">
        <w:rPr>
          <w:rFonts w:ascii="Tahoma" w:hAnsi="Tahoma" w:cs="Tahoma"/>
          <w:b/>
          <w:caps/>
          <w:sz w:val="22"/>
          <w:szCs w:val="22"/>
        </w:rPr>
        <w:t>objednatel</w:t>
      </w:r>
    </w:p>
    <w:p w:rsidR="00DF2016" w:rsidRPr="00B51DCA" w:rsidRDefault="00B51DCA" w:rsidP="00B51DCA">
      <w:pPr>
        <w:ind w:left="3540" w:hanging="3540"/>
        <w:rPr>
          <w:rFonts w:ascii="Tahoma" w:hAnsi="Tahoma" w:cs="Tahoma"/>
          <w:sz w:val="22"/>
          <w:szCs w:val="22"/>
        </w:rPr>
      </w:pPr>
      <w:r w:rsidRPr="00B51DCA">
        <w:rPr>
          <w:rFonts w:ascii="Tahoma" w:hAnsi="Tahoma" w:cs="Tahoma"/>
          <w:sz w:val="22"/>
          <w:szCs w:val="22"/>
        </w:rPr>
        <w:t>Název firmy:</w:t>
      </w:r>
      <w:r w:rsidRPr="00B51DCA">
        <w:rPr>
          <w:rFonts w:ascii="Tahoma" w:hAnsi="Tahoma" w:cs="Tahoma"/>
          <w:sz w:val="22"/>
          <w:szCs w:val="22"/>
        </w:rPr>
        <w:tab/>
      </w:r>
      <w:r w:rsidR="00A15CBC" w:rsidRPr="00B51DCA">
        <w:rPr>
          <w:rFonts w:ascii="Tahoma" w:hAnsi="Tahoma" w:cs="Tahoma"/>
          <w:b/>
          <w:sz w:val="22"/>
          <w:szCs w:val="22"/>
        </w:rPr>
        <w:t>Čtyřlístek – centrum pro osoby se zdravotním postižením Ostrava, příspěvková organizace</w:t>
      </w:r>
    </w:p>
    <w:p w:rsidR="00DF2016" w:rsidRPr="00B51DCA" w:rsidRDefault="00B51DCA" w:rsidP="00B51DCA">
      <w:pPr>
        <w:rPr>
          <w:rFonts w:ascii="Tahoma" w:hAnsi="Tahoma" w:cs="Tahoma"/>
          <w:sz w:val="22"/>
          <w:szCs w:val="22"/>
        </w:rPr>
      </w:pPr>
      <w:r w:rsidRPr="00B51DCA">
        <w:rPr>
          <w:rFonts w:ascii="Tahoma" w:hAnsi="Tahoma" w:cs="Tahoma"/>
          <w:sz w:val="22"/>
          <w:szCs w:val="22"/>
        </w:rPr>
        <w:t>Sídlo:</w:t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  <w:r w:rsidR="00E22D2A" w:rsidRPr="00B51DCA">
        <w:rPr>
          <w:rFonts w:ascii="Tahoma" w:hAnsi="Tahoma" w:cs="Tahoma"/>
          <w:sz w:val="22"/>
          <w:szCs w:val="22"/>
        </w:rPr>
        <w:t>Hladnovská 751/119,</w:t>
      </w:r>
      <w:r w:rsidR="002E7F73" w:rsidRPr="00B51DCA">
        <w:rPr>
          <w:rFonts w:ascii="Tahoma" w:hAnsi="Tahoma" w:cs="Tahoma"/>
          <w:sz w:val="22"/>
          <w:szCs w:val="22"/>
        </w:rPr>
        <w:t xml:space="preserve"> Ostrava – </w:t>
      </w:r>
      <w:r w:rsidR="00E22D2A" w:rsidRPr="00B51DCA">
        <w:rPr>
          <w:rFonts w:ascii="Tahoma" w:hAnsi="Tahoma" w:cs="Tahoma"/>
          <w:sz w:val="22"/>
          <w:szCs w:val="22"/>
        </w:rPr>
        <w:t>Muglinov</w:t>
      </w:r>
      <w:r w:rsidR="002E7F73" w:rsidRPr="00B51DCA">
        <w:rPr>
          <w:rFonts w:ascii="Tahoma" w:hAnsi="Tahoma" w:cs="Tahoma"/>
          <w:sz w:val="22"/>
          <w:szCs w:val="22"/>
        </w:rPr>
        <w:t>,</w:t>
      </w:r>
      <w:r w:rsidR="000D38BF" w:rsidRPr="00B51DCA">
        <w:rPr>
          <w:rFonts w:ascii="Tahoma" w:hAnsi="Tahoma" w:cs="Tahoma"/>
          <w:sz w:val="22"/>
          <w:szCs w:val="22"/>
        </w:rPr>
        <w:t xml:space="preserve"> </w:t>
      </w:r>
      <w:r w:rsidR="002E7F73" w:rsidRPr="00B51DCA">
        <w:rPr>
          <w:rFonts w:ascii="Tahoma" w:hAnsi="Tahoma" w:cs="Tahoma"/>
          <w:sz w:val="22"/>
          <w:szCs w:val="22"/>
        </w:rPr>
        <w:t>PSČ 7</w:t>
      </w:r>
      <w:r w:rsidR="00E22D2A" w:rsidRPr="00B51DCA">
        <w:rPr>
          <w:rFonts w:ascii="Tahoma" w:hAnsi="Tahoma" w:cs="Tahoma"/>
          <w:sz w:val="22"/>
          <w:szCs w:val="22"/>
        </w:rPr>
        <w:t>12</w:t>
      </w:r>
      <w:r w:rsidR="002E7F73" w:rsidRPr="00B51DCA">
        <w:rPr>
          <w:rFonts w:ascii="Tahoma" w:hAnsi="Tahoma" w:cs="Tahoma"/>
          <w:sz w:val="22"/>
          <w:szCs w:val="22"/>
        </w:rPr>
        <w:t xml:space="preserve"> </w:t>
      </w:r>
      <w:r w:rsidR="00E22D2A" w:rsidRPr="00B51DCA">
        <w:rPr>
          <w:rFonts w:ascii="Tahoma" w:hAnsi="Tahoma" w:cs="Tahoma"/>
          <w:sz w:val="22"/>
          <w:szCs w:val="22"/>
        </w:rPr>
        <w:t>0</w:t>
      </w:r>
      <w:r w:rsidR="002E7F73" w:rsidRPr="00B51DCA">
        <w:rPr>
          <w:rFonts w:ascii="Tahoma" w:hAnsi="Tahoma" w:cs="Tahoma"/>
          <w:sz w:val="22"/>
          <w:szCs w:val="22"/>
        </w:rPr>
        <w:t>0</w:t>
      </w:r>
    </w:p>
    <w:p w:rsidR="00B51DCA" w:rsidRDefault="00B51DCA" w:rsidP="00B51DC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Zastoupená:</w:t>
      </w:r>
      <w:r w:rsidR="00DF2016" w:rsidRPr="00B51DCA">
        <w:rPr>
          <w:rFonts w:ascii="Tahoma" w:hAnsi="Tahoma" w:cs="Tahoma"/>
          <w:sz w:val="22"/>
          <w:szCs w:val="22"/>
        </w:rPr>
        <w:t xml:space="preserve">                          </w:t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E22D2A" w:rsidRPr="00B51DCA">
        <w:rPr>
          <w:rFonts w:ascii="Tahoma" w:hAnsi="Tahoma" w:cs="Tahoma"/>
          <w:sz w:val="22"/>
          <w:szCs w:val="22"/>
        </w:rPr>
        <w:t>PhDr. Svatopluk Aniol, ředitel organizace</w:t>
      </w:r>
    </w:p>
    <w:p w:rsidR="00DF2016" w:rsidRPr="00B51DCA" w:rsidRDefault="00B51DCA" w:rsidP="00B51DC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Telefon:</w:t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  <w:t xml:space="preserve">         </w:t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  <w:t xml:space="preserve">        </w:t>
      </w:r>
    </w:p>
    <w:p w:rsidR="00DF2016" w:rsidRPr="00B51DCA" w:rsidRDefault="00B51DC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Mobil:</w:t>
      </w:r>
      <w:r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</w:p>
    <w:p w:rsidR="000D38BF" w:rsidRPr="00B51DCA" w:rsidRDefault="00B51DC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2E7F73" w:rsidRPr="00B51DCA">
        <w:rPr>
          <w:rFonts w:ascii="Tahoma" w:hAnsi="Tahoma" w:cs="Tahoma"/>
          <w:sz w:val="22"/>
          <w:szCs w:val="22"/>
        </w:rPr>
        <w:tab/>
      </w:r>
      <w:r w:rsidR="002E7F73" w:rsidRPr="00B51DCA">
        <w:rPr>
          <w:rFonts w:ascii="Tahoma" w:hAnsi="Tahoma" w:cs="Tahoma"/>
          <w:sz w:val="22"/>
          <w:szCs w:val="22"/>
        </w:rPr>
        <w:tab/>
      </w:r>
      <w:r w:rsidR="002E7F73" w:rsidRPr="00B51DCA">
        <w:rPr>
          <w:rFonts w:ascii="Tahoma" w:hAnsi="Tahoma" w:cs="Tahoma"/>
          <w:sz w:val="22"/>
          <w:szCs w:val="22"/>
        </w:rPr>
        <w:tab/>
      </w:r>
      <w:r w:rsidR="002E7F73" w:rsidRPr="00B51DCA">
        <w:rPr>
          <w:rFonts w:ascii="Tahoma" w:hAnsi="Tahoma" w:cs="Tahoma"/>
          <w:sz w:val="22"/>
          <w:szCs w:val="22"/>
        </w:rPr>
        <w:tab/>
      </w:r>
    </w:p>
    <w:p w:rsidR="00DF2016" w:rsidRPr="00B51DCA" w:rsidRDefault="00B51DC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DF2016" w:rsidRPr="00B51DCA" w:rsidRDefault="00B51DC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</w:p>
    <w:p w:rsidR="00B51DCA" w:rsidRDefault="00DF2016">
      <w:pPr>
        <w:rPr>
          <w:rFonts w:ascii="Tahoma" w:hAnsi="Tahoma" w:cs="Tahoma"/>
          <w:sz w:val="22"/>
          <w:szCs w:val="22"/>
        </w:rPr>
      </w:pPr>
      <w:r w:rsidRPr="00B51DCA">
        <w:rPr>
          <w:rFonts w:ascii="Tahoma" w:hAnsi="Tahoma" w:cs="Tahoma"/>
          <w:sz w:val="22"/>
          <w:szCs w:val="22"/>
        </w:rPr>
        <w:t>IČ</w:t>
      </w:r>
      <w:r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  <w:r w:rsidR="00B51DCA">
        <w:rPr>
          <w:rFonts w:ascii="Tahoma" w:hAnsi="Tahoma" w:cs="Tahoma"/>
          <w:sz w:val="22"/>
          <w:szCs w:val="22"/>
        </w:rPr>
        <w:tab/>
      </w:r>
      <w:r w:rsidR="00E22D2A" w:rsidRPr="00B51DCA">
        <w:rPr>
          <w:rFonts w:ascii="Tahoma" w:hAnsi="Tahoma" w:cs="Tahoma"/>
          <w:sz w:val="22"/>
          <w:szCs w:val="22"/>
        </w:rPr>
        <w:t>70631808</w:t>
      </w:r>
    </w:p>
    <w:p w:rsidR="002E7F73" w:rsidRDefault="002E7F73">
      <w:pPr>
        <w:rPr>
          <w:rFonts w:ascii="Tahoma" w:hAnsi="Tahoma" w:cs="Tahoma"/>
          <w:sz w:val="22"/>
          <w:szCs w:val="22"/>
        </w:rPr>
      </w:pPr>
      <w:r w:rsidRPr="00B51DCA">
        <w:rPr>
          <w:rFonts w:ascii="Tahoma" w:hAnsi="Tahoma" w:cs="Tahoma"/>
          <w:sz w:val="22"/>
          <w:szCs w:val="22"/>
        </w:rPr>
        <w:t>DIČ</w:t>
      </w:r>
      <w:r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  <w:r w:rsid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>CZ</w:t>
      </w:r>
      <w:r w:rsidR="00E22D2A" w:rsidRPr="00B51DCA">
        <w:rPr>
          <w:rFonts w:ascii="Tahoma" w:hAnsi="Tahoma" w:cs="Tahoma"/>
          <w:sz w:val="22"/>
          <w:szCs w:val="22"/>
        </w:rPr>
        <w:t>70631808</w:t>
      </w:r>
    </w:p>
    <w:p w:rsidR="00B51DCA" w:rsidRDefault="00B51DCA" w:rsidP="00B51DC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 w:rsidR="0060794A" w:rsidRPr="0060794A">
        <w:rPr>
          <w:rFonts w:ascii="Calibri" w:hAnsi="Calibri" w:cs="Calibri"/>
          <w:lang w:val="en-US"/>
        </w:rPr>
        <w:t xml:space="preserve"> </w:t>
      </w:r>
      <w:r w:rsidR="0060794A">
        <w:rPr>
          <w:rFonts w:ascii="Calibri" w:hAnsi="Calibri" w:cs="Calibri"/>
          <w:lang w:val="en-US"/>
        </w:rPr>
        <w:tab/>
      </w:r>
      <w:r w:rsidR="0060794A">
        <w:rPr>
          <w:rFonts w:ascii="Calibri" w:hAnsi="Calibri" w:cs="Calibri"/>
          <w:lang w:val="en-US"/>
        </w:rPr>
        <w:tab/>
      </w:r>
      <w:r w:rsidR="0060794A">
        <w:rPr>
          <w:rFonts w:ascii="Calibri" w:hAnsi="Calibri" w:cs="Calibri"/>
          <w:lang w:val="en-US"/>
        </w:rPr>
        <w:tab/>
      </w:r>
      <w:r w:rsidR="0060794A" w:rsidRPr="0060794A">
        <w:rPr>
          <w:rFonts w:ascii="Tahoma" w:hAnsi="Tahoma" w:cs="Tahoma"/>
          <w:sz w:val="22"/>
          <w:szCs w:val="22"/>
          <w:lang w:val="en-US"/>
        </w:rPr>
        <w:t>9qab7g4</w:t>
      </w:r>
    </w:p>
    <w:p w:rsidR="00B51DCA" w:rsidRPr="00B51DCA" w:rsidRDefault="00B51DCA" w:rsidP="00B51DC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Cs w:val="24"/>
        </w:rPr>
        <w:t xml:space="preserve">Registrace:         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60794A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 xml:space="preserve">Organizace zřízena statutárním městem Ostrava,  </w:t>
      </w:r>
    </w:p>
    <w:p w:rsidR="00B51DCA" w:rsidRDefault="00B51DCA" w:rsidP="00B51DCA">
      <w:pPr>
        <w:ind w:left="3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usnesením Zastupitelstva č. 2065/32 ze dne 30. 11. 2005.</w:t>
      </w:r>
    </w:p>
    <w:p w:rsidR="003D2112" w:rsidRDefault="003D2112" w:rsidP="003D2112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Odpovědný pracovník objednatele: Vratislav Prokop, vedoucí provozně-technického  </w:t>
      </w:r>
    </w:p>
    <w:p w:rsidR="003D2112" w:rsidRDefault="003D2112" w:rsidP="00E25998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   </w:t>
      </w:r>
      <w:r w:rsidR="00E25998">
        <w:rPr>
          <w:rFonts w:ascii="Tahoma" w:hAnsi="Tahoma" w:cs="Tahoma"/>
          <w:szCs w:val="24"/>
        </w:rPr>
        <w:t xml:space="preserve">                     útvaru, </w:t>
      </w:r>
    </w:p>
    <w:p w:rsidR="00E25998" w:rsidRDefault="00E25998" w:rsidP="00E25998">
      <w:pPr>
        <w:rPr>
          <w:rFonts w:ascii="Tahoma" w:hAnsi="Tahoma" w:cs="Tahoma"/>
          <w:szCs w:val="24"/>
        </w:rPr>
      </w:pPr>
    </w:p>
    <w:p w:rsidR="00B51DCA" w:rsidRPr="00B51DCA" w:rsidRDefault="00B51DCA">
      <w:pPr>
        <w:rPr>
          <w:rFonts w:ascii="Tahoma" w:hAnsi="Tahoma" w:cs="Tahoma"/>
          <w:sz w:val="22"/>
          <w:szCs w:val="22"/>
        </w:rPr>
      </w:pPr>
    </w:p>
    <w:p w:rsidR="00DF2016" w:rsidRPr="00B51DCA" w:rsidRDefault="00DF2016">
      <w:pPr>
        <w:ind w:left="540"/>
        <w:rPr>
          <w:rFonts w:ascii="Tahoma" w:hAnsi="Tahoma" w:cs="Tahoma"/>
          <w:sz w:val="22"/>
          <w:szCs w:val="22"/>
        </w:rPr>
      </w:pPr>
    </w:p>
    <w:p w:rsidR="00DF2016" w:rsidRPr="00B51DCA" w:rsidRDefault="00DF2016" w:rsidP="0060794A">
      <w:pPr>
        <w:tabs>
          <w:tab w:val="left" w:pos="975"/>
        </w:tabs>
        <w:rPr>
          <w:rFonts w:ascii="Tahoma" w:hAnsi="Tahoma" w:cs="Tahoma"/>
          <w:caps/>
          <w:sz w:val="22"/>
          <w:szCs w:val="22"/>
        </w:rPr>
      </w:pPr>
      <w:r w:rsidRPr="0060794A">
        <w:rPr>
          <w:rFonts w:ascii="Tahoma" w:hAnsi="Tahoma" w:cs="Tahoma"/>
          <w:b/>
          <w:sz w:val="22"/>
          <w:szCs w:val="22"/>
        </w:rPr>
        <w:t>ZHOT</w:t>
      </w:r>
      <w:r w:rsidRPr="0060794A">
        <w:rPr>
          <w:rFonts w:ascii="Tahoma" w:hAnsi="Tahoma" w:cs="Tahoma"/>
          <w:b/>
          <w:caps/>
          <w:sz w:val="22"/>
          <w:szCs w:val="22"/>
        </w:rPr>
        <w:t>oVITEL</w:t>
      </w:r>
      <w:r w:rsidR="007153F8" w:rsidRPr="0060794A">
        <w:rPr>
          <w:rFonts w:ascii="Tahoma" w:hAnsi="Tahoma" w:cs="Tahoma"/>
          <w:b/>
          <w:caps/>
          <w:sz w:val="22"/>
          <w:szCs w:val="22"/>
        </w:rPr>
        <w:tab/>
      </w:r>
      <w:r w:rsidR="007153F8" w:rsidRPr="00B51DCA">
        <w:rPr>
          <w:rFonts w:ascii="Tahoma" w:hAnsi="Tahoma" w:cs="Tahoma"/>
          <w:caps/>
          <w:sz w:val="22"/>
          <w:szCs w:val="22"/>
        </w:rPr>
        <w:tab/>
      </w:r>
      <w:r w:rsidR="000957A8">
        <w:rPr>
          <w:rFonts w:ascii="Tahoma" w:hAnsi="Tahoma" w:cs="Tahoma"/>
          <w:caps/>
          <w:sz w:val="22"/>
          <w:szCs w:val="22"/>
        </w:rPr>
        <w:tab/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 firmy:</w:t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caps/>
          <w:sz w:val="22"/>
          <w:szCs w:val="22"/>
        </w:rPr>
        <w:t>VÝTAHY OSTRAVA SERVIS</w:t>
      </w:r>
      <w:r w:rsidR="000957A8" w:rsidRPr="000957A8">
        <w:rPr>
          <w:rFonts w:ascii="Tahoma" w:hAnsi="Tahoma" w:cs="Tahoma"/>
          <w:sz w:val="22"/>
          <w:szCs w:val="22"/>
        </w:rPr>
        <w:t xml:space="preserve"> </w:t>
      </w:r>
      <w:r w:rsidR="000957A8">
        <w:rPr>
          <w:rFonts w:ascii="Tahoma" w:hAnsi="Tahoma" w:cs="Tahoma"/>
          <w:sz w:val="22"/>
          <w:szCs w:val="22"/>
        </w:rPr>
        <w:t>s.r.o.</w:t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Sídlo:</w:t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  <w:t>Teslova 873/2, Přívoz, 702 00 Ostrava</w:t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Zastoupená:</w:t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  <w:t>Jiří Bok – jednatel</w:t>
      </w:r>
    </w:p>
    <w:p w:rsidR="000957A8" w:rsidRDefault="000957A8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Václav Košař – ředitel společnosti (na základě plné moci)</w:t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Telefon:</w:t>
      </w:r>
      <w:r w:rsidR="00B5778A">
        <w:rPr>
          <w:rFonts w:ascii="Tahoma" w:hAnsi="Tahoma" w:cs="Tahoma"/>
          <w:sz w:val="22"/>
          <w:szCs w:val="22"/>
        </w:rPr>
        <w:tab/>
      </w:r>
      <w:r w:rsidR="00B5778A">
        <w:rPr>
          <w:rFonts w:ascii="Tahoma" w:hAnsi="Tahoma" w:cs="Tahoma"/>
          <w:sz w:val="22"/>
          <w:szCs w:val="22"/>
        </w:rPr>
        <w:tab/>
      </w:r>
      <w:r w:rsidR="00B5778A">
        <w:rPr>
          <w:rFonts w:ascii="Tahoma" w:hAnsi="Tahoma" w:cs="Tahoma"/>
          <w:sz w:val="22"/>
          <w:szCs w:val="22"/>
        </w:rPr>
        <w:tab/>
      </w:r>
      <w:r w:rsidR="00B5778A">
        <w:rPr>
          <w:rFonts w:ascii="Tahoma" w:hAnsi="Tahoma" w:cs="Tahoma"/>
          <w:sz w:val="22"/>
          <w:szCs w:val="22"/>
        </w:rPr>
        <w:tab/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Mobil:</w:t>
      </w:r>
      <w:r w:rsidR="00B5778A">
        <w:rPr>
          <w:rFonts w:ascii="Tahoma" w:hAnsi="Tahoma" w:cs="Tahoma"/>
          <w:sz w:val="22"/>
          <w:szCs w:val="22"/>
        </w:rPr>
        <w:tab/>
      </w:r>
      <w:r w:rsidR="00B5778A">
        <w:rPr>
          <w:rFonts w:ascii="Tahoma" w:hAnsi="Tahoma" w:cs="Tahoma"/>
          <w:sz w:val="22"/>
          <w:szCs w:val="22"/>
        </w:rPr>
        <w:tab/>
      </w:r>
      <w:r w:rsidR="00B5778A">
        <w:rPr>
          <w:rFonts w:ascii="Tahoma" w:hAnsi="Tahoma" w:cs="Tahoma"/>
          <w:sz w:val="22"/>
          <w:szCs w:val="22"/>
        </w:rPr>
        <w:tab/>
      </w:r>
      <w:r w:rsidR="00B5778A">
        <w:rPr>
          <w:rFonts w:ascii="Tahoma" w:hAnsi="Tahoma" w:cs="Tahoma"/>
          <w:sz w:val="22"/>
          <w:szCs w:val="22"/>
        </w:rPr>
        <w:tab/>
      </w:r>
      <w:r w:rsidR="00B5778A">
        <w:rPr>
          <w:rFonts w:ascii="Tahoma" w:hAnsi="Tahoma" w:cs="Tahoma"/>
          <w:sz w:val="22"/>
          <w:szCs w:val="22"/>
        </w:rPr>
        <w:tab/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  <w:t>29393728</w:t>
      </w:r>
    </w:p>
    <w:p w:rsidR="0060794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ab/>
        <w:t>CZ29393728</w:t>
      </w:r>
    </w:p>
    <w:p w:rsidR="00DF2016" w:rsidRPr="00B51DCA" w:rsidRDefault="0060794A" w:rsidP="0060794A">
      <w:pPr>
        <w:ind w:right="-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Datová schránka:</w:t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DF2016" w:rsidRPr="00B51DCA">
        <w:rPr>
          <w:rFonts w:ascii="Tahoma" w:hAnsi="Tahoma" w:cs="Tahoma"/>
          <w:sz w:val="22"/>
          <w:szCs w:val="22"/>
        </w:rPr>
        <w:tab/>
      </w:r>
      <w:r w:rsidR="000957A8">
        <w:rPr>
          <w:rFonts w:ascii="Tahoma" w:hAnsi="Tahoma" w:cs="Tahoma"/>
          <w:sz w:val="22"/>
          <w:szCs w:val="22"/>
        </w:rPr>
        <w:t>ybj8e4j</w:t>
      </w:r>
      <w:r w:rsidR="00DF2016" w:rsidRPr="00B51DCA">
        <w:rPr>
          <w:rFonts w:ascii="Tahoma" w:hAnsi="Tahoma" w:cs="Tahoma"/>
          <w:sz w:val="22"/>
          <w:szCs w:val="22"/>
        </w:rPr>
        <w:tab/>
      </w:r>
    </w:p>
    <w:p w:rsidR="0060794A" w:rsidRPr="00B51DCA" w:rsidRDefault="00DF2016" w:rsidP="0060794A">
      <w:pPr>
        <w:rPr>
          <w:rFonts w:ascii="Tahoma" w:hAnsi="Tahoma" w:cs="Tahoma"/>
          <w:sz w:val="22"/>
          <w:szCs w:val="22"/>
        </w:rPr>
      </w:pPr>
      <w:r w:rsidRPr="00B51DCA">
        <w:rPr>
          <w:rFonts w:ascii="Tahoma" w:hAnsi="Tahoma" w:cs="Tahoma"/>
          <w:sz w:val="22"/>
          <w:szCs w:val="22"/>
        </w:rPr>
        <w:t xml:space="preserve">       </w:t>
      </w:r>
    </w:p>
    <w:p w:rsidR="00DF2016" w:rsidRPr="00B51DCA" w:rsidRDefault="00DF2016">
      <w:pPr>
        <w:rPr>
          <w:rFonts w:ascii="Tahoma" w:hAnsi="Tahoma" w:cs="Tahoma"/>
          <w:sz w:val="22"/>
          <w:szCs w:val="22"/>
        </w:rPr>
      </w:pPr>
      <w:r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  <w:r w:rsidRPr="00B51DCA">
        <w:rPr>
          <w:rFonts w:ascii="Tahoma" w:hAnsi="Tahoma" w:cs="Tahoma"/>
          <w:sz w:val="22"/>
          <w:szCs w:val="22"/>
        </w:rPr>
        <w:tab/>
      </w:r>
    </w:p>
    <w:p w:rsidR="00DF2016" w:rsidRPr="00B51DCA" w:rsidRDefault="00DF2016" w:rsidP="003D2112">
      <w:pPr>
        <w:rPr>
          <w:rFonts w:ascii="Tahoma" w:hAnsi="Tahoma" w:cs="Tahoma"/>
          <w:sz w:val="22"/>
          <w:szCs w:val="22"/>
        </w:rPr>
      </w:pPr>
    </w:p>
    <w:p w:rsidR="00DF2016" w:rsidRPr="00B51DCA" w:rsidRDefault="00DF2016">
      <w:pPr>
        <w:rPr>
          <w:rFonts w:ascii="Tahoma" w:hAnsi="Tahoma" w:cs="Tahoma"/>
          <w:sz w:val="22"/>
          <w:szCs w:val="22"/>
        </w:rPr>
      </w:pPr>
    </w:p>
    <w:p w:rsidR="00DF2016" w:rsidRPr="00B51DCA" w:rsidRDefault="00DF2016">
      <w:pPr>
        <w:jc w:val="both"/>
        <w:rPr>
          <w:rFonts w:ascii="Tahoma" w:hAnsi="Tahoma" w:cs="Tahoma"/>
          <w:sz w:val="22"/>
          <w:szCs w:val="22"/>
        </w:rPr>
      </w:pPr>
      <w:r w:rsidRPr="00B51DCA">
        <w:rPr>
          <w:rFonts w:ascii="Tahoma" w:hAnsi="Tahoma" w:cs="Tahoma"/>
          <w:sz w:val="22"/>
          <w:szCs w:val="22"/>
        </w:rPr>
        <w:t xml:space="preserve">Smluvní strany prohlašují, že údaje v tomto článku smlouvy jsou v souladu s platnými zápisy  v obchodním rejstříku (§ </w:t>
      </w:r>
      <w:smartTag w:uri="urn:schemas-microsoft-com:office:smarttags" w:element="metricconverter">
        <w:smartTagPr>
          <w:attr w:name="ProductID" w:val="27 a"/>
        </w:smartTagPr>
        <w:r w:rsidRPr="00B51DCA">
          <w:rPr>
            <w:rFonts w:ascii="Tahoma" w:hAnsi="Tahoma" w:cs="Tahoma"/>
            <w:sz w:val="22"/>
            <w:szCs w:val="22"/>
          </w:rPr>
          <w:t>27 a</w:t>
        </w:r>
      </w:smartTag>
      <w:r w:rsidRPr="00B51DCA">
        <w:rPr>
          <w:rFonts w:ascii="Tahoma" w:hAnsi="Tahoma" w:cs="Tahoma"/>
          <w:sz w:val="22"/>
          <w:szCs w:val="22"/>
        </w:rPr>
        <w:t xml:space="preserve"> násl. obch. zák.) resp. v živnostenském rejstříku (§ 60 živnostenského zákona) a že osoby zde uvedené jsou jejich oprávněnými zástupci.</w:t>
      </w:r>
      <w:r w:rsidRPr="00B51DCA">
        <w:rPr>
          <w:rFonts w:ascii="Tahoma" w:hAnsi="Tahoma" w:cs="Tahoma"/>
          <w:b/>
          <w:caps/>
          <w:sz w:val="22"/>
          <w:szCs w:val="22"/>
        </w:rPr>
        <w:t xml:space="preserve"> </w:t>
      </w:r>
    </w:p>
    <w:p w:rsidR="00633CB0" w:rsidRPr="00B51DCA" w:rsidRDefault="00633CB0">
      <w:pPr>
        <w:ind w:left="540"/>
        <w:jc w:val="both"/>
        <w:rPr>
          <w:rFonts w:ascii="Tahoma" w:hAnsi="Tahoma" w:cs="Tahoma"/>
          <w:b/>
          <w:sz w:val="22"/>
          <w:szCs w:val="22"/>
        </w:rPr>
      </w:pPr>
    </w:p>
    <w:p w:rsidR="00072315" w:rsidRPr="00E05854" w:rsidRDefault="00072315">
      <w:pPr>
        <w:tabs>
          <w:tab w:val="left" w:pos="1418"/>
        </w:tabs>
        <w:ind w:left="708"/>
        <w:rPr>
          <w:rFonts w:ascii="Tahoma" w:hAnsi="Tahoma" w:cs="Tahoma"/>
          <w:sz w:val="22"/>
          <w:szCs w:val="22"/>
        </w:rPr>
      </w:pPr>
    </w:p>
    <w:p w:rsidR="008D2E95" w:rsidRPr="00E05854" w:rsidRDefault="00072315">
      <w:pPr>
        <w:tabs>
          <w:tab w:val="left" w:pos="1418"/>
        </w:tabs>
        <w:ind w:left="708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b/>
          <w:sz w:val="22"/>
          <w:szCs w:val="22"/>
        </w:rPr>
        <w:t xml:space="preserve">                                                </w:t>
      </w:r>
      <w:r w:rsidR="009D3883" w:rsidRPr="00E05854">
        <w:rPr>
          <w:rFonts w:ascii="Tahoma" w:hAnsi="Tahoma" w:cs="Tahoma"/>
          <w:b/>
          <w:sz w:val="22"/>
          <w:szCs w:val="22"/>
        </w:rPr>
        <w:t xml:space="preserve"> </w:t>
      </w:r>
    </w:p>
    <w:p w:rsidR="003D2112" w:rsidRPr="00585199" w:rsidRDefault="003D2112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585199">
        <w:rPr>
          <w:rFonts w:ascii="Tahoma" w:hAnsi="Tahoma" w:cs="Tahoma"/>
          <w:b/>
          <w:sz w:val="28"/>
          <w:szCs w:val="28"/>
        </w:rPr>
        <w:t xml:space="preserve">Článek </w:t>
      </w:r>
      <w:r w:rsidR="00E05854" w:rsidRPr="00585199">
        <w:rPr>
          <w:rFonts w:ascii="Tahoma" w:hAnsi="Tahoma" w:cs="Tahoma"/>
          <w:b/>
          <w:sz w:val="28"/>
          <w:szCs w:val="28"/>
        </w:rPr>
        <w:t>I</w:t>
      </w:r>
      <w:r w:rsidRPr="00585199">
        <w:rPr>
          <w:rFonts w:ascii="Tahoma" w:hAnsi="Tahoma" w:cs="Tahoma"/>
          <w:b/>
          <w:sz w:val="28"/>
          <w:szCs w:val="28"/>
        </w:rPr>
        <w:t>I.</w:t>
      </w:r>
    </w:p>
    <w:p w:rsidR="003D2112" w:rsidRPr="00585199" w:rsidRDefault="003D2112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  <w:u w:val="single"/>
        </w:rPr>
      </w:pPr>
      <w:r w:rsidRPr="00585199">
        <w:rPr>
          <w:rFonts w:ascii="Tahoma" w:hAnsi="Tahoma" w:cs="Tahoma"/>
          <w:b/>
          <w:sz w:val="28"/>
          <w:szCs w:val="28"/>
          <w:u w:val="single"/>
        </w:rPr>
        <w:t>Předmět plnění</w:t>
      </w:r>
    </w:p>
    <w:p w:rsidR="003D2112" w:rsidRPr="00E05854" w:rsidRDefault="003D2112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sz w:val="22"/>
          <w:szCs w:val="22"/>
        </w:rPr>
      </w:pPr>
    </w:p>
    <w:p w:rsidR="003D2112" w:rsidRPr="00E05854" w:rsidRDefault="003D2112" w:rsidP="00E05854">
      <w:pPr>
        <w:numPr>
          <w:ilvl w:val="0"/>
          <w:numId w:val="7"/>
        </w:numPr>
        <w:tabs>
          <w:tab w:val="left" w:pos="720"/>
        </w:tabs>
        <w:overflowPunct/>
        <w:autoSpaceDE/>
        <w:autoSpaceDN/>
        <w:adjustRightInd/>
        <w:ind w:left="360" w:right="362" w:firstLine="0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Touto smlouvou se zhotovitel zavazuje provádět pro objednatele servis</w:t>
      </w:r>
      <w:r w:rsidR="00E05854">
        <w:rPr>
          <w:rFonts w:ascii="Tahoma" w:hAnsi="Tahoma" w:cs="Tahoma"/>
          <w:sz w:val="22"/>
          <w:szCs w:val="22"/>
        </w:rPr>
        <w:t xml:space="preserve"> a opravy</w:t>
      </w:r>
      <w:r w:rsidRPr="00E05854">
        <w:rPr>
          <w:rFonts w:ascii="Tahoma" w:hAnsi="Tahoma" w:cs="Tahoma"/>
          <w:sz w:val="22"/>
          <w:szCs w:val="22"/>
        </w:rPr>
        <w:t xml:space="preserve"> výtahů</w:t>
      </w:r>
      <w:r w:rsidR="00E05854">
        <w:rPr>
          <w:rFonts w:ascii="Tahoma" w:hAnsi="Tahoma" w:cs="Tahoma"/>
          <w:sz w:val="22"/>
          <w:szCs w:val="22"/>
        </w:rPr>
        <w:t>, jak je blíže popsáno</w:t>
      </w:r>
      <w:r w:rsidRPr="00E05854">
        <w:rPr>
          <w:rFonts w:ascii="Tahoma" w:hAnsi="Tahoma" w:cs="Tahoma"/>
          <w:sz w:val="22"/>
          <w:szCs w:val="22"/>
        </w:rPr>
        <w:t xml:space="preserve"> </w:t>
      </w:r>
      <w:r w:rsidR="00E05854" w:rsidRPr="00E05854">
        <w:rPr>
          <w:rFonts w:ascii="Tahoma" w:hAnsi="Tahoma" w:cs="Tahoma"/>
          <w:sz w:val="22"/>
          <w:szCs w:val="22"/>
        </w:rPr>
        <w:t>v příloze č. 1, jež je nedílnou součástí této smlouvy.</w:t>
      </w:r>
    </w:p>
    <w:p w:rsidR="003D2112" w:rsidRPr="00E05854" w:rsidRDefault="003D2112" w:rsidP="00E05854">
      <w:pPr>
        <w:tabs>
          <w:tab w:val="left" w:pos="720"/>
        </w:tabs>
        <w:ind w:left="360" w:right="362"/>
        <w:jc w:val="both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ab/>
      </w:r>
    </w:p>
    <w:p w:rsidR="003D2112" w:rsidRPr="00260D00" w:rsidRDefault="003D2112" w:rsidP="00E05854">
      <w:pPr>
        <w:numPr>
          <w:ilvl w:val="0"/>
          <w:numId w:val="7"/>
        </w:numPr>
        <w:tabs>
          <w:tab w:val="left" w:pos="720"/>
        </w:tabs>
        <w:overflowPunct/>
        <w:autoSpaceDE/>
        <w:autoSpaceDN/>
        <w:adjustRightInd/>
        <w:ind w:left="360" w:right="362" w:firstLine="0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260D00">
        <w:rPr>
          <w:rFonts w:ascii="Tahoma" w:hAnsi="Tahoma" w:cs="Tahoma"/>
          <w:sz w:val="22"/>
          <w:szCs w:val="22"/>
        </w:rPr>
        <w:t xml:space="preserve">Objednatel se zavazuje servisní služby převzít a zaplatit za ně smluvenou cenu. </w:t>
      </w:r>
    </w:p>
    <w:p w:rsidR="00E05854" w:rsidRPr="00260D00" w:rsidRDefault="003D2112" w:rsidP="00E05854">
      <w:pPr>
        <w:numPr>
          <w:ilvl w:val="0"/>
          <w:numId w:val="7"/>
        </w:numPr>
        <w:overflowPunct/>
        <w:autoSpaceDE/>
        <w:autoSpaceDN/>
        <w:adjustRightInd/>
        <w:ind w:right="362"/>
        <w:jc w:val="both"/>
        <w:textAlignment w:val="auto"/>
        <w:rPr>
          <w:rFonts w:ascii="Tahoma" w:hAnsi="Tahoma" w:cs="Tahoma"/>
          <w:sz w:val="22"/>
          <w:szCs w:val="22"/>
        </w:rPr>
      </w:pPr>
      <w:r w:rsidRPr="00260D00">
        <w:rPr>
          <w:rFonts w:ascii="Tahoma" w:hAnsi="Tahoma" w:cs="Tahoma"/>
          <w:sz w:val="22"/>
          <w:szCs w:val="22"/>
        </w:rPr>
        <w:t>Zhotovitel provádí s</w:t>
      </w:r>
      <w:r w:rsidR="00901B8D" w:rsidRPr="00260D00">
        <w:rPr>
          <w:rFonts w:ascii="Tahoma" w:hAnsi="Tahoma" w:cs="Tahoma"/>
          <w:sz w:val="22"/>
          <w:szCs w:val="22"/>
        </w:rPr>
        <w:t>vou činnost na základě oprávnění Institutu technické inspekce Praha pobočka Ostrava, ev. č. 1394/7/12/ZZ – M,O,R,Z/E-e.</w:t>
      </w:r>
    </w:p>
    <w:p w:rsidR="00E05854" w:rsidRPr="00260D00" w:rsidRDefault="00E05854" w:rsidP="00E05854">
      <w:pPr>
        <w:overflowPunct/>
        <w:autoSpaceDE/>
        <w:autoSpaceDN/>
        <w:adjustRightInd/>
        <w:ind w:left="720" w:right="362"/>
        <w:jc w:val="both"/>
        <w:textAlignment w:val="auto"/>
        <w:rPr>
          <w:rFonts w:ascii="Tahoma" w:hAnsi="Tahoma" w:cs="Tahoma"/>
          <w:sz w:val="22"/>
          <w:szCs w:val="22"/>
        </w:rPr>
      </w:pPr>
    </w:p>
    <w:p w:rsidR="00E05854" w:rsidRPr="00260D00" w:rsidRDefault="00E05854" w:rsidP="00E05854">
      <w:pPr>
        <w:numPr>
          <w:ilvl w:val="0"/>
          <w:numId w:val="7"/>
        </w:numPr>
        <w:tabs>
          <w:tab w:val="left" w:pos="360"/>
        </w:tabs>
        <w:jc w:val="both"/>
        <w:rPr>
          <w:rFonts w:ascii="Tahoma" w:hAnsi="Tahoma" w:cs="Tahoma"/>
          <w:b/>
          <w:sz w:val="22"/>
          <w:szCs w:val="22"/>
        </w:rPr>
      </w:pPr>
      <w:r w:rsidRPr="00260D00">
        <w:rPr>
          <w:rFonts w:ascii="Tahoma" w:hAnsi="Tahoma" w:cs="Tahoma"/>
          <w:b/>
          <w:sz w:val="22"/>
          <w:szCs w:val="22"/>
        </w:rPr>
        <w:t>Oprávněné osoby</w:t>
      </w:r>
    </w:p>
    <w:p w:rsidR="00E05854" w:rsidRPr="00E05854" w:rsidRDefault="00E05854" w:rsidP="00E05854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E05854" w:rsidRP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i/>
          <w:sz w:val="22"/>
          <w:szCs w:val="22"/>
        </w:rPr>
        <w:t>Objednatel</w:t>
      </w:r>
      <w:r w:rsidRPr="00E05854">
        <w:rPr>
          <w:rFonts w:ascii="Tahoma" w:hAnsi="Tahoma" w:cs="Tahoma"/>
          <w:sz w:val="22"/>
          <w:szCs w:val="22"/>
        </w:rPr>
        <w:t xml:space="preserve"> -   osoby oprávněné:</w:t>
      </w:r>
    </w:p>
    <w:p w:rsidR="00E05854" w:rsidRP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i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Ve věcech smluvních a obchodních: PhDr. Svatopluk Aniol, ředitel organizace</w:t>
      </w:r>
      <w:r w:rsidRPr="00E05854">
        <w:rPr>
          <w:rFonts w:ascii="Tahoma" w:hAnsi="Tahoma" w:cs="Tahoma"/>
          <w:i/>
          <w:sz w:val="22"/>
          <w:szCs w:val="22"/>
        </w:rPr>
        <w:t xml:space="preserve"> </w:t>
      </w:r>
    </w:p>
    <w:p w:rsid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  <w:r w:rsidRPr="00901B8D">
        <w:rPr>
          <w:rFonts w:ascii="Tahoma" w:hAnsi="Tahoma" w:cs="Tahoma"/>
          <w:sz w:val="22"/>
          <w:szCs w:val="22"/>
        </w:rPr>
        <w:t>Ve věcech technických –Vratislav Prokop, vedoucí provozně technického útvaru</w:t>
      </w:r>
    </w:p>
    <w:p w:rsid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Tel: </w:t>
      </w:r>
    </w:p>
    <w:p w:rsidR="00E05854" w:rsidRP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Lukáš Kellner, technický pracovník</w:t>
      </w:r>
    </w:p>
    <w:p w:rsid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  <w:t xml:space="preserve">    </w:t>
      </w:r>
      <w:r>
        <w:rPr>
          <w:rFonts w:ascii="Tahoma" w:hAnsi="Tahoma" w:cs="Tahoma"/>
          <w:sz w:val="22"/>
          <w:szCs w:val="22"/>
        </w:rPr>
        <w:t xml:space="preserve">Tel: </w:t>
      </w:r>
    </w:p>
    <w:p w:rsidR="00585199" w:rsidRPr="00E05854" w:rsidRDefault="00585199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</w:p>
    <w:p w:rsidR="00E05854" w:rsidRP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i/>
          <w:sz w:val="22"/>
          <w:szCs w:val="22"/>
        </w:rPr>
        <w:t>Zhotovitel</w:t>
      </w:r>
      <w:r w:rsidRPr="00E05854">
        <w:rPr>
          <w:rFonts w:ascii="Tahoma" w:hAnsi="Tahoma" w:cs="Tahoma"/>
          <w:sz w:val="22"/>
          <w:szCs w:val="22"/>
        </w:rPr>
        <w:t xml:space="preserve"> -  osoby oprávněné:</w:t>
      </w:r>
    </w:p>
    <w:p w:rsidR="00E05854" w:rsidRP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Ve věcech smluvních a obchodních:</w:t>
      </w:r>
      <w:r w:rsidR="00260D00">
        <w:rPr>
          <w:rFonts w:ascii="Tahoma" w:hAnsi="Tahoma" w:cs="Tahoma"/>
          <w:sz w:val="22"/>
          <w:szCs w:val="22"/>
        </w:rPr>
        <w:t xml:space="preserve"> Václav Košař – ředitel společnosti</w:t>
      </w:r>
    </w:p>
    <w:p w:rsidR="00E05854" w:rsidRPr="00E05854" w:rsidRDefault="00E05854" w:rsidP="00E05854">
      <w:pPr>
        <w:tabs>
          <w:tab w:val="left" w:pos="1418"/>
        </w:tabs>
        <w:ind w:left="708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 xml:space="preserve">Ve věcech technických: </w:t>
      </w:r>
      <w:r w:rsidR="00260D00">
        <w:rPr>
          <w:rFonts w:ascii="Tahoma" w:hAnsi="Tahoma" w:cs="Tahoma"/>
          <w:sz w:val="22"/>
          <w:szCs w:val="22"/>
        </w:rPr>
        <w:t>Ing. Lukáš Procházka – technická podpora, zásobování</w:t>
      </w:r>
    </w:p>
    <w:p w:rsidR="003D2112" w:rsidRPr="00E05854" w:rsidRDefault="003D2112" w:rsidP="00E05854">
      <w:pPr>
        <w:tabs>
          <w:tab w:val="left" w:pos="720"/>
        </w:tabs>
        <w:ind w:left="360" w:right="362"/>
        <w:jc w:val="both"/>
        <w:rPr>
          <w:rFonts w:ascii="Tahoma" w:hAnsi="Tahoma" w:cs="Tahoma"/>
          <w:b/>
          <w:sz w:val="22"/>
          <w:szCs w:val="22"/>
        </w:rPr>
      </w:pPr>
    </w:p>
    <w:p w:rsidR="003D2112" w:rsidRPr="00E05854" w:rsidRDefault="003D2112" w:rsidP="00E05854">
      <w:pPr>
        <w:tabs>
          <w:tab w:val="left" w:pos="720"/>
        </w:tabs>
        <w:ind w:left="360" w:right="362"/>
        <w:jc w:val="both"/>
        <w:rPr>
          <w:rFonts w:ascii="Tahoma" w:hAnsi="Tahoma" w:cs="Tahoma"/>
          <w:b/>
          <w:sz w:val="22"/>
          <w:szCs w:val="22"/>
        </w:rPr>
      </w:pPr>
    </w:p>
    <w:p w:rsidR="003D2112" w:rsidRPr="00585199" w:rsidRDefault="003D2112" w:rsidP="00585199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585199">
        <w:rPr>
          <w:rFonts w:ascii="Tahoma" w:hAnsi="Tahoma" w:cs="Tahoma"/>
          <w:b/>
          <w:sz w:val="28"/>
          <w:szCs w:val="28"/>
        </w:rPr>
        <w:t>Článek I</w:t>
      </w:r>
      <w:r w:rsidR="004964E5">
        <w:rPr>
          <w:rFonts w:ascii="Tahoma" w:hAnsi="Tahoma" w:cs="Tahoma"/>
          <w:b/>
          <w:sz w:val="28"/>
          <w:szCs w:val="28"/>
        </w:rPr>
        <w:t>I</w:t>
      </w:r>
      <w:r w:rsidRPr="00585199">
        <w:rPr>
          <w:rFonts w:ascii="Tahoma" w:hAnsi="Tahoma" w:cs="Tahoma"/>
          <w:b/>
          <w:sz w:val="28"/>
          <w:szCs w:val="28"/>
        </w:rPr>
        <w:t>I.</w:t>
      </w:r>
    </w:p>
    <w:p w:rsidR="003D2112" w:rsidRPr="00585199" w:rsidRDefault="003D2112" w:rsidP="00585199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  <w:u w:val="single"/>
        </w:rPr>
      </w:pPr>
      <w:r w:rsidRPr="00585199">
        <w:rPr>
          <w:rFonts w:ascii="Tahoma" w:hAnsi="Tahoma" w:cs="Tahoma"/>
          <w:b/>
          <w:sz w:val="28"/>
          <w:szCs w:val="28"/>
          <w:u w:val="single"/>
        </w:rPr>
        <w:t>Cena</w:t>
      </w:r>
    </w:p>
    <w:p w:rsidR="003D2112" w:rsidRPr="00585199" w:rsidRDefault="003D2112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i/>
          <w:sz w:val="28"/>
          <w:szCs w:val="28"/>
          <w:u w:val="single"/>
        </w:rPr>
      </w:pPr>
    </w:p>
    <w:p w:rsidR="00700124" w:rsidRDefault="003D2112" w:rsidP="004964E5">
      <w:pPr>
        <w:pStyle w:val="Seznam2"/>
        <w:numPr>
          <w:ilvl w:val="0"/>
          <w:numId w:val="8"/>
        </w:numPr>
        <w:tabs>
          <w:tab w:val="left" w:pos="720"/>
        </w:tabs>
        <w:ind w:left="360" w:right="362" w:firstLine="0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 xml:space="preserve">Cena servisní služby podle této smlouvy je stanovena dohodou </w:t>
      </w:r>
      <w:r w:rsidR="00700124">
        <w:rPr>
          <w:rFonts w:ascii="Tahoma" w:hAnsi="Tahoma" w:cs="Tahoma"/>
          <w:sz w:val="22"/>
          <w:szCs w:val="22"/>
        </w:rPr>
        <w:t xml:space="preserve">smluvních stran a je </w:t>
      </w:r>
    </w:p>
    <w:p w:rsidR="003D2112" w:rsidRPr="00E05854" w:rsidRDefault="00700124" w:rsidP="004964E5">
      <w:pPr>
        <w:pStyle w:val="Seznam2"/>
        <w:tabs>
          <w:tab w:val="left" w:pos="720"/>
        </w:tabs>
        <w:ind w:left="360" w:right="362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uvedena v P</w:t>
      </w:r>
      <w:r w:rsidR="003D2112" w:rsidRPr="00E05854">
        <w:rPr>
          <w:rFonts w:ascii="Tahoma" w:hAnsi="Tahoma" w:cs="Tahoma"/>
          <w:sz w:val="22"/>
          <w:szCs w:val="22"/>
        </w:rPr>
        <w:t xml:space="preserve">říloze </w:t>
      </w:r>
      <w:r>
        <w:rPr>
          <w:rFonts w:ascii="Tahoma" w:hAnsi="Tahoma" w:cs="Tahoma"/>
          <w:sz w:val="22"/>
          <w:szCs w:val="22"/>
        </w:rPr>
        <w:t>č. 3 – Krycí list nabídky</w:t>
      </w:r>
      <w:r w:rsidRPr="00E05854">
        <w:rPr>
          <w:rFonts w:ascii="Tahoma" w:hAnsi="Tahoma" w:cs="Tahoma"/>
          <w:sz w:val="22"/>
          <w:szCs w:val="22"/>
        </w:rPr>
        <w:t>, která je nedílnou součástí této smlouvy.</w:t>
      </w:r>
    </w:p>
    <w:p w:rsidR="003D2112" w:rsidRPr="00E05854" w:rsidRDefault="00700124" w:rsidP="004964E5">
      <w:pPr>
        <w:pStyle w:val="Seznam2"/>
        <w:tabs>
          <w:tab w:val="left" w:pos="720"/>
        </w:tabs>
        <w:ind w:left="360" w:right="362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4964E5" w:rsidRPr="00E05854" w:rsidRDefault="003D2112" w:rsidP="004964E5">
      <w:pPr>
        <w:pStyle w:val="Seznam2"/>
        <w:numPr>
          <w:ilvl w:val="0"/>
          <w:numId w:val="8"/>
        </w:numPr>
        <w:tabs>
          <w:tab w:val="left" w:pos="720"/>
        </w:tabs>
        <w:ind w:right="362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Pro výpočet souhrnné ceny je rozhodující celkový počet výtahů</w:t>
      </w:r>
      <w:r w:rsidR="004964E5">
        <w:rPr>
          <w:rFonts w:ascii="Tahoma" w:hAnsi="Tahoma" w:cs="Tahoma"/>
          <w:sz w:val="22"/>
          <w:szCs w:val="22"/>
        </w:rPr>
        <w:t xml:space="preserve"> a plošin</w:t>
      </w:r>
      <w:r w:rsidRPr="00E05854">
        <w:rPr>
          <w:rFonts w:ascii="Tahoma" w:hAnsi="Tahoma" w:cs="Tahoma"/>
          <w:sz w:val="22"/>
          <w:szCs w:val="22"/>
        </w:rPr>
        <w:t xml:space="preserve">, pro který se servis </w:t>
      </w:r>
      <w:r w:rsidR="004964E5">
        <w:rPr>
          <w:rFonts w:ascii="Tahoma" w:hAnsi="Tahoma" w:cs="Tahoma"/>
          <w:sz w:val="22"/>
          <w:szCs w:val="22"/>
        </w:rPr>
        <w:t>s</w:t>
      </w:r>
      <w:r w:rsidR="004964E5" w:rsidRPr="00E05854">
        <w:rPr>
          <w:rFonts w:ascii="Tahoma" w:hAnsi="Tahoma" w:cs="Tahoma"/>
          <w:sz w:val="22"/>
          <w:szCs w:val="22"/>
        </w:rPr>
        <w:t>jednává</w:t>
      </w:r>
      <w:r w:rsidR="004964E5">
        <w:rPr>
          <w:rFonts w:ascii="Tahoma" w:hAnsi="Tahoma" w:cs="Tahoma"/>
          <w:sz w:val="22"/>
          <w:szCs w:val="22"/>
        </w:rPr>
        <w:t>,</w:t>
      </w:r>
      <w:r w:rsidR="004964E5" w:rsidRPr="00E05854">
        <w:rPr>
          <w:rFonts w:ascii="Tahoma" w:hAnsi="Tahoma" w:cs="Tahoma"/>
          <w:sz w:val="22"/>
          <w:szCs w:val="22"/>
        </w:rPr>
        <w:t xml:space="preserve"> podle  soupisu uvedeného v </w:t>
      </w:r>
      <w:r w:rsidR="004964E5">
        <w:rPr>
          <w:rFonts w:ascii="Tahoma" w:hAnsi="Tahoma" w:cs="Tahoma"/>
          <w:sz w:val="22"/>
          <w:szCs w:val="22"/>
        </w:rPr>
        <w:t>P</w:t>
      </w:r>
      <w:r w:rsidR="004964E5" w:rsidRPr="00E05854">
        <w:rPr>
          <w:rFonts w:ascii="Tahoma" w:hAnsi="Tahoma" w:cs="Tahoma"/>
          <w:sz w:val="22"/>
          <w:szCs w:val="22"/>
        </w:rPr>
        <w:t xml:space="preserve">říloze č. </w:t>
      </w:r>
      <w:smartTag w:uri="urn:schemas-microsoft-com:office:smarttags" w:element="metricconverter">
        <w:smartTagPr>
          <w:attr w:name="ProductID" w:val="2 a"/>
        </w:smartTagPr>
        <w:r w:rsidR="004964E5" w:rsidRPr="00E05854">
          <w:rPr>
            <w:rFonts w:ascii="Tahoma" w:hAnsi="Tahoma" w:cs="Tahoma"/>
            <w:sz w:val="22"/>
            <w:szCs w:val="22"/>
          </w:rPr>
          <w:t>2 a</w:t>
        </w:r>
      </w:smartTag>
      <w:r w:rsidR="004964E5" w:rsidRPr="00E05854">
        <w:rPr>
          <w:rFonts w:ascii="Tahoma" w:hAnsi="Tahoma" w:cs="Tahoma"/>
          <w:sz w:val="22"/>
          <w:szCs w:val="22"/>
        </w:rPr>
        <w:t xml:space="preserve"> to vždy dle stavu k 10. dni kalendářního měsíce.</w:t>
      </w:r>
    </w:p>
    <w:p w:rsidR="00700124" w:rsidRDefault="00700124" w:rsidP="004964E5">
      <w:pPr>
        <w:pStyle w:val="Seznam2"/>
        <w:tabs>
          <w:tab w:val="left" w:pos="720"/>
        </w:tabs>
        <w:ind w:left="360" w:right="362" w:firstLine="0"/>
        <w:jc w:val="both"/>
        <w:rPr>
          <w:rFonts w:ascii="Tahoma" w:hAnsi="Tahoma" w:cs="Tahoma"/>
          <w:sz w:val="22"/>
          <w:szCs w:val="22"/>
        </w:rPr>
      </w:pPr>
    </w:p>
    <w:p w:rsidR="003D2112" w:rsidRPr="00E05854" w:rsidRDefault="003D2112" w:rsidP="004964E5">
      <w:pPr>
        <w:pStyle w:val="Seznam2"/>
        <w:numPr>
          <w:ilvl w:val="0"/>
          <w:numId w:val="8"/>
        </w:numPr>
        <w:tabs>
          <w:tab w:val="left" w:pos="709"/>
        </w:tabs>
        <w:ind w:right="362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V případě opakovaného prodlení s úhradou předchozích plateb servisních prací není zhotovitel povinen provádět další sjednané úkony dle této smlouvy, a to až do doby úplné úhrady dlužných plateb. Písemné upozornění zhotovitele obdrží objednatel nejpozději do</w:t>
      </w:r>
      <w:r w:rsidR="004964E5">
        <w:rPr>
          <w:rFonts w:ascii="Tahoma" w:hAnsi="Tahoma" w:cs="Tahoma"/>
          <w:sz w:val="22"/>
          <w:szCs w:val="22"/>
        </w:rPr>
        <w:t xml:space="preserve"> </w:t>
      </w:r>
      <w:r w:rsidRPr="00E05854">
        <w:rPr>
          <w:rFonts w:ascii="Tahoma" w:hAnsi="Tahoma" w:cs="Tahoma"/>
          <w:sz w:val="22"/>
          <w:szCs w:val="22"/>
        </w:rPr>
        <w:t>10 dnů přede dnem zastavení servisních prací. Zhotovitel nepřejímá žádnou odpovědnost za škody, které vzniknou objednateli nebo třetí osobě v důsledku zastavení servisních prací zhotovitele dle této smlouvy.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rPr>
          <w:rFonts w:ascii="Tahoma" w:hAnsi="Tahoma" w:cs="Tahoma"/>
          <w:sz w:val="22"/>
          <w:szCs w:val="22"/>
        </w:rPr>
      </w:pPr>
    </w:p>
    <w:p w:rsidR="003D2112" w:rsidRPr="004964E5" w:rsidRDefault="004964E5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Článek </w:t>
      </w:r>
      <w:r w:rsidR="003D2112" w:rsidRPr="004964E5">
        <w:rPr>
          <w:rFonts w:ascii="Tahoma" w:hAnsi="Tahoma" w:cs="Tahoma"/>
          <w:b/>
          <w:sz w:val="28"/>
          <w:szCs w:val="28"/>
        </w:rPr>
        <w:t>I</w:t>
      </w:r>
      <w:r>
        <w:rPr>
          <w:rFonts w:ascii="Tahoma" w:hAnsi="Tahoma" w:cs="Tahoma"/>
          <w:b/>
          <w:sz w:val="28"/>
          <w:szCs w:val="28"/>
        </w:rPr>
        <w:t>V</w:t>
      </w:r>
      <w:r w:rsidR="003D2112" w:rsidRPr="004964E5">
        <w:rPr>
          <w:rFonts w:ascii="Tahoma" w:hAnsi="Tahoma" w:cs="Tahoma"/>
          <w:b/>
          <w:sz w:val="28"/>
          <w:szCs w:val="28"/>
        </w:rPr>
        <w:t>.</w:t>
      </w:r>
    </w:p>
    <w:p w:rsidR="003D2112" w:rsidRPr="004964E5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4964E5">
        <w:rPr>
          <w:rFonts w:ascii="Tahoma" w:hAnsi="Tahoma" w:cs="Tahoma"/>
          <w:b/>
          <w:sz w:val="28"/>
          <w:szCs w:val="28"/>
          <w:u w:val="single"/>
        </w:rPr>
        <w:t>Doba plnění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3D2112" w:rsidRPr="00E05854" w:rsidRDefault="009C4B1F" w:rsidP="004964E5">
      <w:pPr>
        <w:pStyle w:val="Zkladntextodsazen"/>
        <w:tabs>
          <w:tab w:val="left" w:pos="720"/>
        </w:tabs>
        <w:spacing w:after="0"/>
        <w:ind w:left="357" w:right="36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</w:t>
      </w:r>
      <w:r w:rsidR="003D2112" w:rsidRPr="00E05854">
        <w:rPr>
          <w:rFonts w:ascii="Tahoma" w:hAnsi="Tahoma" w:cs="Tahoma"/>
          <w:sz w:val="22"/>
          <w:szCs w:val="22"/>
        </w:rPr>
        <w:t xml:space="preserve"> se uzavírá na </w:t>
      </w:r>
      <w:r w:rsidR="0044688E">
        <w:rPr>
          <w:rFonts w:ascii="Tahoma" w:hAnsi="Tahoma" w:cs="Tahoma"/>
          <w:sz w:val="22"/>
          <w:szCs w:val="22"/>
        </w:rPr>
        <w:t xml:space="preserve"> </w:t>
      </w:r>
      <w:r w:rsidR="0044688E" w:rsidRPr="0044688E">
        <w:rPr>
          <w:rFonts w:ascii="Tahoma" w:hAnsi="Tahoma" w:cs="Tahoma"/>
          <w:b/>
          <w:sz w:val="22"/>
          <w:szCs w:val="22"/>
        </w:rPr>
        <w:t>dobu určitou</w:t>
      </w:r>
      <w:r w:rsidR="003D2112" w:rsidRPr="0044688E">
        <w:rPr>
          <w:rFonts w:ascii="Tahoma" w:hAnsi="Tahoma" w:cs="Tahoma"/>
          <w:b/>
          <w:sz w:val="22"/>
          <w:szCs w:val="22"/>
        </w:rPr>
        <w:t xml:space="preserve"> s účinností od 2. 1. 20</w:t>
      </w:r>
      <w:r w:rsidR="004964E5" w:rsidRPr="0044688E">
        <w:rPr>
          <w:rFonts w:ascii="Tahoma" w:hAnsi="Tahoma" w:cs="Tahoma"/>
          <w:b/>
          <w:sz w:val="22"/>
          <w:szCs w:val="22"/>
        </w:rPr>
        <w:t>20</w:t>
      </w:r>
      <w:r w:rsidR="003D2112" w:rsidRPr="00E05854">
        <w:rPr>
          <w:rFonts w:ascii="Tahoma" w:hAnsi="Tahoma" w:cs="Tahoma"/>
          <w:sz w:val="22"/>
          <w:szCs w:val="22"/>
        </w:rPr>
        <w:t>, nebo počínaje dnem jejího podpisu oběma účastníky</w:t>
      </w:r>
      <w:r w:rsidR="0044688E">
        <w:rPr>
          <w:rFonts w:ascii="Tahoma" w:hAnsi="Tahoma" w:cs="Tahoma"/>
          <w:sz w:val="22"/>
          <w:szCs w:val="22"/>
        </w:rPr>
        <w:t xml:space="preserve"> </w:t>
      </w:r>
      <w:r w:rsidR="0044688E" w:rsidRPr="0044688E">
        <w:rPr>
          <w:rFonts w:ascii="Tahoma" w:hAnsi="Tahoma" w:cs="Tahoma"/>
          <w:b/>
          <w:sz w:val="22"/>
          <w:szCs w:val="22"/>
        </w:rPr>
        <w:t>po dobu maximálně 24 měsíců</w:t>
      </w:r>
      <w:r w:rsidR="0044688E">
        <w:rPr>
          <w:rFonts w:ascii="Tahoma" w:hAnsi="Tahoma" w:cs="Tahoma"/>
          <w:b/>
          <w:sz w:val="22"/>
          <w:szCs w:val="22"/>
        </w:rPr>
        <w:t>, tj. do 1. 1. 2022</w:t>
      </w:r>
      <w:r w:rsidR="0044688E">
        <w:rPr>
          <w:rFonts w:ascii="Tahoma" w:hAnsi="Tahoma" w:cs="Tahoma"/>
          <w:sz w:val="22"/>
          <w:szCs w:val="22"/>
        </w:rPr>
        <w:t xml:space="preserve"> (s ohledem na součet fakturovaných prací do výše maximálně Kč 2.000</w:t>
      </w:r>
      <w:r w:rsidR="00F51EC1">
        <w:rPr>
          <w:rFonts w:ascii="Tahoma" w:hAnsi="Tahoma" w:cs="Tahoma"/>
          <w:sz w:val="22"/>
          <w:szCs w:val="22"/>
        </w:rPr>
        <w:t xml:space="preserve">.000,00 bez DPH.) </w:t>
      </w:r>
      <w:r w:rsidR="003D2112" w:rsidRPr="00E05854">
        <w:rPr>
          <w:rFonts w:ascii="Tahoma" w:hAnsi="Tahoma" w:cs="Tahoma"/>
          <w:sz w:val="22"/>
          <w:szCs w:val="22"/>
        </w:rPr>
        <w:t>Smlouvu  lze ukončit buď dohodou smluvních stran popřípadě výpovědí jedné smluvní strany, která musí být doručena druhému účastníkovi smlouvy nejpozd</w:t>
      </w:r>
      <w:r w:rsidR="0044688E">
        <w:rPr>
          <w:rFonts w:ascii="Tahoma" w:hAnsi="Tahoma" w:cs="Tahoma"/>
          <w:sz w:val="22"/>
          <w:szCs w:val="22"/>
        </w:rPr>
        <w:t xml:space="preserve">ěji 3 měsíce předem dle článku </w:t>
      </w:r>
      <w:r w:rsidR="003D2112" w:rsidRPr="00E05854">
        <w:rPr>
          <w:rFonts w:ascii="Tahoma" w:hAnsi="Tahoma" w:cs="Tahoma"/>
          <w:sz w:val="22"/>
          <w:szCs w:val="22"/>
        </w:rPr>
        <w:t>X, 2. b). Smlouvu lze</w:t>
      </w:r>
      <w:r w:rsidR="0044688E">
        <w:rPr>
          <w:rFonts w:ascii="Tahoma" w:hAnsi="Tahoma" w:cs="Tahoma"/>
          <w:sz w:val="22"/>
          <w:szCs w:val="22"/>
        </w:rPr>
        <w:t xml:space="preserve"> vypovědět okamžitě dle článku </w:t>
      </w:r>
      <w:r w:rsidR="003D2112" w:rsidRPr="00E05854">
        <w:rPr>
          <w:rFonts w:ascii="Tahoma" w:hAnsi="Tahoma" w:cs="Tahoma"/>
          <w:sz w:val="22"/>
          <w:szCs w:val="22"/>
        </w:rPr>
        <w:t xml:space="preserve">X, </w:t>
      </w:r>
      <w:smartTag w:uri="urn:schemas-microsoft-com:office:smarttags" w:element="metricconverter">
        <w:smartTagPr>
          <w:attr w:name="ProductID" w:val="1. a"/>
        </w:smartTagPr>
        <w:r w:rsidR="003D2112" w:rsidRPr="00E05854">
          <w:rPr>
            <w:rFonts w:ascii="Tahoma" w:hAnsi="Tahoma" w:cs="Tahoma"/>
            <w:sz w:val="22"/>
            <w:szCs w:val="22"/>
          </w:rPr>
          <w:t>1. a</w:t>
        </w:r>
      </w:smartTag>
      <w:r w:rsidR="003D2112" w:rsidRPr="00E05854">
        <w:rPr>
          <w:rFonts w:ascii="Tahoma" w:hAnsi="Tahoma" w:cs="Tahoma"/>
          <w:sz w:val="22"/>
          <w:szCs w:val="22"/>
        </w:rPr>
        <w:t xml:space="preserve">), b), c), </w:t>
      </w:r>
      <w:smartTag w:uri="urn:schemas-microsoft-com:office:smarttags" w:element="metricconverter">
        <w:smartTagPr>
          <w:attr w:name="ProductID" w:val="2. a"/>
        </w:smartTagPr>
        <w:r w:rsidR="003D2112" w:rsidRPr="00E05854">
          <w:rPr>
            <w:rFonts w:ascii="Tahoma" w:hAnsi="Tahoma" w:cs="Tahoma"/>
            <w:sz w:val="22"/>
            <w:szCs w:val="22"/>
          </w:rPr>
          <w:t>2. a</w:t>
        </w:r>
      </w:smartTag>
      <w:r w:rsidR="003D2112" w:rsidRPr="00E05854">
        <w:rPr>
          <w:rFonts w:ascii="Tahoma" w:hAnsi="Tahoma" w:cs="Tahoma"/>
          <w:sz w:val="22"/>
          <w:szCs w:val="22"/>
        </w:rPr>
        <w:t>). Výpovědní lhůta začíná běžet  prvního dne následujícího měsíce po měsíci, v němž byla doručena. Výpovědní důvody jso</w:t>
      </w:r>
      <w:r w:rsidR="0044688E">
        <w:rPr>
          <w:rFonts w:ascii="Tahoma" w:hAnsi="Tahoma" w:cs="Tahoma"/>
          <w:sz w:val="22"/>
          <w:szCs w:val="22"/>
        </w:rPr>
        <w:t xml:space="preserve">u blíže specifikovány ve článku </w:t>
      </w:r>
      <w:r w:rsidR="003D2112" w:rsidRPr="00E05854">
        <w:rPr>
          <w:rFonts w:ascii="Tahoma" w:hAnsi="Tahoma" w:cs="Tahoma"/>
          <w:sz w:val="22"/>
          <w:szCs w:val="22"/>
        </w:rPr>
        <w:t>X.</w:t>
      </w:r>
    </w:p>
    <w:p w:rsidR="003D2112" w:rsidRPr="00E05854" w:rsidRDefault="003D2112" w:rsidP="003D2112">
      <w:pPr>
        <w:pStyle w:val="Zkladntextodsazen"/>
        <w:tabs>
          <w:tab w:val="left" w:pos="720"/>
        </w:tabs>
        <w:spacing w:after="0"/>
        <w:ind w:left="357" w:right="362"/>
        <w:rPr>
          <w:rFonts w:ascii="Tahoma" w:hAnsi="Tahoma" w:cs="Tahoma"/>
          <w:sz w:val="22"/>
          <w:szCs w:val="22"/>
        </w:rPr>
      </w:pPr>
    </w:p>
    <w:p w:rsidR="003D2112" w:rsidRPr="00E05854" w:rsidRDefault="003D2112" w:rsidP="003D2112">
      <w:pPr>
        <w:pStyle w:val="Zkladntextodsazen"/>
        <w:tabs>
          <w:tab w:val="left" w:pos="720"/>
        </w:tabs>
        <w:spacing w:after="0"/>
        <w:ind w:left="357" w:right="362"/>
        <w:rPr>
          <w:rFonts w:ascii="Tahoma" w:hAnsi="Tahoma" w:cs="Tahoma"/>
          <w:sz w:val="22"/>
          <w:szCs w:val="22"/>
        </w:rPr>
      </w:pPr>
    </w:p>
    <w:p w:rsidR="003D2112" w:rsidRPr="005303C8" w:rsidRDefault="005303C8" w:rsidP="003D2112">
      <w:pPr>
        <w:tabs>
          <w:tab w:val="left" w:pos="720"/>
          <w:tab w:val="left" w:pos="4320"/>
          <w:tab w:val="left" w:pos="4500"/>
        </w:tabs>
        <w:ind w:left="357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Článek </w:t>
      </w:r>
      <w:r w:rsidR="003D2112" w:rsidRPr="005303C8">
        <w:rPr>
          <w:rFonts w:ascii="Tahoma" w:hAnsi="Tahoma" w:cs="Tahoma"/>
          <w:b/>
          <w:sz w:val="28"/>
          <w:szCs w:val="28"/>
        </w:rPr>
        <w:t>V.</w:t>
      </w:r>
    </w:p>
    <w:p w:rsidR="003D2112" w:rsidRPr="005303C8" w:rsidRDefault="003D2112" w:rsidP="003D2112">
      <w:pPr>
        <w:pStyle w:val="Seznam2"/>
        <w:tabs>
          <w:tab w:val="left" w:pos="720"/>
        </w:tabs>
        <w:ind w:left="357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5303C8">
        <w:rPr>
          <w:rFonts w:ascii="Tahoma" w:hAnsi="Tahoma" w:cs="Tahoma"/>
          <w:b/>
          <w:sz w:val="28"/>
          <w:szCs w:val="28"/>
          <w:u w:val="single"/>
        </w:rPr>
        <w:t>Místo plnění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5303C8" w:rsidRPr="005303C8" w:rsidRDefault="003D2112" w:rsidP="005303C8">
      <w:pPr>
        <w:ind w:left="357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Místem plnění jsou výtahy</w:t>
      </w:r>
      <w:r w:rsidR="005303C8">
        <w:rPr>
          <w:rFonts w:ascii="Tahoma" w:hAnsi="Tahoma" w:cs="Tahoma"/>
          <w:sz w:val="22"/>
          <w:szCs w:val="22"/>
        </w:rPr>
        <w:t xml:space="preserve"> a plošiny uvedené v Příloze č. 1 - </w:t>
      </w:r>
      <w:r w:rsidR="005303C8" w:rsidRPr="005303C8">
        <w:rPr>
          <w:rFonts w:ascii="Tahoma" w:hAnsi="Tahoma" w:cs="Tahoma"/>
          <w:sz w:val="22"/>
          <w:szCs w:val="22"/>
        </w:rPr>
        <w:t>Specifikace servisu, prohlídek, zkoušek a poruch zařízení</w:t>
      </w:r>
      <w:r w:rsidR="005303C8">
        <w:rPr>
          <w:rFonts w:ascii="Tahoma" w:hAnsi="Tahoma" w:cs="Tahoma"/>
          <w:sz w:val="22"/>
          <w:szCs w:val="22"/>
        </w:rPr>
        <w:t>.</w:t>
      </w:r>
    </w:p>
    <w:p w:rsidR="003D2112" w:rsidRPr="00E05854" w:rsidRDefault="003D2112" w:rsidP="003D2112">
      <w:pPr>
        <w:tabs>
          <w:tab w:val="left" w:pos="720"/>
        </w:tabs>
        <w:ind w:left="360" w:right="362"/>
        <w:rPr>
          <w:rFonts w:ascii="Tahoma" w:hAnsi="Tahoma" w:cs="Tahoma"/>
          <w:b/>
          <w:sz w:val="22"/>
          <w:szCs w:val="22"/>
        </w:rPr>
      </w:pPr>
    </w:p>
    <w:p w:rsidR="003D2112" w:rsidRPr="00E05854" w:rsidRDefault="003D2112" w:rsidP="003D2112">
      <w:pPr>
        <w:tabs>
          <w:tab w:val="left" w:pos="720"/>
        </w:tabs>
        <w:ind w:left="360" w:right="362"/>
        <w:rPr>
          <w:rFonts w:ascii="Tahoma" w:hAnsi="Tahoma" w:cs="Tahoma"/>
          <w:b/>
          <w:sz w:val="22"/>
          <w:szCs w:val="22"/>
        </w:rPr>
      </w:pPr>
    </w:p>
    <w:p w:rsidR="003D2112" w:rsidRPr="005303C8" w:rsidRDefault="003D2112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5303C8">
        <w:rPr>
          <w:rFonts w:ascii="Tahoma" w:hAnsi="Tahoma" w:cs="Tahoma"/>
          <w:b/>
          <w:sz w:val="28"/>
          <w:szCs w:val="28"/>
        </w:rPr>
        <w:t>Článek V</w:t>
      </w:r>
      <w:r w:rsidR="005303C8" w:rsidRPr="005303C8">
        <w:rPr>
          <w:rFonts w:ascii="Tahoma" w:hAnsi="Tahoma" w:cs="Tahoma"/>
          <w:b/>
          <w:sz w:val="28"/>
          <w:szCs w:val="28"/>
        </w:rPr>
        <w:t>I</w:t>
      </w:r>
      <w:r w:rsidRPr="005303C8">
        <w:rPr>
          <w:rFonts w:ascii="Tahoma" w:hAnsi="Tahoma" w:cs="Tahoma"/>
          <w:b/>
          <w:sz w:val="28"/>
          <w:szCs w:val="28"/>
        </w:rPr>
        <w:t>.</w:t>
      </w:r>
    </w:p>
    <w:p w:rsidR="003D2112" w:rsidRPr="005303C8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5303C8">
        <w:rPr>
          <w:rFonts w:ascii="Tahoma" w:hAnsi="Tahoma" w:cs="Tahoma"/>
          <w:b/>
          <w:sz w:val="28"/>
          <w:szCs w:val="28"/>
          <w:u w:val="single"/>
        </w:rPr>
        <w:t>Odpovědnost za vady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3D2112" w:rsidRPr="00E05854" w:rsidRDefault="003D2112" w:rsidP="00165064">
      <w:pPr>
        <w:pStyle w:val="Seznam2"/>
        <w:numPr>
          <w:ilvl w:val="0"/>
          <w:numId w:val="9"/>
        </w:numPr>
        <w:ind w:right="362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Zhotovitel poskytuje  záruku za jakost díla podle ust.</w:t>
      </w:r>
      <w:r w:rsidR="004964E5">
        <w:rPr>
          <w:rFonts w:ascii="Tahoma" w:hAnsi="Tahoma" w:cs="Tahoma"/>
          <w:sz w:val="22"/>
          <w:szCs w:val="22"/>
        </w:rPr>
        <w:t xml:space="preserve"> </w:t>
      </w:r>
      <w:r w:rsidRPr="00E05854">
        <w:rPr>
          <w:rFonts w:ascii="Tahoma" w:hAnsi="Tahoma" w:cs="Tahoma"/>
          <w:sz w:val="22"/>
          <w:szCs w:val="22"/>
        </w:rPr>
        <w:t xml:space="preserve">§2619 zákona č.89/2012Sb. po </w:t>
      </w:r>
      <w:r w:rsidRPr="00165064">
        <w:rPr>
          <w:rFonts w:ascii="Tahoma" w:hAnsi="Tahoma" w:cs="Tahoma"/>
          <w:b/>
          <w:sz w:val="22"/>
          <w:szCs w:val="22"/>
        </w:rPr>
        <w:t>dob</w:t>
      </w:r>
      <w:r w:rsidR="00165064" w:rsidRPr="00165064">
        <w:rPr>
          <w:rFonts w:ascii="Tahoma" w:hAnsi="Tahoma" w:cs="Tahoma"/>
          <w:b/>
          <w:sz w:val="22"/>
          <w:szCs w:val="22"/>
        </w:rPr>
        <w:t>u 6 měsíců</w:t>
      </w:r>
      <w:r w:rsidR="00165064">
        <w:rPr>
          <w:rFonts w:ascii="Tahoma" w:hAnsi="Tahoma" w:cs="Tahoma"/>
          <w:b/>
          <w:sz w:val="22"/>
          <w:szCs w:val="22"/>
        </w:rPr>
        <w:t xml:space="preserve"> na práce</w:t>
      </w:r>
      <w:r w:rsidR="00165064">
        <w:rPr>
          <w:rFonts w:ascii="Tahoma" w:hAnsi="Tahoma" w:cs="Tahoma"/>
          <w:sz w:val="22"/>
          <w:szCs w:val="22"/>
        </w:rPr>
        <w:t xml:space="preserve"> od  jeho provedení, </w:t>
      </w:r>
      <w:r w:rsidR="00165064" w:rsidRPr="00165064">
        <w:rPr>
          <w:rFonts w:ascii="Tahoma" w:hAnsi="Tahoma" w:cs="Tahoma"/>
          <w:b/>
          <w:sz w:val="22"/>
          <w:szCs w:val="22"/>
        </w:rPr>
        <w:t>na náhradní díly 24 měsíců</w:t>
      </w:r>
      <w:r w:rsidR="00165064">
        <w:rPr>
          <w:rFonts w:ascii="Tahoma" w:hAnsi="Tahoma" w:cs="Tahoma"/>
          <w:sz w:val="22"/>
          <w:szCs w:val="22"/>
        </w:rPr>
        <w:t>.</w:t>
      </w:r>
    </w:p>
    <w:p w:rsidR="003D2112" w:rsidRPr="00E05854" w:rsidRDefault="003D2112" w:rsidP="00165064">
      <w:pPr>
        <w:pStyle w:val="Seznam2"/>
        <w:numPr>
          <w:ilvl w:val="0"/>
          <w:numId w:val="9"/>
        </w:numPr>
        <w:tabs>
          <w:tab w:val="left" w:pos="720"/>
        </w:tabs>
        <w:ind w:right="362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Zhotovitel se zavazuje, že dílo bude nejméně po dobu šesti měsíců způsobilé pro použití ke sjednanému účelu a zachová si po tuto dobu smluvené vlastnosti, tj. plnou funkčnost opravovaných a vyměňovaných částí.</w:t>
      </w:r>
    </w:p>
    <w:p w:rsidR="003D2112" w:rsidRPr="00E05854" w:rsidRDefault="003D2112" w:rsidP="00165064">
      <w:pPr>
        <w:pStyle w:val="Seznam2"/>
        <w:numPr>
          <w:ilvl w:val="0"/>
          <w:numId w:val="9"/>
        </w:numPr>
        <w:tabs>
          <w:tab w:val="left" w:pos="720"/>
        </w:tabs>
        <w:ind w:right="362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 xml:space="preserve">Objednatel má právo na bezplatné odstranění vad, které písemně vytkl zhotoviteli v průběhu záruční doby, tj. do šesti měsíců od převzetí díla. Dále má objednatel právo na úhradu prokazatelně uhrazených sankcí udělených objednateli ze Strany státního odborného dozoru vzniklých mu v důsledku porušení smluvních, nebo zákonných povinností zhotovitelem. </w:t>
      </w:r>
    </w:p>
    <w:p w:rsidR="003D2112" w:rsidRPr="00E05854" w:rsidRDefault="003D2112" w:rsidP="003D2112">
      <w:pPr>
        <w:pStyle w:val="Seznam2"/>
        <w:tabs>
          <w:tab w:val="left" w:pos="720"/>
        </w:tabs>
        <w:ind w:left="720" w:right="362" w:firstLine="0"/>
        <w:rPr>
          <w:rFonts w:ascii="Tahoma" w:hAnsi="Tahoma" w:cs="Tahoma"/>
          <w:sz w:val="22"/>
          <w:szCs w:val="22"/>
        </w:rPr>
      </w:pPr>
    </w:p>
    <w:p w:rsidR="003D2112" w:rsidRPr="00E05854" w:rsidRDefault="003D2112" w:rsidP="003D2112">
      <w:pPr>
        <w:pStyle w:val="Seznam2"/>
        <w:tabs>
          <w:tab w:val="left" w:pos="720"/>
        </w:tabs>
        <w:ind w:left="0" w:right="362" w:firstLine="0"/>
        <w:rPr>
          <w:rFonts w:ascii="Tahoma" w:hAnsi="Tahoma" w:cs="Tahoma"/>
          <w:sz w:val="22"/>
          <w:szCs w:val="22"/>
        </w:rPr>
      </w:pPr>
    </w:p>
    <w:p w:rsidR="003D2112" w:rsidRPr="00165064" w:rsidRDefault="003D2112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165064">
        <w:rPr>
          <w:rFonts w:ascii="Tahoma" w:hAnsi="Tahoma" w:cs="Tahoma"/>
          <w:b/>
          <w:sz w:val="28"/>
          <w:szCs w:val="28"/>
        </w:rPr>
        <w:t>Článek VI</w:t>
      </w:r>
      <w:r w:rsidR="00165064" w:rsidRPr="00165064">
        <w:rPr>
          <w:rFonts w:ascii="Tahoma" w:hAnsi="Tahoma" w:cs="Tahoma"/>
          <w:b/>
          <w:sz w:val="28"/>
          <w:szCs w:val="28"/>
        </w:rPr>
        <w:t>I</w:t>
      </w:r>
      <w:r w:rsidRPr="00165064">
        <w:rPr>
          <w:rFonts w:ascii="Tahoma" w:hAnsi="Tahoma" w:cs="Tahoma"/>
          <w:b/>
          <w:sz w:val="28"/>
          <w:szCs w:val="28"/>
        </w:rPr>
        <w:t>.</w:t>
      </w:r>
    </w:p>
    <w:p w:rsidR="003D2112" w:rsidRPr="0016506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65064">
        <w:rPr>
          <w:rFonts w:ascii="Tahoma" w:hAnsi="Tahoma" w:cs="Tahoma"/>
          <w:b/>
          <w:sz w:val="28"/>
          <w:szCs w:val="28"/>
          <w:u w:val="single"/>
        </w:rPr>
        <w:t>Platební podmínky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3D2112" w:rsidRPr="00E05854" w:rsidRDefault="003D2112" w:rsidP="003D2112">
      <w:pPr>
        <w:pStyle w:val="Zkladntextodsazen"/>
        <w:tabs>
          <w:tab w:val="left" w:pos="720"/>
        </w:tabs>
        <w:ind w:left="360" w:right="362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Objednatel se zavazuje:</w:t>
      </w:r>
    </w:p>
    <w:p w:rsidR="00165064" w:rsidRPr="00E05854" w:rsidRDefault="003D2112" w:rsidP="00165064">
      <w:pPr>
        <w:pStyle w:val="Seznam2"/>
        <w:numPr>
          <w:ilvl w:val="0"/>
          <w:numId w:val="16"/>
        </w:numPr>
        <w:ind w:right="362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Převzít a zaplatit zhotoviteli cenu díla (</w:t>
      </w:r>
      <w:r w:rsidRPr="00165064">
        <w:rPr>
          <w:rFonts w:ascii="Tahoma" w:hAnsi="Tahoma" w:cs="Tahoma"/>
          <w:b/>
          <w:sz w:val="22"/>
          <w:szCs w:val="22"/>
        </w:rPr>
        <w:t>paušální částku</w:t>
      </w:r>
      <w:r w:rsidRPr="00E05854">
        <w:rPr>
          <w:rFonts w:ascii="Tahoma" w:hAnsi="Tahoma" w:cs="Tahoma"/>
          <w:sz w:val="22"/>
          <w:szCs w:val="22"/>
        </w:rPr>
        <w:t xml:space="preserve">) </w:t>
      </w:r>
      <w:r w:rsidR="00165064">
        <w:rPr>
          <w:rFonts w:ascii="Tahoma" w:hAnsi="Tahoma" w:cs="Tahoma"/>
          <w:sz w:val="22"/>
          <w:szCs w:val="22"/>
        </w:rPr>
        <w:t>ve výši dle Přílohy č. 3 – Krycí list nabídky,</w:t>
      </w:r>
      <w:r w:rsidRPr="00E05854">
        <w:rPr>
          <w:rFonts w:ascii="Tahoma" w:hAnsi="Tahoma" w:cs="Tahoma"/>
          <w:sz w:val="22"/>
          <w:szCs w:val="22"/>
        </w:rPr>
        <w:t xml:space="preserve"> této smlouvy, která bude fakturována do 30. dne druhého měsíce čtvrtletí za dané čtvrtletí a to v dohodnuté lhůtě 14 dnů ode dne, kdy </w:t>
      </w:r>
      <w:r w:rsidR="00165064" w:rsidRPr="00E05854">
        <w:rPr>
          <w:rFonts w:ascii="Tahoma" w:hAnsi="Tahoma" w:cs="Tahoma"/>
          <w:sz w:val="22"/>
          <w:szCs w:val="22"/>
        </w:rPr>
        <w:t>obdržel vyúčtování zhotovitele označené jako faktura, které bude mít náležitosti daňového dokladu. Ve faktuře se uvádí počet výtahů</w:t>
      </w:r>
      <w:r w:rsidR="00165064">
        <w:rPr>
          <w:rFonts w:ascii="Tahoma" w:hAnsi="Tahoma" w:cs="Tahoma"/>
          <w:sz w:val="22"/>
          <w:szCs w:val="22"/>
        </w:rPr>
        <w:t xml:space="preserve"> a plošin</w:t>
      </w:r>
      <w:r w:rsidR="00165064" w:rsidRPr="00E05854">
        <w:rPr>
          <w:rFonts w:ascii="Tahoma" w:hAnsi="Tahoma" w:cs="Tahoma"/>
          <w:sz w:val="22"/>
          <w:szCs w:val="22"/>
        </w:rPr>
        <w:t xml:space="preserve"> ke dni fakturace a poskytnuté slevy z ceny. Dnem fakturace dochází ke zdanitelnému plnění. </w:t>
      </w:r>
    </w:p>
    <w:p w:rsidR="003D2112" w:rsidRPr="00E05854" w:rsidRDefault="003D2112" w:rsidP="00165064">
      <w:pPr>
        <w:pStyle w:val="Seznam2"/>
        <w:tabs>
          <w:tab w:val="left" w:pos="709"/>
        </w:tabs>
        <w:ind w:left="708" w:right="362" w:firstLine="0"/>
        <w:rPr>
          <w:rFonts w:ascii="Tahoma" w:hAnsi="Tahoma" w:cs="Tahoma"/>
          <w:sz w:val="22"/>
          <w:szCs w:val="22"/>
        </w:rPr>
      </w:pPr>
    </w:p>
    <w:p w:rsidR="003D2112" w:rsidRPr="00E05854" w:rsidRDefault="003D2112" w:rsidP="003D2112">
      <w:pPr>
        <w:pStyle w:val="Seznam2"/>
        <w:ind w:left="708" w:right="362" w:firstLine="0"/>
        <w:rPr>
          <w:rFonts w:ascii="Tahoma" w:hAnsi="Tahoma" w:cs="Tahoma"/>
          <w:sz w:val="22"/>
          <w:szCs w:val="22"/>
        </w:rPr>
      </w:pPr>
    </w:p>
    <w:p w:rsidR="003D2112" w:rsidRPr="00E05854" w:rsidRDefault="003D2112" w:rsidP="00165064">
      <w:pPr>
        <w:pStyle w:val="Seznam2"/>
        <w:numPr>
          <w:ilvl w:val="0"/>
          <w:numId w:val="16"/>
        </w:numPr>
        <w:tabs>
          <w:tab w:val="left" w:pos="720"/>
        </w:tabs>
        <w:ind w:right="362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lastRenderedPageBreak/>
        <w:t>Zaplatit zhotoviteli cenu díla (</w:t>
      </w:r>
      <w:r w:rsidRPr="00165064">
        <w:rPr>
          <w:rFonts w:ascii="Tahoma" w:hAnsi="Tahoma" w:cs="Tahoma"/>
          <w:b/>
          <w:sz w:val="22"/>
          <w:szCs w:val="22"/>
        </w:rPr>
        <w:t>mimopaušální částku</w:t>
      </w:r>
      <w:r w:rsidRPr="00E05854">
        <w:rPr>
          <w:rFonts w:ascii="Tahoma" w:hAnsi="Tahoma" w:cs="Tahoma"/>
          <w:sz w:val="22"/>
          <w:szCs w:val="22"/>
        </w:rPr>
        <w:t xml:space="preserve">)  po provedení díla </w:t>
      </w:r>
      <w:r w:rsidR="00165064">
        <w:rPr>
          <w:rFonts w:ascii="Tahoma" w:hAnsi="Tahoma" w:cs="Tahoma"/>
          <w:sz w:val="22"/>
          <w:szCs w:val="22"/>
        </w:rPr>
        <w:t xml:space="preserve">a řádném splnění smluvního </w:t>
      </w:r>
      <w:r w:rsidR="00165064" w:rsidRPr="00E05854">
        <w:rPr>
          <w:rFonts w:ascii="Tahoma" w:hAnsi="Tahoma" w:cs="Tahoma"/>
          <w:sz w:val="22"/>
          <w:szCs w:val="22"/>
        </w:rPr>
        <w:t xml:space="preserve">závazku a to v dohodnuté lhůtě 14 dnů po obdržení jednotlivých vyúčtování zhotovitele. Podkladem pro zaplacení ceny díla je vyúčtování označené jako </w:t>
      </w:r>
      <w:r w:rsidR="00165064" w:rsidRPr="00165064">
        <w:rPr>
          <w:rFonts w:ascii="Tahoma" w:hAnsi="Tahoma" w:cs="Tahoma"/>
          <w:b/>
          <w:sz w:val="22"/>
          <w:szCs w:val="22"/>
        </w:rPr>
        <w:t>faktura s přiloženou objednávkou objednatele</w:t>
      </w:r>
      <w:r w:rsidR="00165064" w:rsidRPr="00E05854">
        <w:rPr>
          <w:rFonts w:ascii="Tahoma" w:hAnsi="Tahoma" w:cs="Tahoma"/>
          <w:sz w:val="22"/>
          <w:szCs w:val="22"/>
        </w:rPr>
        <w:t>, které bude mít náležitosti daňového dokladu. Celková cena prováděných prací dle bodu b) podle této smlouvy bude fakturována po provedení prací na základě objednatelem potvrzeného pracovního příkazu, nebo montážního listu.</w:t>
      </w:r>
    </w:p>
    <w:p w:rsidR="003D2112" w:rsidRPr="00E05854" w:rsidRDefault="003D2112" w:rsidP="003D2112">
      <w:pPr>
        <w:pStyle w:val="Seznam2"/>
        <w:tabs>
          <w:tab w:val="left" w:pos="720"/>
        </w:tabs>
        <w:ind w:left="708" w:right="362" w:firstLine="0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ab/>
      </w:r>
    </w:p>
    <w:p w:rsidR="003D2112" w:rsidRPr="00165064" w:rsidRDefault="003D2112" w:rsidP="003D2112">
      <w:pPr>
        <w:pStyle w:val="Zkladntext"/>
        <w:ind w:right="362"/>
        <w:rPr>
          <w:rFonts w:ascii="Tahoma" w:hAnsi="Tahoma" w:cs="Tahoma"/>
          <w:b/>
          <w:sz w:val="28"/>
          <w:szCs w:val="28"/>
        </w:rPr>
      </w:pPr>
    </w:p>
    <w:p w:rsidR="003D2112" w:rsidRPr="00165064" w:rsidRDefault="003D2112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165064">
        <w:rPr>
          <w:rFonts w:ascii="Tahoma" w:hAnsi="Tahoma" w:cs="Tahoma"/>
          <w:b/>
          <w:sz w:val="28"/>
          <w:szCs w:val="28"/>
        </w:rPr>
        <w:t>Článek VI</w:t>
      </w:r>
      <w:r w:rsidR="00165064" w:rsidRPr="00165064">
        <w:rPr>
          <w:rFonts w:ascii="Tahoma" w:hAnsi="Tahoma" w:cs="Tahoma"/>
          <w:b/>
          <w:sz w:val="28"/>
          <w:szCs w:val="28"/>
        </w:rPr>
        <w:t>I</w:t>
      </w:r>
      <w:r w:rsidRPr="00165064">
        <w:rPr>
          <w:rFonts w:ascii="Tahoma" w:hAnsi="Tahoma" w:cs="Tahoma"/>
          <w:b/>
          <w:sz w:val="28"/>
          <w:szCs w:val="28"/>
        </w:rPr>
        <w:t>I.</w:t>
      </w:r>
    </w:p>
    <w:p w:rsidR="003D2112" w:rsidRPr="0016506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65064">
        <w:rPr>
          <w:rFonts w:ascii="Tahoma" w:hAnsi="Tahoma" w:cs="Tahoma"/>
          <w:b/>
          <w:sz w:val="28"/>
          <w:szCs w:val="28"/>
          <w:u w:val="single"/>
        </w:rPr>
        <w:t>Smluvní pokuty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165064" w:rsidRPr="00165064" w:rsidRDefault="003D2112" w:rsidP="00165064">
      <w:pPr>
        <w:numPr>
          <w:ilvl w:val="0"/>
          <w:numId w:val="11"/>
        </w:numPr>
        <w:tabs>
          <w:tab w:val="left" w:pos="720"/>
        </w:tabs>
        <w:overflowPunct/>
        <w:autoSpaceDE/>
        <w:autoSpaceDN/>
        <w:adjustRightInd/>
        <w:ind w:left="360" w:right="362" w:firstLine="0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 xml:space="preserve">Úrok z prodlení za neuhrazenou fakturu může činit 0,01% z dlužné částky za každý </w:t>
      </w:r>
      <w:r w:rsidR="00165064">
        <w:rPr>
          <w:rFonts w:ascii="Tahoma" w:hAnsi="Tahoma" w:cs="Tahoma"/>
          <w:sz w:val="22"/>
          <w:szCs w:val="22"/>
        </w:rPr>
        <w:t xml:space="preserve"> </w:t>
      </w:r>
    </w:p>
    <w:p w:rsidR="003D2112" w:rsidRPr="00E05854" w:rsidRDefault="00165064" w:rsidP="00165064">
      <w:pPr>
        <w:tabs>
          <w:tab w:val="left" w:pos="720"/>
        </w:tabs>
        <w:overflowPunct/>
        <w:autoSpaceDE/>
        <w:autoSpaceDN/>
        <w:adjustRightInd/>
        <w:ind w:left="360" w:right="362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3D2112" w:rsidRPr="00E05854">
        <w:rPr>
          <w:rFonts w:ascii="Tahoma" w:hAnsi="Tahoma" w:cs="Tahoma"/>
          <w:sz w:val="22"/>
          <w:szCs w:val="22"/>
        </w:rPr>
        <w:t xml:space="preserve">den prodlení. </w:t>
      </w:r>
    </w:p>
    <w:p w:rsidR="003D2112" w:rsidRPr="00E05854" w:rsidRDefault="003D2112" w:rsidP="00165064">
      <w:pPr>
        <w:pStyle w:val="Odstavecseseznamem"/>
        <w:numPr>
          <w:ilvl w:val="0"/>
          <w:numId w:val="11"/>
        </w:numPr>
        <w:tabs>
          <w:tab w:val="left" w:pos="709"/>
        </w:tabs>
        <w:ind w:left="708" w:right="362"/>
        <w:jc w:val="both"/>
        <w:rPr>
          <w:rFonts w:ascii="Tahoma" w:hAnsi="Tahoma" w:cs="Tahoma"/>
          <w:b w:val="0"/>
          <w:sz w:val="22"/>
          <w:szCs w:val="22"/>
        </w:rPr>
      </w:pPr>
      <w:r w:rsidRPr="00E05854">
        <w:rPr>
          <w:rFonts w:ascii="Tahoma" w:hAnsi="Tahoma" w:cs="Tahoma"/>
          <w:b w:val="0"/>
          <w:sz w:val="22"/>
          <w:szCs w:val="22"/>
        </w:rPr>
        <w:t>Pokud zhotovitel nesplní svůj závazek včas a řádně, tj. zejména ve lhůtě stanovené touto smlouvou, vzniká objednateli nárok na slevu z ceny ve výši 20% dohodnutého měsíčního paušálu, týkající se předmětného výtahu</w:t>
      </w:r>
      <w:r w:rsidR="00165064">
        <w:rPr>
          <w:rFonts w:ascii="Tahoma" w:hAnsi="Tahoma" w:cs="Tahoma"/>
          <w:b w:val="0"/>
          <w:sz w:val="22"/>
          <w:szCs w:val="22"/>
        </w:rPr>
        <w:t xml:space="preserve"> nebo plošiny</w:t>
      </w:r>
      <w:r w:rsidRPr="00E05854">
        <w:rPr>
          <w:rFonts w:ascii="Tahoma" w:hAnsi="Tahoma" w:cs="Tahoma"/>
          <w:b w:val="0"/>
          <w:sz w:val="22"/>
          <w:szCs w:val="22"/>
        </w:rPr>
        <w:t>. V tomto případě však podle ust. § 2050 zákona č.89/2012 Sb. Objednateli nevzniká nárok na náhradu škody vzniklé z porušení povinnosti, ke které se tato smluvní pokuta vztahuje.</w:t>
      </w:r>
    </w:p>
    <w:p w:rsidR="003D2112" w:rsidRPr="00E05854" w:rsidRDefault="003D2112" w:rsidP="003D2112">
      <w:pPr>
        <w:pStyle w:val="Odstavecseseznamem"/>
        <w:ind w:left="708" w:right="362"/>
        <w:rPr>
          <w:rFonts w:ascii="Tahoma" w:hAnsi="Tahoma" w:cs="Tahoma"/>
          <w:b w:val="0"/>
          <w:sz w:val="22"/>
          <w:szCs w:val="22"/>
        </w:rPr>
      </w:pPr>
    </w:p>
    <w:p w:rsidR="003D2112" w:rsidRPr="00165064" w:rsidRDefault="00165064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165064">
        <w:rPr>
          <w:rFonts w:ascii="Tahoma" w:hAnsi="Tahoma" w:cs="Tahoma"/>
          <w:b/>
          <w:sz w:val="28"/>
          <w:szCs w:val="28"/>
        </w:rPr>
        <w:t>Článek IX</w:t>
      </w:r>
      <w:r w:rsidR="003D2112" w:rsidRPr="00165064">
        <w:rPr>
          <w:rFonts w:ascii="Tahoma" w:hAnsi="Tahoma" w:cs="Tahoma"/>
          <w:b/>
          <w:sz w:val="28"/>
          <w:szCs w:val="28"/>
        </w:rPr>
        <w:t>.</w:t>
      </w:r>
    </w:p>
    <w:p w:rsidR="003D2112" w:rsidRPr="0016506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65064">
        <w:rPr>
          <w:rFonts w:ascii="Tahoma" w:hAnsi="Tahoma" w:cs="Tahoma"/>
          <w:b/>
          <w:sz w:val="28"/>
          <w:szCs w:val="28"/>
          <w:u w:val="single"/>
        </w:rPr>
        <w:t>Jiná ujednání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3D2112" w:rsidRPr="00E05854" w:rsidRDefault="003D2112" w:rsidP="00165064">
      <w:pPr>
        <w:pStyle w:val="Zkladntextodsazen"/>
        <w:tabs>
          <w:tab w:val="left" w:pos="720"/>
        </w:tabs>
        <w:ind w:left="360" w:right="362"/>
        <w:jc w:val="both"/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Objednatel se zavazuje:</w:t>
      </w:r>
    </w:p>
    <w:p w:rsidR="003D2112" w:rsidRPr="00E05854" w:rsidRDefault="003D2112" w:rsidP="00165064">
      <w:pPr>
        <w:tabs>
          <w:tab w:val="left" w:pos="720"/>
        </w:tabs>
        <w:ind w:left="360" w:right="362"/>
        <w:jc w:val="both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- zajistit přístup pracovníkům zhotovitele k zařízením souvisejícím s provozem výtahů</w:t>
      </w:r>
      <w:r w:rsidR="00165064">
        <w:rPr>
          <w:rFonts w:ascii="Tahoma" w:hAnsi="Tahoma" w:cs="Tahoma"/>
          <w:sz w:val="22"/>
          <w:szCs w:val="22"/>
        </w:rPr>
        <w:t xml:space="preserve"> a plošin</w:t>
      </w:r>
      <w:r w:rsidRPr="00E05854">
        <w:rPr>
          <w:rFonts w:ascii="Tahoma" w:hAnsi="Tahoma" w:cs="Tahoma"/>
          <w:sz w:val="22"/>
          <w:szCs w:val="22"/>
        </w:rPr>
        <w:t>. Není-li ze strany objednatele splněna tato povinnost, není zhotovitel povinen plnit své povinnosti vyplývající z této smlouvy.</w:t>
      </w:r>
    </w:p>
    <w:p w:rsidR="003D2112" w:rsidRPr="00E05854" w:rsidRDefault="003D2112" w:rsidP="003D2112">
      <w:pPr>
        <w:tabs>
          <w:tab w:val="left" w:pos="720"/>
        </w:tabs>
        <w:ind w:left="360" w:right="362"/>
        <w:rPr>
          <w:rFonts w:ascii="Tahoma" w:hAnsi="Tahoma" w:cs="Tahoma"/>
          <w:b/>
          <w:sz w:val="22"/>
          <w:szCs w:val="22"/>
        </w:rPr>
      </w:pPr>
    </w:p>
    <w:p w:rsidR="003D2112" w:rsidRPr="00165064" w:rsidRDefault="009C4B1F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Článek </w:t>
      </w:r>
      <w:r w:rsidR="003D2112" w:rsidRPr="00165064">
        <w:rPr>
          <w:rFonts w:ascii="Tahoma" w:hAnsi="Tahoma" w:cs="Tahoma"/>
          <w:b/>
          <w:sz w:val="28"/>
          <w:szCs w:val="28"/>
        </w:rPr>
        <w:t>X.</w:t>
      </w:r>
    </w:p>
    <w:p w:rsidR="003D2112" w:rsidRPr="0016506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65064">
        <w:rPr>
          <w:rFonts w:ascii="Tahoma" w:hAnsi="Tahoma" w:cs="Tahoma"/>
          <w:b/>
          <w:sz w:val="28"/>
          <w:szCs w:val="28"/>
          <w:u w:val="single"/>
        </w:rPr>
        <w:t>Výpovědní důvody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3D2112" w:rsidRPr="00E05854" w:rsidRDefault="003D2112" w:rsidP="003D2112">
      <w:pPr>
        <w:tabs>
          <w:tab w:val="left" w:pos="720"/>
        </w:tabs>
        <w:ind w:left="360" w:right="362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 xml:space="preserve">1. Ze strany zhotovitele: </w:t>
      </w:r>
    </w:p>
    <w:p w:rsidR="00277A3D" w:rsidRPr="00277A3D" w:rsidRDefault="003D2112" w:rsidP="00277A3D">
      <w:pPr>
        <w:numPr>
          <w:ilvl w:val="0"/>
          <w:numId w:val="12"/>
        </w:numPr>
        <w:tabs>
          <w:tab w:val="left" w:pos="720"/>
        </w:tabs>
        <w:overflowPunct/>
        <w:autoSpaceDE/>
        <w:autoSpaceDN/>
        <w:adjustRightInd/>
        <w:ind w:left="708" w:right="362" w:firstLine="0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V případě, že zjistí zásahy jiných osob na servisovaném</w:t>
      </w:r>
      <w:r w:rsidR="00277A3D">
        <w:rPr>
          <w:rFonts w:ascii="Tahoma" w:hAnsi="Tahoma" w:cs="Tahoma"/>
          <w:sz w:val="22"/>
          <w:szCs w:val="22"/>
        </w:rPr>
        <w:t xml:space="preserve"> výtahu nebo plošině  </w:t>
      </w:r>
    </w:p>
    <w:p w:rsidR="003D2112" w:rsidRPr="00E05854" w:rsidRDefault="00277A3D" w:rsidP="00277A3D">
      <w:pPr>
        <w:tabs>
          <w:tab w:val="left" w:pos="720"/>
        </w:tabs>
        <w:overflowPunct/>
        <w:autoSpaceDE/>
        <w:autoSpaceDN/>
        <w:adjustRightInd/>
        <w:ind w:left="708" w:right="362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(odborné cizí zásahy apod</w:t>
      </w:r>
      <w:r w:rsidR="003D2112" w:rsidRPr="00E05854">
        <w:rPr>
          <w:rFonts w:ascii="Tahoma" w:hAnsi="Tahoma" w:cs="Tahoma"/>
          <w:sz w:val="22"/>
          <w:szCs w:val="22"/>
        </w:rPr>
        <w:t xml:space="preserve">.). </w:t>
      </w:r>
    </w:p>
    <w:p w:rsidR="003D2112" w:rsidRPr="00E05854" w:rsidRDefault="003D2112" w:rsidP="00277A3D">
      <w:pPr>
        <w:numPr>
          <w:ilvl w:val="0"/>
          <w:numId w:val="12"/>
        </w:numPr>
        <w:tabs>
          <w:tab w:val="left" w:pos="720"/>
        </w:tabs>
        <w:overflowPunct/>
        <w:autoSpaceDE/>
        <w:autoSpaceDN/>
        <w:adjustRightInd/>
        <w:ind w:left="708" w:right="362" w:firstLine="0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Zjistí-li, že došlo ke změně účelu a způsobu používání výtahu</w:t>
      </w:r>
      <w:r w:rsidR="00277A3D">
        <w:rPr>
          <w:rFonts w:ascii="Tahoma" w:hAnsi="Tahoma" w:cs="Tahoma"/>
          <w:sz w:val="22"/>
          <w:szCs w:val="22"/>
        </w:rPr>
        <w:t xml:space="preserve"> nebo plošiny.</w:t>
      </w:r>
    </w:p>
    <w:p w:rsidR="00277A3D" w:rsidRPr="00277A3D" w:rsidRDefault="003D2112" w:rsidP="00277A3D">
      <w:pPr>
        <w:numPr>
          <w:ilvl w:val="0"/>
          <w:numId w:val="12"/>
        </w:numPr>
        <w:tabs>
          <w:tab w:val="left" w:pos="720"/>
        </w:tabs>
        <w:overflowPunct/>
        <w:autoSpaceDE/>
        <w:autoSpaceDN/>
        <w:adjustRightInd/>
        <w:ind w:left="708" w:right="362" w:firstLine="0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Zjistí-li při provádění servisu výtahu</w:t>
      </w:r>
      <w:r w:rsidR="00277A3D">
        <w:rPr>
          <w:rFonts w:ascii="Tahoma" w:hAnsi="Tahoma" w:cs="Tahoma"/>
          <w:sz w:val="22"/>
          <w:szCs w:val="22"/>
        </w:rPr>
        <w:t xml:space="preserve"> nebo plošiny</w:t>
      </w:r>
      <w:r w:rsidRPr="00E05854">
        <w:rPr>
          <w:rFonts w:ascii="Tahoma" w:hAnsi="Tahoma" w:cs="Tahoma"/>
          <w:sz w:val="22"/>
          <w:szCs w:val="22"/>
        </w:rPr>
        <w:t xml:space="preserve"> nutnost provedení prací </w:t>
      </w:r>
      <w:r w:rsidR="00277A3D">
        <w:rPr>
          <w:rFonts w:ascii="Tahoma" w:hAnsi="Tahoma" w:cs="Tahoma"/>
          <w:sz w:val="22"/>
          <w:szCs w:val="22"/>
        </w:rPr>
        <w:t xml:space="preserve"> </w:t>
      </w:r>
    </w:p>
    <w:p w:rsidR="003D2112" w:rsidRPr="00E05854" w:rsidRDefault="00277A3D" w:rsidP="00277A3D">
      <w:pPr>
        <w:tabs>
          <w:tab w:val="left" w:pos="720"/>
        </w:tabs>
        <w:overflowPunct/>
        <w:autoSpaceDE/>
        <w:autoSpaceDN/>
        <w:adjustRightInd/>
        <w:ind w:left="708" w:right="362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3D2112" w:rsidRPr="00E05854">
        <w:rPr>
          <w:rFonts w:ascii="Tahoma" w:hAnsi="Tahoma" w:cs="Tahoma"/>
          <w:sz w:val="22"/>
          <w:szCs w:val="22"/>
        </w:rPr>
        <w:t>bezpečnostního charakteru,</w:t>
      </w:r>
      <w:r w:rsidRPr="00277A3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jejichž</w:t>
      </w:r>
      <w:r w:rsidRPr="00E05854">
        <w:rPr>
          <w:rFonts w:ascii="Tahoma" w:hAnsi="Tahoma" w:cs="Tahoma"/>
          <w:sz w:val="22"/>
          <w:szCs w:val="22"/>
        </w:rPr>
        <w:t xml:space="preserve"> provedení objednatel odmítne.</w:t>
      </w:r>
    </w:p>
    <w:p w:rsidR="003D2112" w:rsidRPr="00E05854" w:rsidRDefault="003D2112" w:rsidP="00277A3D">
      <w:pPr>
        <w:tabs>
          <w:tab w:val="left" w:pos="720"/>
          <w:tab w:val="left" w:pos="1080"/>
        </w:tabs>
        <w:ind w:left="360" w:right="362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 xml:space="preserve">       </w:t>
      </w:r>
    </w:p>
    <w:p w:rsidR="003D2112" w:rsidRPr="00E05854" w:rsidRDefault="003D2112" w:rsidP="003D2112">
      <w:pPr>
        <w:tabs>
          <w:tab w:val="left" w:pos="720"/>
        </w:tabs>
        <w:ind w:left="360" w:right="362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 xml:space="preserve">2. Ze strany objednatele: </w:t>
      </w:r>
    </w:p>
    <w:p w:rsidR="003D2112" w:rsidRPr="00E05854" w:rsidRDefault="003D2112" w:rsidP="00277A3D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ind w:left="720" w:right="362" w:firstLine="0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V případě zjištění nedodržování podmínek této smlouvy, které by bránily bezpečnému provozu</w:t>
      </w:r>
      <w:r w:rsidR="00277A3D">
        <w:rPr>
          <w:rFonts w:ascii="Tahoma" w:hAnsi="Tahoma" w:cs="Tahoma"/>
          <w:sz w:val="22"/>
          <w:szCs w:val="22"/>
        </w:rPr>
        <w:t xml:space="preserve"> </w:t>
      </w:r>
      <w:r w:rsidR="00277A3D" w:rsidRPr="00E05854">
        <w:rPr>
          <w:rFonts w:ascii="Tahoma" w:hAnsi="Tahoma" w:cs="Tahoma"/>
          <w:sz w:val="22"/>
          <w:szCs w:val="22"/>
        </w:rPr>
        <w:t>výtahu</w:t>
      </w:r>
      <w:r w:rsidR="00277A3D">
        <w:rPr>
          <w:rFonts w:ascii="Tahoma" w:hAnsi="Tahoma" w:cs="Tahoma"/>
          <w:sz w:val="22"/>
          <w:szCs w:val="22"/>
        </w:rPr>
        <w:t xml:space="preserve"> nebo plošiny.</w:t>
      </w:r>
    </w:p>
    <w:p w:rsidR="003D2112" w:rsidRPr="00E05854" w:rsidRDefault="003D2112" w:rsidP="003D2112">
      <w:pPr>
        <w:tabs>
          <w:tab w:val="left" w:pos="720"/>
          <w:tab w:val="left" w:pos="1080"/>
        </w:tabs>
        <w:ind w:left="720" w:right="362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ab/>
      </w:r>
    </w:p>
    <w:p w:rsidR="003D2112" w:rsidRPr="00277A3D" w:rsidRDefault="003D2112" w:rsidP="003D2112">
      <w:pPr>
        <w:numPr>
          <w:ilvl w:val="0"/>
          <w:numId w:val="13"/>
        </w:numPr>
        <w:tabs>
          <w:tab w:val="num" w:pos="720"/>
          <w:tab w:val="left" w:pos="1080"/>
        </w:tabs>
        <w:overflowPunct/>
        <w:autoSpaceDE/>
        <w:autoSpaceDN/>
        <w:adjustRightInd/>
        <w:ind w:left="720" w:right="362" w:firstLine="0"/>
        <w:textAlignment w:val="auto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Bez udání důvodů.</w:t>
      </w:r>
    </w:p>
    <w:p w:rsidR="00277A3D" w:rsidRDefault="00277A3D" w:rsidP="00277A3D">
      <w:pPr>
        <w:pStyle w:val="Odstavecseseznamem"/>
        <w:rPr>
          <w:rFonts w:ascii="Tahoma" w:hAnsi="Tahoma" w:cs="Tahoma"/>
          <w:b w:val="0"/>
          <w:sz w:val="22"/>
          <w:szCs w:val="22"/>
        </w:rPr>
      </w:pPr>
    </w:p>
    <w:p w:rsidR="00277A3D" w:rsidRPr="00277A3D" w:rsidRDefault="00277A3D" w:rsidP="003D2112">
      <w:pPr>
        <w:numPr>
          <w:ilvl w:val="0"/>
          <w:numId w:val="13"/>
        </w:numPr>
        <w:tabs>
          <w:tab w:val="num" w:pos="720"/>
          <w:tab w:val="left" w:pos="1080"/>
        </w:tabs>
        <w:overflowPunct/>
        <w:autoSpaceDE/>
        <w:autoSpaceDN/>
        <w:adjustRightInd/>
        <w:ind w:left="720" w:right="362" w:firstLine="0"/>
        <w:textAlignment w:val="auto"/>
        <w:rPr>
          <w:rFonts w:ascii="Tahoma" w:hAnsi="Tahoma" w:cs="Tahoma"/>
          <w:sz w:val="22"/>
          <w:szCs w:val="22"/>
        </w:rPr>
      </w:pPr>
      <w:r w:rsidRPr="00277A3D">
        <w:rPr>
          <w:rFonts w:ascii="Tahoma" w:hAnsi="Tahoma" w:cs="Tahoma"/>
          <w:sz w:val="22"/>
          <w:szCs w:val="22"/>
        </w:rPr>
        <w:t>V případě, že se součet plnění z této smlouvy bude blížit finanční výši Kč 2.000.000,00 bez DPH.</w:t>
      </w:r>
    </w:p>
    <w:p w:rsidR="003D2112" w:rsidRPr="00E05854" w:rsidRDefault="003D2112" w:rsidP="003D2112">
      <w:pPr>
        <w:ind w:left="720" w:right="362"/>
        <w:rPr>
          <w:rFonts w:ascii="Tahoma" w:hAnsi="Tahoma" w:cs="Tahoma"/>
          <w:b/>
          <w:sz w:val="22"/>
          <w:szCs w:val="22"/>
        </w:rPr>
      </w:pPr>
    </w:p>
    <w:p w:rsidR="003D2112" w:rsidRPr="00277A3D" w:rsidRDefault="003D2112" w:rsidP="003D2112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277A3D">
        <w:rPr>
          <w:rFonts w:ascii="Tahoma" w:hAnsi="Tahoma" w:cs="Tahoma"/>
          <w:b/>
          <w:sz w:val="28"/>
          <w:szCs w:val="28"/>
        </w:rPr>
        <w:lastRenderedPageBreak/>
        <w:t>Článek X</w:t>
      </w:r>
      <w:r w:rsidR="00277A3D" w:rsidRPr="00277A3D">
        <w:rPr>
          <w:rFonts w:ascii="Tahoma" w:hAnsi="Tahoma" w:cs="Tahoma"/>
          <w:b/>
          <w:sz w:val="28"/>
          <w:szCs w:val="28"/>
        </w:rPr>
        <w:t>I</w:t>
      </w:r>
      <w:r w:rsidRPr="00277A3D">
        <w:rPr>
          <w:rFonts w:ascii="Tahoma" w:hAnsi="Tahoma" w:cs="Tahoma"/>
          <w:b/>
          <w:sz w:val="28"/>
          <w:szCs w:val="28"/>
        </w:rPr>
        <w:t>.</w:t>
      </w:r>
    </w:p>
    <w:p w:rsidR="003D2112" w:rsidRPr="00277A3D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77A3D">
        <w:rPr>
          <w:rFonts w:ascii="Tahoma" w:hAnsi="Tahoma" w:cs="Tahoma"/>
          <w:b/>
          <w:sz w:val="28"/>
          <w:szCs w:val="28"/>
          <w:u w:val="single"/>
        </w:rPr>
        <w:t>Závěrečná ustanovení</w:t>
      </w:r>
    </w:p>
    <w:p w:rsidR="003D2112" w:rsidRPr="00E05854" w:rsidRDefault="003D2112" w:rsidP="003D2112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:rsidR="00277A3D" w:rsidRPr="00277A3D" w:rsidRDefault="003D2112" w:rsidP="00277A3D">
      <w:pPr>
        <w:numPr>
          <w:ilvl w:val="0"/>
          <w:numId w:val="17"/>
        </w:numPr>
        <w:tabs>
          <w:tab w:val="left" w:pos="720"/>
        </w:tabs>
        <w:ind w:right="362"/>
        <w:jc w:val="both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Tato smlouva vzniká,  dohodnou-li se obě  smluvní strany na jejím obsahu a potvrdí-li ji svými podpisy oprávněni</w:t>
      </w:r>
      <w:r w:rsidR="00277A3D">
        <w:rPr>
          <w:rFonts w:ascii="Tahoma" w:hAnsi="Tahoma" w:cs="Tahoma"/>
          <w:sz w:val="22"/>
          <w:szCs w:val="22"/>
        </w:rPr>
        <w:t xml:space="preserve"> zástupci obou smluvních stran.</w:t>
      </w:r>
    </w:p>
    <w:p w:rsidR="003D2112" w:rsidRPr="00E05854" w:rsidRDefault="003D2112" w:rsidP="00277A3D">
      <w:pPr>
        <w:numPr>
          <w:ilvl w:val="0"/>
          <w:numId w:val="17"/>
        </w:numPr>
        <w:tabs>
          <w:tab w:val="left" w:pos="720"/>
        </w:tabs>
        <w:ind w:right="362"/>
        <w:jc w:val="both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Změny nebo doplňky k této smlouvě mohou být činěny pouze v písemné formě, to pod sankcí jejich neplatnosti.</w:t>
      </w:r>
    </w:p>
    <w:p w:rsidR="00277A3D" w:rsidRPr="00277A3D" w:rsidRDefault="003D2112" w:rsidP="00277A3D">
      <w:pPr>
        <w:numPr>
          <w:ilvl w:val="0"/>
          <w:numId w:val="17"/>
        </w:numPr>
        <w:tabs>
          <w:tab w:val="left" w:pos="720"/>
        </w:tabs>
        <w:ind w:right="362"/>
        <w:jc w:val="both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 xml:space="preserve">Tato smlouva je vyhotovena ve dvou stejnopisech, z nichž každý má platnost jako originál. Jeden stejnopis obdrží objednatel a druhý zhotovitel. </w:t>
      </w:r>
    </w:p>
    <w:p w:rsidR="003D2112" w:rsidRPr="00E05854" w:rsidRDefault="003D2112" w:rsidP="00277A3D">
      <w:pPr>
        <w:numPr>
          <w:ilvl w:val="0"/>
          <w:numId w:val="17"/>
        </w:numPr>
        <w:tabs>
          <w:tab w:val="left" w:pos="720"/>
        </w:tabs>
        <w:ind w:right="362"/>
        <w:jc w:val="both"/>
        <w:rPr>
          <w:rFonts w:ascii="Tahoma" w:hAnsi="Tahoma" w:cs="Tahoma"/>
          <w:b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Smluvní strany se dohodly, že text této smlouvy je jejich  obchodním tajemstvím a s jejím obsahem nebudou seznamovat třetí strany</w:t>
      </w:r>
      <w:r w:rsidR="00277A3D">
        <w:rPr>
          <w:rFonts w:ascii="Tahoma" w:hAnsi="Tahoma" w:cs="Tahoma"/>
          <w:sz w:val="22"/>
          <w:szCs w:val="22"/>
        </w:rPr>
        <w:t>, mimo zákonnou povinnost uveřejnit smlouvu v Registru smluv, s čímž obě strany souhlasí.</w:t>
      </w:r>
    </w:p>
    <w:p w:rsidR="003D2112" w:rsidRPr="00E05854" w:rsidRDefault="003D2112" w:rsidP="00277A3D">
      <w:pPr>
        <w:numPr>
          <w:ilvl w:val="0"/>
          <w:numId w:val="17"/>
        </w:numPr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E05854">
        <w:rPr>
          <w:rFonts w:ascii="Tahoma" w:hAnsi="Tahoma" w:cs="Tahoma"/>
          <w:sz w:val="22"/>
          <w:szCs w:val="22"/>
        </w:rPr>
        <w:t>Objednatel stvrzuje podpisem této Smlouvy o dílo, že předmětem plnění  je poskytnutí vymezených stavebních a montážních prací pro jeho ekonomickou činnost. Tím mu jako  plátci DPH ke dni uskutečnění zdanitelného plnění vzniká povinnost přiznat a zaplatit DPH, a to v rámci režimu přenesené daňové povinnosti dle § 92a a § 92e zákona č. 235/2004 Sb. o DPH. V případě, že v průběhu trvání smlouvy od jejího podpisu po uskutečnění zdanitelného plnění pozbude objednatel status plátce DPH, oznámí to neprodleně písemně zhotoviteli.</w:t>
      </w:r>
    </w:p>
    <w:p w:rsidR="003D2112" w:rsidRPr="00E05854" w:rsidRDefault="003D2112" w:rsidP="00277A3D">
      <w:pPr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 </w:t>
      </w:r>
    </w:p>
    <w:p w:rsidR="003D2112" w:rsidRPr="00E05854" w:rsidRDefault="003D2112" w:rsidP="003D2112">
      <w:pPr>
        <w:ind w:left="360"/>
        <w:jc w:val="both"/>
        <w:rPr>
          <w:rFonts w:ascii="Tahoma" w:hAnsi="Tahoma" w:cs="Tahoma"/>
          <w:b/>
          <w:i/>
          <w:sz w:val="22"/>
          <w:szCs w:val="22"/>
        </w:rPr>
      </w:pPr>
    </w:p>
    <w:p w:rsidR="00277A3D" w:rsidRPr="00277A3D" w:rsidRDefault="00277A3D" w:rsidP="00277A3D">
      <w:pPr>
        <w:tabs>
          <w:tab w:val="left" w:pos="720"/>
          <w:tab w:val="left" w:pos="4320"/>
          <w:tab w:val="left" w:pos="4500"/>
        </w:tabs>
        <w:ind w:left="360" w:right="362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277A3D">
        <w:rPr>
          <w:rFonts w:ascii="Tahoma" w:hAnsi="Tahoma" w:cs="Tahoma"/>
          <w:b/>
          <w:sz w:val="28"/>
          <w:szCs w:val="28"/>
        </w:rPr>
        <w:t>Článek XI</w:t>
      </w:r>
      <w:r>
        <w:rPr>
          <w:rFonts w:ascii="Tahoma" w:hAnsi="Tahoma" w:cs="Tahoma"/>
          <w:b/>
          <w:sz w:val="28"/>
          <w:szCs w:val="28"/>
        </w:rPr>
        <w:t>I</w:t>
      </w:r>
      <w:r w:rsidRPr="00277A3D">
        <w:rPr>
          <w:rFonts w:ascii="Tahoma" w:hAnsi="Tahoma" w:cs="Tahoma"/>
          <w:b/>
          <w:sz w:val="28"/>
          <w:szCs w:val="28"/>
        </w:rPr>
        <w:t>.</w:t>
      </w:r>
    </w:p>
    <w:p w:rsidR="00277A3D" w:rsidRPr="00277A3D" w:rsidRDefault="00277A3D" w:rsidP="00277A3D">
      <w:pPr>
        <w:pStyle w:val="Seznam2"/>
        <w:tabs>
          <w:tab w:val="left" w:pos="720"/>
        </w:tabs>
        <w:ind w:left="360" w:right="362" w:firstLine="0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Místo a datum podpisu smlouvy</w:t>
      </w:r>
    </w:p>
    <w:p w:rsidR="003D2112" w:rsidRPr="00E05854" w:rsidRDefault="003D2112" w:rsidP="003D2112">
      <w:pPr>
        <w:ind w:left="360"/>
        <w:jc w:val="both"/>
        <w:rPr>
          <w:rFonts w:ascii="Tahoma" w:hAnsi="Tahoma" w:cs="Tahoma"/>
          <w:b/>
          <w:i/>
          <w:sz w:val="22"/>
          <w:szCs w:val="22"/>
        </w:rPr>
      </w:pPr>
    </w:p>
    <w:p w:rsidR="003D2112" w:rsidRPr="00E05854" w:rsidRDefault="003D2112" w:rsidP="003D2112">
      <w:pPr>
        <w:ind w:left="360"/>
        <w:jc w:val="both"/>
        <w:rPr>
          <w:rFonts w:ascii="Tahoma" w:hAnsi="Tahoma" w:cs="Tahoma"/>
          <w:b/>
          <w:i/>
          <w:sz w:val="22"/>
          <w:szCs w:val="22"/>
        </w:rPr>
      </w:pPr>
    </w:p>
    <w:p w:rsidR="00DF2016" w:rsidRPr="00E05854" w:rsidRDefault="00DF2016">
      <w:pPr>
        <w:rPr>
          <w:rFonts w:ascii="Tahoma" w:hAnsi="Tahoma" w:cs="Tahoma"/>
          <w:sz w:val="22"/>
          <w:szCs w:val="22"/>
        </w:rPr>
      </w:pPr>
    </w:p>
    <w:p w:rsidR="00DF2016" w:rsidRPr="00E05854" w:rsidRDefault="00DF2016">
      <w:pPr>
        <w:rPr>
          <w:rFonts w:ascii="Tahoma" w:hAnsi="Tahoma" w:cs="Tahoma"/>
          <w:sz w:val="22"/>
          <w:szCs w:val="22"/>
        </w:rPr>
      </w:pPr>
    </w:p>
    <w:p w:rsidR="00DF2016" w:rsidRPr="00E05854" w:rsidRDefault="00DF2016">
      <w:pPr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………………………………….</w:t>
      </w:r>
      <w:r w:rsidRPr="00E05854">
        <w:rPr>
          <w:rFonts w:ascii="Tahoma" w:hAnsi="Tahoma" w:cs="Tahoma"/>
          <w:sz w:val="22"/>
          <w:szCs w:val="22"/>
        </w:rPr>
        <w:tab/>
      </w:r>
      <w:r w:rsidRPr="00E05854">
        <w:rPr>
          <w:rFonts w:ascii="Tahoma" w:hAnsi="Tahoma" w:cs="Tahoma"/>
          <w:sz w:val="22"/>
          <w:szCs w:val="22"/>
        </w:rPr>
        <w:tab/>
      </w:r>
      <w:r w:rsidRPr="00E05854">
        <w:rPr>
          <w:rFonts w:ascii="Tahoma" w:hAnsi="Tahoma" w:cs="Tahoma"/>
          <w:sz w:val="22"/>
          <w:szCs w:val="22"/>
        </w:rPr>
        <w:tab/>
      </w:r>
      <w:r w:rsidR="00277A3D">
        <w:rPr>
          <w:rFonts w:ascii="Tahoma" w:hAnsi="Tahoma" w:cs="Tahoma"/>
          <w:sz w:val="22"/>
          <w:szCs w:val="22"/>
        </w:rPr>
        <w:tab/>
      </w:r>
      <w:r w:rsidR="00277A3D">
        <w:rPr>
          <w:rFonts w:ascii="Tahoma" w:hAnsi="Tahoma" w:cs="Tahoma"/>
          <w:sz w:val="22"/>
          <w:szCs w:val="22"/>
        </w:rPr>
        <w:tab/>
      </w:r>
      <w:r w:rsidR="00277A3D">
        <w:rPr>
          <w:rFonts w:ascii="Tahoma" w:hAnsi="Tahoma" w:cs="Tahoma"/>
          <w:sz w:val="22"/>
          <w:szCs w:val="22"/>
        </w:rPr>
        <w:tab/>
      </w:r>
      <w:r w:rsidRPr="00E05854">
        <w:rPr>
          <w:rFonts w:ascii="Tahoma" w:hAnsi="Tahoma" w:cs="Tahoma"/>
          <w:sz w:val="22"/>
          <w:szCs w:val="22"/>
        </w:rPr>
        <w:t>………………………………………</w:t>
      </w:r>
    </w:p>
    <w:p w:rsidR="00260D00" w:rsidRPr="00E05854" w:rsidRDefault="00260D00" w:rsidP="00260D00">
      <w:pPr>
        <w:tabs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PhDr. Svatopluk Aniol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Václav Košař</w:t>
      </w:r>
    </w:p>
    <w:p w:rsidR="00260D00" w:rsidRPr="00E05854" w:rsidRDefault="00260D00" w:rsidP="00260D00">
      <w:pPr>
        <w:tabs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ředitel organizace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ředitel společnosti</w:t>
      </w:r>
    </w:p>
    <w:p w:rsidR="00DF2016" w:rsidRPr="00E05854" w:rsidRDefault="00260D00">
      <w:pPr>
        <w:tabs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za o</w:t>
      </w:r>
      <w:r w:rsidR="003F7CEA" w:rsidRPr="00E05854">
        <w:rPr>
          <w:rFonts w:ascii="Tahoma" w:hAnsi="Tahoma" w:cs="Tahoma"/>
          <w:sz w:val="22"/>
          <w:szCs w:val="22"/>
        </w:rPr>
        <w:t>bjednatel</w:t>
      </w:r>
      <w:r>
        <w:rPr>
          <w:rFonts w:ascii="Tahoma" w:hAnsi="Tahoma" w:cs="Tahoma"/>
          <w:sz w:val="22"/>
          <w:szCs w:val="22"/>
        </w:rPr>
        <w:t>e</w:t>
      </w:r>
      <w:r w:rsidR="00DF2016" w:rsidRPr="00E05854">
        <w:rPr>
          <w:rFonts w:ascii="Tahoma" w:hAnsi="Tahoma" w:cs="Tahoma"/>
          <w:sz w:val="22"/>
          <w:szCs w:val="22"/>
        </w:rPr>
        <w:tab/>
      </w:r>
      <w:r w:rsidR="00277A3D">
        <w:rPr>
          <w:rFonts w:ascii="Tahoma" w:hAnsi="Tahoma" w:cs="Tahoma"/>
          <w:sz w:val="22"/>
          <w:szCs w:val="22"/>
        </w:rPr>
        <w:tab/>
      </w:r>
      <w:r w:rsidR="00DF2016" w:rsidRPr="00E05854">
        <w:rPr>
          <w:rFonts w:ascii="Tahoma" w:hAnsi="Tahoma" w:cs="Tahoma"/>
          <w:sz w:val="22"/>
          <w:szCs w:val="22"/>
        </w:rPr>
        <w:t xml:space="preserve">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="00277A3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za</w:t>
      </w:r>
      <w:r w:rsidR="00DF2016" w:rsidRPr="00E0585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</w:t>
      </w:r>
      <w:r w:rsidR="003F7CEA" w:rsidRPr="00E05854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>e</w:t>
      </w:r>
    </w:p>
    <w:p w:rsidR="0086079E" w:rsidRPr="00E05854" w:rsidRDefault="0086079E">
      <w:pPr>
        <w:tabs>
          <w:tab w:val="left" w:pos="5245"/>
        </w:tabs>
        <w:rPr>
          <w:rFonts w:ascii="Tahoma" w:hAnsi="Tahoma" w:cs="Tahoma"/>
          <w:sz w:val="22"/>
          <w:szCs w:val="22"/>
        </w:rPr>
      </w:pPr>
    </w:p>
    <w:p w:rsidR="003F7CEA" w:rsidRPr="00E05854" w:rsidRDefault="003F7CEA">
      <w:pPr>
        <w:tabs>
          <w:tab w:val="left" w:pos="5245"/>
        </w:tabs>
        <w:rPr>
          <w:rFonts w:ascii="Tahoma" w:hAnsi="Tahoma" w:cs="Tahoma"/>
          <w:sz w:val="22"/>
          <w:szCs w:val="22"/>
        </w:rPr>
      </w:pPr>
    </w:p>
    <w:p w:rsidR="00DF2016" w:rsidRPr="00E05854" w:rsidRDefault="00DF2016">
      <w:pPr>
        <w:rPr>
          <w:rFonts w:ascii="Tahoma" w:hAnsi="Tahoma" w:cs="Tahoma"/>
          <w:sz w:val="22"/>
          <w:szCs w:val="22"/>
        </w:rPr>
      </w:pPr>
    </w:p>
    <w:p w:rsidR="003F7CEA" w:rsidRPr="00E05854" w:rsidRDefault="00DF2016" w:rsidP="003F7CEA">
      <w:pPr>
        <w:rPr>
          <w:rFonts w:ascii="Tahoma" w:hAnsi="Tahoma" w:cs="Tahoma"/>
          <w:sz w:val="22"/>
          <w:szCs w:val="22"/>
        </w:rPr>
      </w:pPr>
      <w:r w:rsidRPr="00E05854">
        <w:rPr>
          <w:rFonts w:ascii="Tahoma" w:hAnsi="Tahoma" w:cs="Tahoma"/>
          <w:sz w:val="22"/>
          <w:szCs w:val="22"/>
        </w:rPr>
        <w:t>V</w:t>
      </w:r>
      <w:r w:rsidR="003F7CEA" w:rsidRPr="00E05854">
        <w:rPr>
          <w:rFonts w:ascii="Tahoma" w:hAnsi="Tahoma" w:cs="Tahoma"/>
          <w:sz w:val="22"/>
          <w:szCs w:val="22"/>
        </w:rPr>
        <w:t xml:space="preserve"> Ostravě </w:t>
      </w:r>
      <w:r w:rsidRPr="00E05854">
        <w:rPr>
          <w:rFonts w:ascii="Tahoma" w:hAnsi="Tahoma" w:cs="Tahoma"/>
          <w:sz w:val="22"/>
          <w:szCs w:val="22"/>
        </w:rPr>
        <w:t xml:space="preserve">dne </w:t>
      </w:r>
      <w:r w:rsidR="002955F5">
        <w:rPr>
          <w:rFonts w:ascii="Tahoma" w:hAnsi="Tahoma" w:cs="Tahoma"/>
          <w:sz w:val="22"/>
          <w:szCs w:val="22"/>
        </w:rPr>
        <w:t>18.12.2019</w:t>
      </w:r>
      <w:r w:rsidR="003F7CEA" w:rsidRPr="00E05854">
        <w:rPr>
          <w:rFonts w:ascii="Tahoma" w:hAnsi="Tahoma" w:cs="Tahoma"/>
          <w:sz w:val="22"/>
          <w:szCs w:val="22"/>
        </w:rPr>
        <w:tab/>
      </w:r>
      <w:r w:rsidR="003F7CEA" w:rsidRPr="00E05854">
        <w:rPr>
          <w:rFonts w:ascii="Tahoma" w:hAnsi="Tahoma" w:cs="Tahoma"/>
          <w:sz w:val="22"/>
          <w:szCs w:val="22"/>
        </w:rPr>
        <w:tab/>
      </w:r>
      <w:r w:rsidR="003F7CEA" w:rsidRPr="00E05854">
        <w:rPr>
          <w:rFonts w:ascii="Tahoma" w:hAnsi="Tahoma" w:cs="Tahoma"/>
          <w:sz w:val="22"/>
          <w:szCs w:val="22"/>
        </w:rPr>
        <w:tab/>
      </w:r>
      <w:r w:rsidR="00277A3D">
        <w:rPr>
          <w:rFonts w:ascii="Tahoma" w:hAnsi="Tahoma" w:cs="Tahoma"/>
          <w:sz w:val="22"/>
          <w:szCs w:val="22"/>
        </w:rPr>
        <w:t xml:space="preserve">                           </w:t>
      </w:r>
      <w:r w:rsidR="003F7CEA" w:rsidRPr="00E05854">
        <w:rPr>
          <w:rFonts w:ascii="Tahoma" w:hAnsi="Tahoma" w:cs="Tahoma"/>
          <w:sz w:val="22"/>
          <w:szCs w:val="22"/>
        </w:rPr>
        <w:t>V </w:t>
      </w:r>
      <w:r w:rsidR="002955F5">
        <w:rPr>
          <w:rFonts w:ascii="Tahoma" w:hAnsi="Tahoma" w:cs="Tahoma"/>
          <w:sz w:val="22"/>
          <w:szCs w:val="22"/>
        </w:rPr>
        <w:t>Ostravě</w:t>
      </w:r>
      <w:r w:rsidR="003F7CEA" w:rsidRPr="00E05854">
        <w:rPr>
          <w:rFonts w:ascii="Tahoma" w:hAnsi="Tahoma" w:cs="Tahoma"/>
          <w:sz w:val="22"/>
          <w:szCs w:val="22"/>
        </w:rPr>
        <w:t xml:space="preserve"> dne </w:t>
      </w:r>
      <w:r w:rsidR="002955F5">
        <w:rPr>
          <w:rFonts w:ascii="Tahoma" w:hAnsi="Tahoma" w:cs="Tahoma"/>
          <w:sz w:val="22"/>
          <w:szCs w:val="22"/>
        </w:rPr>
        <w:t>1</w:t>
      </w:r>
      <w:bookmarkStart w:id="0" w:name="_GoBack"/>
      <w:bookmarkEnd w:id="0"/>
      <w:r w:rsidR="002955F5">
        <w:rPr>
          <w:rFonts w:ascii="Tahoma" w:hAnsi="Tahoma" w:cs="Tahoma"/>
          <w:sz w:val="22"/>
          <w:szCs w:val="22"/>
        </w:rPr>
        <w:t>8.12.2019</w:t>
      </w:r>
    </w:p>
    <w:p w:rsidR="00DF2016" w:rsidRPr="00E05854" w:rsidRDefault="00DF2016">
      <w:pPr>
        <w:rPr>
          <w:rFonts w:ascii="Tahoma" w:hAnsi="Tahoma" w:cs="Tahoma"/>
          <w:sz w:val="22"/>
          <w:szCs w:val="22"/>
        </w:rPr>
      </w:pPr>
    </w:p>
    <w:p w:rsidR="005B61B5" w:rsidRPr="00E05854" w:rsidRDefault="005B61B5">
      <w:pPr>
        <w:pStyle w:val="Zpat"/>
        <w:tabs>
          <w:tab w:val="clear" w:pos="4536"/>
          <w:tab w:val="clear" w:pos="9072"/>
        </w:tabs>
        <w:spacing w:before="120" w:line="240" w:lineRule="atLeast"/>
        <w:rPr>
          <w:rFonts w:ascii="Tahoma" w:hAnsi="Tahoma" w:cs="Tahoma"/>
          <w:sz w:val="22"/>
          <w:szCs w:val="22"/>
        </w:rPr>
      </w:pPr>
    </w:p>
    <w:p w:rsidR="00DF2016" w:rsidRPr="00277A3D" w:rsidRDefault="00BF43E3">
      <w:pPr>
        <w:pStyle w:val="Zpat"/>
        <w:tabs>
          <w:tab w:val="clear" w:pos="4536"/>
          <w:tab w:val="clear" w:pos="9072"/>
        </w:tabs>
        <w:spacing w:before="120" w:line="240" w:lineRule="atLeast"/>
        <w:rPr>
          <w:rFonts w:ascii="Tahoma" w:hAnsi="Tahoma" w:cs="Tahoma"/>
          <w:b/>
          <w:sz w:val="22"/>
          <w:szCs w:val="22"/>
        </w:rPr>
      </w:pPr>
      <w:r w:rsidRPr="00277A3D">
        <w:rPr>
          <w:rFonts w:ascii="Tahoma" w:hAnsi="Tahoma" w:cs="Tahoma"/>
          <w:b/>
          <w:sz w:val="22"/>
          <w:szCs w:val="22"/>
        </w:rPr>
        <w:t>Přílohy:</w:t>
      </w:r>
    </w:p>
    <w:p w:rsidR="00E05854" w:rsidRPr="00277A3D" w:rsidRDefault="00277A3D" w:rsidP="00E0585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</w:t>
      </w:r>
      <w:r w:rsidR="00BF43E3" w:rsidRPr="00277A3D">
        <w:rPr>
          <w:rFonts w:ascii="Tahoma" w:hAnsi="Tahoma" w:cs="Tahoma"/>
          <w:sz w:val="22"/>
          <w:szCs w:val="22"/>
        </w:rPr>
        <w:t xml:space="preserve">1 - </w:t>
      </w:r>
      <w:r w:rsidR="00E05854" w:rsidRPr="00277A3D">
        <w:rPr>
          <w:rFonts w:ascii="Tahoma" w:hAnsi="Tahoma" w:cs="Tahoma"/>
          <w:sz w:val="22"/>
          <w:szCs w:val="22"/>
        </w:rPr>
        <w:t>Specifikace servisu, prohlídek, zkoušek a poruch zařízení</w:t>
      </w:r>
    </w:p>
    <w:p w:rsidR="00E05854" w:rsidRPr="00277A3D" w:rsidRDefault="00E05854" w:rsidP="00E05854">
      <w:pPr>
        <w:rPr>
          <w:rFonts w:ascii="Tahoma" w:hAnsi="Tahoma" w:cs="Tahoma"/>
          <w:sz w:val="22"/>
          <w:szCs w:val="22"/>
        </w:rPr>
      </w:pPr>
      <w:r w:rsidRPr="00277A3D">
        <w:rPr>
          <w:rFonts w:ascii="Tahoma" w:hAnsi="Tahoma" w:cs="Tahoma"/>
          <w:sz w:val="22"/>
          <w:szCs w:val="22"/>
        </w:rPr>
        <w:t>Příloha č. 2 – Plán kontrol a preventivní údržby (v paušálu)</w:t>
      </w:r>
    </w:p>
    <w:p w:rsidR="001E0ED6" w:rsidRPr="00277A3D" w:rsidRDefault="001E0ED6" w:rsidP="00E05854">
      <w:pPr>
        <w:rPr>
          <w:rFonts w:ascii="Tahoma" w:hAnsi="Tahoma" w:cs="Tahoma"/>
          <w:sz w:val="22"/>
          <w:szCs w:val="22"/>
        </w:rPr>
      </w:pPr>
      <w:r w:rsidRPr="00277A3D">
        <w:rPr>
          <w:rFonts w:ascii="Tahoma" w:hAnsi="Tahoma" w:cs="Tahoma"/>
          <w:sz w:val="22"/>
          <w:szCs w:val="22"/>
        </w:rPr>
        <w:t>Příloha č. 3 – Krycí list nabídky</w:t>
      </w:r>
    </w:p>
    <w:sectPr w:rsidR="001E0ED6" w:rsidRPr="00277A3D" w:rsidSect="002E7F73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43" w:rsidRDefault="00E65443">
      <w:r>
        <w:separator/>
      </w:r>
    </w:p>
  </w:endnote>
  <w:endnote w:type="continuationSeparator" w:id="0">
    <w:p w:rsidR="00E65443" w:rsidRDefault="00E6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BF" w:rsidRDefault="003F7CEA">
    <w:pPr>
      <w:pStyle w:val="Zpat"/>
      <w:jc w:val="right"/>
    </w:pPr>
    <w:r>
      <w:t xml:space="preserve">Strana </w:t>
    </w:r>
    <w:r w:rsidR="000D38BF">
      <w:fldChar w:fldCharType="begin"/>
    </w:r>
    <w:r w:rsidR="000D38BF">
      <w:instrText>PAGE   \* MERGEFORMAT</w:instrText>
    </w:r>
    <w:r w:rsidR="000D38BF">
      <w:fldChar w:fldCharType="separate"/>
    </w:r>
    <w:r w:rsidR="003369AF">
      <w:rPr>
        <w:noProof/>
      </w:rPr>
      <w:t>2</w:t>
    </w:r>
    <w:r w:rsidR="000D38BF">
      <w:fldChar w:fldCharType="end"/>
    </w:r>
    <w:r>
      <w:t xml:space="preserve"> z 5</w:t>
    </w:r>
  </w:p>
  <w:p w:rsidR="00DF2016" w:rsidRDefault="00DF2016">
    <w:pPr>
      <w:pStyle w:val="Zpat"/>
      <w:tabs>
        <w:tab w:val="clear" w:pos="4536"/>
        <w:tab w:val="clear" w:pos="9072"/>
        <w:tab w:val="right" w:pos="8647"/>
      </w:tabs>
      <w:ind w:right="360" w:firstLine="142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43" w:rsidRDefault="00E65443">
      <w:r>
        <w:separator/>
      </w:r>
    </w:p>
  </w:footnote>
  <w:footnote w:type="continuationSeparator" w:id="0">
    <w:p w:rsidR="00E65443" w:rsidRDefault="00E6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0AF" w:rsidRDefault="00EA60AF">
    <w:pPr>
      <w:pStyle w:val="Zhlav"/>
      <w:rPr>
        <w:noProof/>
      </w:rPr>
    </w:pPr>
    <w:r w:rsidRPr="0033329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5" type="#_x0000_t75" style="width:453.75pt;height:43.5pt;visibility:visible">
          <v:imagedata r:id="rId1" o:title=""/>
        </v:shape>
      </w:pict>
    </w:r>
  </w:p>
  <w:p w:rsidR="000D38BF" w:rsidRPr="00EA60AF" w:rsidRDefault="00EA60AF" w:rsidP="00B51DCA">
    <w:pPr>
      <w:pStyle w:val="Zhlav"/>
      <w:jc w:val="center"/>
      <w:rPr>
        <w:rFonts w:ascii="Tahoma" w:hAnsi="Tahoma" w:cs="Tahoma"/>
      </w:rPr>
    </w:pPr>
    <w:r w:rsidRPr="00EA60AF">
      <w:rPr>
        <w:rFonts w:ascii="Tahoma" w:hAnsi="Tahoma" w:cs="Tahoma"/>
        <w:noProof/>
      </w:rPr>
      <w:t>Veřejná zakázka: „</w:t>
    </w:r>
    <w:r w:rsidR="00B51DCA">
      <w:rPr>
        <w:rFonts w:ascii="Tahoma" w:hAnsi="Tahoma" w:cs="Tahoma"/>
      </w:rPr>
      <w:t>Servis výtahů a plošin</w:t>
    </w:r>
    <w:r w:rsidR="00FB2FE5">
      <w:rPr>
        <w:rFonts w:ascii="Tahoma" w:hAnsi="Tahoma" w:cs="Tahoma"/>
      </w:rPr>
      <w:t xml:space="preserve"> </w:t>
    </w:r>
    <w:r w:rsidRPr="00EA60AF">
      <w:rPr>
        <w:rFonts w:ascii="Tahoma" w:hAnsi="Tahoma" w:cs="Tahoma"/>
      </w:rPr>
      <w:t>”</w:t>
    </w:r>
  </w:p>
  <w:p w:rsidR="00DF2016" w:rsidRDefault="00DF2016" w:rsidP="000D38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7E6A"/>
    <w:multiLevelType w:val="singleLevel"/>
    <w:tmpl w:val="71C88F0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" w15:restartNumberingAfterBreak="0">
    <w:nsid w:val="0D7E45FF"/>
    <w:multiLevelType w:val="hybridMultilevel"/>
    <w:tmpl w:val="9634E750"/>
    <w:lvl w:ilvl="0" w:tplc="E3A6F5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600A50"/>
    <w:multiLevelType w:val="multilevel"/>
    <w:tmpl w:val="A86CE3C6"/>
    <w:lvl w:ilvl="0">
      <w:start w:val="5"/>
      <w:numFmt w:val="decimal"/>
      <w:lvlText w:val="%1"/>
      <w:legacy w:legacy="1" w:legacySpace="0" w:legacyIndent="0"/>
      <w:lvlJc w:val="left"/>
      <w:rPr>
        <w:b/>
      </w:rPr>
    </w:lvl>
    <w:lvl w:ilvl="1">
      <w:start w:val="4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3" w15:restartNumberingAfterBreak="0">
    <w:nsid w:val="299F71CA"/>
    <w:multiLevelType w:val="hybridMultilevel"/>
    <w:tmpl w:val="A8EA8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7C03"/>
    <w:multiLevelType w:val="hybridMultilevel"/>
    <w:tmpl w:val="43940B14"/>
    <w:lvl w:ilvl="0" w:tplc="4CBAD9A2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5" w15:restartNumberingAfterBreak="0">
    <w:nsid w:val="31A83ADB"/>
    <w:multiLevelType w:val="multilevel"/>
    <w:tmpl w:val="90D60B5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A440194"/>
    <w:multiLevelType w:val="singleLevel"/>
    <w:tmpl w:val="0B7E5C6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420"/>
      </w:pPr>
      <w:rPr>
        <w:rFonts w:hint="default"/>
        <w:b w:val="0"/>
      </w:rPr>
    </w:lvl>
  </w:abstractNum>
  <w:abstractNum w:abstractNumId="7" w15:restartNumberingAfterBreak="0">
    <w:nsid w:val="3A812AAA"/>
    <w:multiLevelType w:val="hybridMultilevel"/>
    <w:tmpl w:val="E9B8E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60E97"/>
    <w:multiLevelType w:val="hybridMultilevel"/>
    <w:tmpl w:val="CA5A68F2"/>
    <w:lvl w:ilvl="0" w:tplc="8D3471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20DA"/>
    <w:multiLevelType w:val="hybridMultilevel"/>
    <w:tmpl w:val="8DD83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67726"/>
    <w:multiLevelType w:val="hybridMultilevel"/>
    <w:tmpl w:val="0810B278"/>
    <w:lvl w:ilvl="0" w:tplc="4CE68B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F7B2A09"/>
    <w:multiLevelType w:val="singleLevel"/>
    <w:tmpl w:val="B89A7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</w:abstractNum>
  <w:abstractNum w:abstractNumId="12" w15:restartNumberingAfterBreak="0">
    <w:nsid w:val="612E737C"/>
    <w:multiLevelType w:val="multilevel"/>
    <w:tmpl w:val="A86CE3C6"/>
    <w:lvl w:ilvl="0">
      <w:start w:val="5"/>
      <w:numFmt w:val="decimal"/>
      <w:lvlText w:val="%1"/>
      <w:legacy w:legacy="1" w:legacySpace="0" w:legacyIndent="0"/>
      <w:lvlJc w:val="left"/>
      <w:rPr>
        <w:b/>
      </w:rPr>
    </w:lvl>
    <w:lvl w:ilvl="1">
      <w:start w:val="4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64CF30D1"/>
    <w:multiLevelType w:val="hybridMultilevel"/>
    <w:tmpl w:val="A9EC4D72"/>
    <w:lvl w:ilvl="0" w:tplc="A64E8B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4" w15:restartNumberingAfterBreak="0">
    <w:nsid w:val="70FA6611"/>
    <w:multiLevelType w:val="singleLevel"/>
    <w:tmpl w:val="CF686046"/>
    <w:lvl w:ilvl="0">
      <w:start w:val="2"/>
      <w:numFmt w:val="lowerLetter"/>
      <w:lvlText w:val="%1)"/>
      <w:legacy w:legacy="1" w:legacySpace="120" w:legacyIndent="705"/>
      <w:lvlJc w:val="left"/>
      <w:pPr>
        <w:ind w:left="1410" w:hanging="705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5"/>
  </w:num>
  <w:num w:numId="5">
    <w:abstractNumId w:val="3"/>
  </w:num>
  <w:num w:numId="6">
    <w:abstractNumId w:val="4"/>
  </w:num>
  <w:num w:numId="7">
    <w:abstractNumId w:val="11"/>
    <w:lvlOverride w:ilvl="0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7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025"/>
    <w:rsid w:val="00072315"/>
    <w:rsid w:val="000957A8"/>
    <w:rsid w:val="000B39F3"/>
    <w:rsid w:val="000C095A"/>
    <w:rsid w:val="000D38BF"/>
    <w:rsid w:val="000D4D20"/>
    <w:rsid w:val="00107968"/>
    <w:rsid w:val="00112CC1"/>
    <w:rsid w:val="00137A4F"/>
    <w:rsid w:val="00151C0C"/>
    <w:rsid w:val="00165064"/>
    <w:rsid w:val="001C0D13"/>
    <w:rsid w:val="001E0ED6"/>
    <w:rsid w:val="00215ADF"/>
    <w:rsid w:val="00241A9C"/>
    <w:rsid w:val="00245A34"/>
    <w:rsid w:val="00260D00"/>
    <w:rsid w:val="00266958"/>
    <w:rsid w:val="00277A3D"/>
    <w:rsid w:val="00293D33"/>
    <w:rsid w:val="002955F5"/>
    <w:rsid w:val="002C2BFD"/>
    <w:rsid w:val="002E7F73"/>
    <w:rsid w:val="002F0699"/>
    <w:rsid w:val="0030544A"/>
    <w:rsid w:val="003243D8"/>
    <w:rsid w:val="003369AF"/>
    <w:rsid w:val="00340DE8"/>
    <w:rsid w:val="00390E47"/>
    <w:rsid w:val="00391943"/>
    <w:rsid w:val="003A1BC0"/>
    <w:rsid w:val="003B270C"/>
    <w:rsid w:val="003D2112"/>
    <w:rsid w:val="003F7CEA"/>
    <w:rsid w:val="00421AD1"/>
    <w:rsid w:val="004301F8"/>
    <w:rsid w:val="00441D8B"/>
    <w:rsid w:val="0044688E"/>
    <w:rsid w:val="004814A4"/>
    <w:rsid w:val="004964E5"/>
    <w:rsid w:val="004A0FED"/>
    <w:rsid w:val="004C61A9"/>
    <w:rsid w:val="005303C8"/>
    <w:rsid w:val="00561ABE"/>
    <w:rsid w:val="00585199"/>
    <w:rsid w:val="005B61B5"/>
    <w:rsid w:val="0060794A"/>
    <w:rsid w:val="006144DA"/>
    <w:rsid w:val="00633CB0"/>
    <w:rsid w:val="00653B2C"/>
    <w:rsid w:val="006B1407"/>
    <w:rsid w:val="00700124"/>
    <w:rsid w:val="0070602B"/>
    <w:rsid w:val="007153F8"/>
    <w:rsid w:val="00721B44"/>
    <w:rsid w:val="0074313A"/>
    <w:rsid w:val="00747D8D"/>
    <w:rsid w:val="00782D2D"/>
    <w:rsid w:val="008007D6"/>
    <w:rsid w:val="008109EE"/>
    <w:rsid w:val="008562CC"/>
    <w:rsid w:val="0086079E"/>
    <w:rsid w:val="00877025"/>
    <w:rsid w:val="008B5369"/>
    <w:rsid w:val="008D2E95"/>
    <w:rsid w:val="008E506D"/>
    <w:rsid w:val="00901B8D"/>
    <w:rsid w:val="00922C15"/>
    <w:rsid w:val="00994259"/>
    <w:rsid w:val="009B1C7A"/>
    <w:rsid w:val="009C4B1F"/>
    <w:rsid w:val="009D3883"/>
    <w:rsid w:val="009F557B"/>
    <w:rsid w:val="00A04625"/>
    <w:rsid w:val="00A15CBC"/>
    <w:rsid w:val="00A21C04"/>
    <w:rsid w:val="00A30778"/>
    <w:rsid w:val="00A314AD"/>
    <w:rsid w:val="00A47D29"/>
    <w:rsid w:val="00A57124"/>
    <w:rsid w:val="00A64623"/>
    <w:rsid w:val="00AC3115"/>
    <w:rsid w:val="00B33110"/>
    <w:rsid w:val="00B51DCA"/>
    <w:rsid w:val="00B54E6A"/>
    <w:rsid w:val="00B5778A"/>
    <w:rsid w:val="00B74CC0"/>
    <w:rsid w:val="00BA1F0C"/>
    <w:rsid w:val="00BB694D"/>
    <w:rsid w:val="00BF43E3"/>
    <w:rsid w:val="00BF4D60"/>
    <w:rsid w:val="00C3717E"/>
    <w:rsid w:val="00C60BD6"/>
    <w:rsid w:val="00CA0272"/>
    <w:rsid w:val="00CB5F78"/>
    <w:rsid w:val="00CD7D06"/>
    <w:rsid w:val="00D10898"/>
    <w:rsid w:val="00D111C6"/>
    <w:rsid w:val="00D33D91"/>
    <w:rsid w:val="00DB41E5"/>
    <w:rsid w:val="00DD6D32"/>
    <w:rsid w:val="00DF2016"/>
    <w:rsid w:val="00DF2E7E"/>
    <w:rsid w:val="00E00D2F"/>
    <w:rsid w:val="00E05854"/>
    <w:rsid w:val="00E22D2A"/>
    <w:rsid w:val="00E25998"/>
    <w:rsid w:val="00E65443"/>
    <w:rsid w:val="00E678C7"/>
    <w:rsid w:val="00E752CC"/>
    <w:rsid w:val="00E770AA"/>
    <w:rsid w:val="00EA3E7A"/>
    <w:rsid w:val="00EA60AF"/>
    <w:rsid w:val="00EA6659"/>
    <w:rsid w:val="00EC2E80"/>
    <w:rsid w:val="00ED75FA"/>
    <w:rsid w:val="00F0269F"/>
    <w:rsid w:val="00F06516"/>
    <w:rsid w:val="00F12006"/>
    <w:rsid w:val="00F33D88"/>
    <w:rsid w:val="00F51EC1"/>
    <w:rsid w:val="00F55477"/>
    <w:rsid w:val="00F76656"/>
    <w:rsid w:val="00F902AF"/>
    <w:rsid w:val="00FB2FE5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61EB9B1C"/>
  <w15:chartTrackingRefBased/>
  <w15:docId w15:val="{88084112-C090-4CAB-81E8-0DCF3188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framePr w:hSpace="141" w:wrap="auto" w:vAnchor="text" w:hAnchor="page" w:x="2503" w:y="-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both"/>
      <w:outlineLvl w:val="1"/>
    </w:pPr>
    <w:rPr>
      <w:rFonts w:ascii="Arial" w:hAnsi="Arial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outlineLvl w:val="3"/>
    </w:pPr>
    <w:rPr>
      <w:rFonts w:ascii="Arial" w:hAnsi="Arial"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6096"/>
      </w:tabs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center"/>
      <w:outlineLvl w:val="5"/>
    </w:pPr>
    <w:rPr>
      <w:rFonts w:ascii="CG Times" w:hAnsi="CG Times"/>
      <w:b/>
      <w:sz w:val="48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ind w:left="45"/>
      <w:jc w:val="both"/>
      <w:outlineLvl w:val="6"/>
    </w:pPr>
    <w:rPr>
      <w:rFonts w:ascii="Arial" w:hAnsi="Arial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ln"/>
    <w:pPr>
      <w:tabs>
        <w:tab w:val="left" w:pos="6096"/>
      </w:tabs>
    </w:pPr>
  </w:style>
  <w:style w:type="character" w:customStyle="1" w:styleId="Hyperlink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</w:style>
  <w:style w:type="paragraph" w:customStyle="1" w:styleId="Nad1">
    <w:name w:val="Nad1"/>
    <w:basedOn w:val="Normln"/>
    <w:pPr>
      <w:jc w:val="center"/>
    </w:pPr>
    <w:rPr>
      <w:b/>
    </w:rPr>
  </w:style>
  <w:style w:type="paragraph" w:customStyle="1" w:styleId="BodyText3">
    <w:name w:val="Body Text 3"/>
    <w:basedOn w:val="Normln"/>
    <w:pPr>
      <w:jc w:val="both"/>
    </w:pPr>
  </w:style>
  <w:style w:type="paragraph" w:customStyle="1" w:styleId="BodyText20">
    <w:name w:val="Body Text 2"/>
    <w:basedOn w:val="Normln"/>
    <w:pPr>
      <w:ind w:firstLine="426"/>
      <w:jc w:val="both"/>
    </w:pPr>
  </w:style>
  <w:style w:type="paragraph" w:customStyle="1" w:styleId="BodyTextIndent2">
    <w:name w:val="Body Text Indent 2"/>
    <w:basedOn w:val="Normln"/>
    <w:pPr>
      <w:ind w:left="705"/>
      <w:jc w:val="both"/>
    </w:pPr>
  </w:style>
  <w:style w:type="paragraph" w:customStyle="1" w:styleId="xl25">
    <w:name w:val="xl25"/>
    <w:basedOn w:val="Normln"/>
    <w:pPr>
      <w:spacing w:before="100" w:after="100"/>
    </w:pPr>
    <w:rPr>
      <w:rFonts w:ascii="Arial" w:hAnsi="Arial"/>
      <w:b/>
      <w:sz w:val="16"/>
    </w:rPr>
  </w:style>
  <w:style w:type="paragraph" w:customStyle="1" w:styleId="xl26">
    <w:name w:val="xl26"/>
    <w:basedOn w:val="Normln"/>
    <w:pPr>
      <w:spacing w:before="100" w:after="100"/>
      <w:jc w:val="center"/>
    </w:pPr>
    <w:rPr>
      <w:rFonts w:ascii="Arial Unicode MS" w:eastAsia="Arial Unicode MS"/>
    </w:rPr>
  </w:style>
  <w:style w:type="paragraph" w:customStyle="1" w:styleId="xl27">
    <w:name w:val="xl27"/>
    <w:basedOn w:val="Normln"/>
    <w:pPr>
      <w:spacing w:before="100" w:after="100"/>
    </w:pPr>
    <w:rPr>
      <w:rFonts w:ascii="Arial" w:hAnsi="Arial"/>
      <w:b/>
    </w:rPr>
  </w:style>
  <w:style w:type="paragraph" w:customStyle="1" w:styleId="xl28">
    <w:name w:val="xl28"/>
    <w:basedOn w:val="Normln"/>
    <w:pPr>
      <w:spacing w:before="100" w:after="100"/>
      <w:jc w:val="center"/>
    </w:pPr>
    <w:rPr>
      <w:rFonts w:ascii="Arial Unicode MS" w:eastAsia="Arial Unicode MS"/>
    </w:rPr>
  </w:style>
  <w:style w:type="paragraph" w:customStyle="1" w:styleId="xl29">
    <w:name w:val="xl29"/>
    <w:basedOn w:val="Normln"/>
    <w:pPr>
      <w:spacing w:before="100" w:after="100"/>
      <w:jc w:val="center"/>
    </w:pPr>
    <w:rPr>
      <w:rFonts w:ascii="Arial" w:hAnsi="Arial"/>
      <w:b/>
    </w:rPr>
  </w:style>
  <w:style w:type="paragraph" w:customStyle="1" w:styleId="xl30">
    <w:name w:val="xl30"/>
    <w:basedOn w:val="Normln"/>
    <w:pPr>
      <w:spacing w:before="100" w:after="100"/>
    </w:pPr>
    <w:rPr>
      <w:rFonts w:ascii="Arial" w:hAnsi="Arial"/>
      <w:b/>
    </w:rPr>
  </w:style>
  <w:style w:type="paragraph" w:customStyle="1" w:styleId="xl31">
    <w:name w:val="xl31"/>
    <w:basedOn w:val="Normln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b/>
      <w:sz w:val="36"/>
    </w:rPr>
  </w:style>
  <w:style w:type="paragraph" w:customStyle="1" w:styleId="xl32">
    <w:name w:val="xl32"/>
    <w:basedOn w:val="Normln"/>
    <w:pPr>
      <w:pBdr>
        <w:top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  <w:sz w:val="36"/>
    </w:rPr>
  </w:style>
  <w:style w:type="paragraph" w:customStyle="1" w:styleId="xl33">
    <w:name w:val="xl33"/>
    <w:basedOn w:val="Normln"/>
    <w:pPr>
      <w:pBdr>
        <w:left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4">
    <w:name w:val="xl34"/>
    <w:basedOn w:val="Normln"/>
    <w:pP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5">
    <w:name w:val="xl35"/>
    <w:basedOn w:val="Normln"/>
    <w:pPr>
      <w:pBdr>
        <w:left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6">
    <w:name w:val="xl36"/>
    <w:basedOn w:val="Normln"/>
    <w:pPr>
      <w:pBdr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38">
    <w:name w:val="xl38"/>
    <w:basedOn w:val="Normln"/>
    <w:pPr>
      <w:pBdr>
        <w:top w:val="single" w:sz="6" w:space="0" w:color="auto"/>
        <w:bottom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39">
    <w:name w:val="xl39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40">
    <w:name w:val="xl40"/>
    <w:basedOn w:val="Normln"/>
    <w:pPr>
      <w:spacing w:before="100" w:after="100"/>
    </w:pPr>
    <w:rPr>
      <w:rFonts w:ascii="Arial" w:hAnsi="Arial"/>
      <w:b/>
    </w:rPr>
  </w:style>
  <w:style w:type="paragraph" w:customStyle="1" w:styleId="xl41">
    <w:name w:val="xl41"/>
    <w:basedOn w:val="Normln"/>
    <w:pPr>
      <w:spacing w:before="100" w:after="100"/>
      <w:jc w:val="center"/>
    </w:pPr>
    <w:rPr>
      <w:rFonts w:ascii="Arial" w:hAnsi="Arial"/>
      <w:b/>
      <w:sz w:val="16"/>
    </w:rPr>
  </w:style>
  <w:style w:type="paragraph" w:customStyle="1" w:styleId="xl42">
    <w:name w:val="xl42"/>
    <w:basedOn w:val="Normln"/>
    <w:pPr>
      <w:spacing w:before="100" w:after="100"/>
    </w:pPr>
    <w:rPr>
      <w:rFonts w:ascii="Arial" w:hAnsi="Arial"/>
      <w:b/>
    </w:rPr>
  </w:style>
  <w:style w:type="paragraph" w:customStyle="1" w:styleId="BodyTextIndent3">
    <w:name w:val="Body Text Indent 3"/>
    <w:basedOn w:val="Normln"/>
    <w:pPr>
      <w:ind w:left="708" w:firstLine="708"/>
    </w:pPr>
  </w:style>
  <w:style w:type="paragraph" w:styleId="FormtovanvHTML">
    <w:name w:val="HTML Preformatted"/>
    <w:basedOn w:val="Normln"/>
    <w:rsid w:val="002E7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</w:rPr>
  </w:style>
  <w:style w:type="character" w:styleId="Hypertextovodkaz">
    <w:name w:val="Hyperlink"/>
    <w:rsid w:val="000D38BF"/>
    <w:rPr>
      <w:color w:val="0563C1"/>
      <w:u w:val="single"/>
    </w:rPr>
  </w:style>
  <w:style w:type="character" w:customStyle="1" w:styleId="ZhlavChar">
    <w:name w:val="Záhlaví Char"/>
    <w:link w:val="Zhlav"/>
    <w:uiPriority w:val="99"/>
    <w:rsid w:val="000D38BF"/>
  </w:style>
  <w:style w:type="character" w:customStyle="1" w:styleId="ZpatChar">
    <w:name w:val="Zápatí Char"/>
    <w:link w:val="Zpat"/>
    <w:uiPriority w:val="99"/>
    <w:rsid w:val="000D38BF"/>
    <w:rPr>
      <w:sz w:val="24"/>
    </w:rPr>
  </w:style>
  <w:style w:type="character" w:styleId="Odkaznakoment">
    <w:name w:val="annotation reference"/>
    <w:rsid w:val="00F902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02A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F902AF"/>
  </w:style>
  <w:style w:type="paragraph" w:styleId="Pedmtkomente">
    <w:name w:val="annotation subject"/>
    <w:basedOn w:val="Textkomente"/>
    <w:next w:val="Textkomente"/>
    <w:link w:val="PedmtkomenteChar"/>
    <w:rsid w:val="00F902AF"/>
    <w:rPr>
      <w:b/>
      <w:bCs/>
    </w:rPr>
  </w:style>
  <w:style w:type="character" w:customStyle="1" w:styleId="PedmtkomenteChar">
    <w:name w:val="Předmět komentáře Char"/>
    <w:link w:val="Pedmtkomente"/>
    <w:rsid w:val="00F902AF"/>
    <w:rPr>
      <w:b/>
      <w:bCs/>
    </w:rPr>
  </w:style>
  <w:style w:type="paragraph" w:styleId="Textbubliny">
    <w:name w:val="Balloon Text"/>
    <w:basedOn w:val="Normln"/>
    <w:link w:val="TextbublinyChar"/>
    <w:rsid w:val="00F90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902AF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D211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D2112"/>
    <w:rPr>
      <w:sz w:val="24"/>
    </w:rPr>
  </w:style>
  <w:style w:type="paragraph" w:styleId="Seznam2">
    <w:name w:val="List 2"/>
    <w:basedOn w:val="Normln"/>
    <w:rsid w:val="003D2112"/>
    <w:pPr>
      <w:overflowPunct/>
      <w:autoSpaceDE/>
      <w:autoSpaceDN/>
      <w:adjustRightInd/>
      <w:ind w:left="566" w:hanging="283"/>
      <w:textAlignment w:val="auto"/>
    </w:pPr>
    <w:rPr>
      <w:rFonts w:cs="Arial"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3D2112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1328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o firmě  Jiří  Jendryščík  - TechCom</vt:lpstr>
    </vt:vector>
  </TitlesOfParts>
  <Company>TechCom</Company>
  <LinksUpToDate>false</LinksUpToDate>
  <CharactersWithSpaces>9152</CharactersWithSpaces>
  <SharedDoc>false</SharedDoc>
  <HLinks>
    <vt:vector size="6" baseType="variant"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mailto:sekretariat@ctyrlistekostrava.cz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o firmě  Jiří  Jendryščík  - TechCom</dc:title>
  <dc:subject/>
  <dc:creator>Jiří Jendryščík</dc:creator>
  <cp:keywords/>
  <dc:description/>
  <cp:lastModifiedBy>Šatanová Šárka</cp:lastModifiedBy>
  <cp:revision>2</cp:revision>
  <cp:lastPrinted>2007-10-17T07:06:00Z</cp:lastPrinted>
  <dcterms:created xsi:type="dcterms:W3CDTF">2019-12-19T09:37:00Z</dcterms:created>
  <dcterms:modified xsi:type="dcterms:W3CDTF">2019-12-19T09:37:00Z</dcterms:modified>
</cp:coreProperties>
</file>