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91" w:rsidRDefault="001E094F">
      <w:pPr>
        <w:spacing w:after="0" w:line="259" w:lineRule="auto"/>
        <w:ind w:left="122" w:right="569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77724</wp:posOffset>
            </wp:positionH>
            <wp:positionV relativeFrom="paragraph">
              <wp:posOffset>-54089</wp:posOffset>
            </wp:positionV>
            <wp:extent cx="882396" cy="589531"/>
            <wp:effectExtent l="0" t="0" r="0" b="0"/>
            <wp:wrapSquare wrapText="bothSides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6" cy="58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3287268</wp:posOffset>
            </wp:positionH>
            <wp:positionV relativeFrom="paragraph">
              <wp:posOffset>-8389</wp:posOffset>
            </wp:positionV>
            <wp:extent cx="964692" cy="507271"/>
            <wp:effectExtent l="0" t="0" r="0" b="0"/>
            <wp:wrapSquare wrapText="bothSides"/>
            <wp:docPr id="2486" name="Picture 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" name="Picture 2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50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EVROPSKÁ UNIEMINISTERSTVO</w:t>
      </w:r>
    </w:p>
    <w:p w:rsidR="002A5691" w:rsidRDefault="001E094F">
      <w:pPr>
        <w:spacing w:after="0" w:line="216" w:lineRule="auto"/>
        <w:ind w:left="1418" w:right="972" w:firstLine="130"/>
      </w:pPr>
      <w:r>
        <w:rPr>
          <w:sz w:val="20"/>
        </w:rPr>
        <w:t>Evropský fond pro regionální rozvojPRO MÍSTNÍ Integrovaný regionální operační programROZVOJ ČR SMLOUVA O DÍLO Č. 1005 - MOU - NAB UCE</w:t>
      </w:r>
    </w:p>
    <w:p w:rsidR="002A5691" w:rsidRDefault="001E094F">
      <w:pPr>
        <w:spacing w:after="0" w:line="259" w:lineRule="auto"/>
        <w:ind w:left="0" w:right="360" w:firstLine="0"/>
        <w:jc w:val="center"/>
      </w:pPr>
      <w:r>
        <w:rPr>
          <w:sz w:val="30"/>
        </w:rPr>
        <w:t>1.</w:t>
      </w:r>
    </w:p>
    <w:p w:rsidR="002A5691" w:rsidRDefault="001E094F">
      <w:pPr>
        <w:spacing w:after="313" w:line="259" w:lineRule="auto"/>
        <w:ind w:left="269" w:right="605" w:hanging="10"/>
        <w:jc w:val="center"/>
      </w:pPr>
      <w:r>
        <w:rPr>
          <w:sz w:val="28"/>
        </w:rPr>
        <w:t>Smluvní strany</w:t>
      </w:r>
    </w:p>
    <w:p w:rsidR="002A5691" w:rsidRDefault="001E094F">
      <w:pPr>
        <w:numPr>
          <w:ilvl w:val="0"/>
          <w:numId w:val="1"/>
        </w:numPr>
        <w:spacing w:after="0" w:line="259" w:lineRule="auto"/>
        <w:ind w:hanging="389"/>
        <w:jc w:val="left"/>
      </w:pPr>
      <w:r>
        <w:rPr>
          <w:sz w:val="28"/>
        </w:rPr>
        <w:t>Školní statek, Opava, příspěvková organizace</w:t>
      </w:r>
    </w:p>
    <w:tbl>
      <w:tblPr>
        <w:tblStyle w:val="TableGrid"/>
        <w:tblW w:w="5616" w:type="dxa"/>
        <w:tblInd w:w="36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3535"/>
      </w:tblGrid>
      <w:tr w:rsidR="002A5691">
        <w:trPr>
          <w:trHeight w:val="25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7" w:firstLine="0"/>
              <w:jc w:val="left"/>
            </w:pPr>
            <w:r>
              <w:t>se sídlem: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Englišova 526/95, 746 01 Opava</w:t>
            </w:r>
          </w:p>
        </w:tc>
      </w:tr>
      <w:tr w:rsidR="002A5691">
        <w:trPr>
          <w:trHeight w:val="393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0" w:firstLine="0"/>
              <w:jc w:val="left"/>
            </w:pPr>
            <w:r>
              <w:t>zastoupen: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396" w:firstLine="0"/>
              <w:jc w:val="left"/>
            </w:pPr>
            <w:r>
              <w:t>Ing. Arnošt Klein, ředitel</w:t>
            </w:r>
          </w:p>
        </w:tc>
      </w:tr>
      <w:tr w:rsidR="002A5691">
        <w:trPr>
          <w:trHeight w:val="383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IČO: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691" w:rsidRDefault="001E094F">
            <w:pPr>
              <w:spacing w:after="0" w:line="259" w:lineRule="auto"/>
              <w:ind w:left="396" w:firstLine="0"/>
              <w:jc w:val="left"/>
            </w:pPr>
            <w:r>
              <w:t>00098752</w:t>
            </w:r>
          </w:p>
        </w:tc>
      </w:tr>
      <w:tr w:rsidR="002A5691">
        <w:trPr>
          <w:trHeight w:val="55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DIČ:</w:t>
            </w:r>
          </w:p>
          <w:p w:rsidR="002A5691" w:rsidRDefault="001E094F">
            <w:pPr>
              <w:spacing w:after="0" w:line="259" w:lineRule="auto"/>
              <w:ind w:left="7" w:firstLine="0"/>
              <w:jc w:val="left"/>
            </w:pPr>
            <w:r>
              <w:t>bankovní spojení: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389" w:firstLine="0"/>
              <w:jc w:val="left"/>
            </w:pPr>
            <w:r>
              <w:t>CZ700098752</w:t>
            </w:r>
          </w:p>
        </w:tc>
      </w:tr>
      <w:tr w:rsidR="002A5691">
        <w:trPr>
          <w:trHeight w:val="243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7" w:firstLine="0"/>
              <w:jc w:val="left"/>
            </w:pPr>
            <w:r>
              <w:t>číslo účtu: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2A5691" w:rsidRDefault="001E094F">
            <w:pPr>
              <w:spacing w:after="0" w:line="259" w:lineRule="auto"/>
              <w:ind w:left="410" w:firstLine="0"/>
              <w:jc w:val="left"/>
            </w:pPr>
            <w:r>
              <w:t>1493601/0300</w:t>
            </w:r>
          </w:p>
        </w:tc>
      </w:tr>
    </w:tbl>
    <w:p w:rsidR="002A5691" w:rsidRDefault="001E094F">
      <w:pPr>
        <w:spacing w:after="201"/>
        <w:ind w:left="7" w:right="28" w:firstLine="0"/>
      </w:pPr>
      <w:r>
        <w:t>Osoby oprávněné jednat ve věcech technických — předmětu smlouvy:</w:t>
      </w:r>
    </w:p>
    <w:p w:rsidR="002A5691" w:rsidRDefault="001E094F">
      <w:pPr>
        <w:spacing w:after="199"/>
        <w:ind w:left="7" w:right="28" w:firstLine="0"/>
      </w:pPr>
      <w:r>
        <w:t>Osoba oprávněná jednat ve věcech — předmětu smlouvy:</w:t>
      </w:r>
    </w:p>
    <w:p w:rsidR="002A5691" w:rsidRDefault="001E094F">
      <w:pPr>
        <w:spacing w:after="211"/>
        <w:ind w:left="14" w:right="28" w:firstLine="0"/>
      </w:pPr>
      <w:r>
        <w:t xml:space="preserve">Mgr. Jiří Zapletal, e-mail: </w:t>
      </w:r>
      <w:r>
        <w:rPr>
          <w:u w:val="single" w:color="000000"/>
        </w:rPr>
        <w:t>jiri.zapletal@zemedelka-opava.cz,</w:t>
      </w:r>
      <w:r>
        <w:t xml:space="preserve"> tel. 608222709</w:t>
      </w:r>
    </w:p>
    <w:p w:rsidR="002A5691" w:rsidRDefault="001E094F">
      <w:pPr>
        <w:spacing w:after="187"/>
        <w:ind w:left="7" w:right="28" w:firstLine="0"/>
      </w:pPr>
      <w:r>
        <w:t xml:space="preserve">Ing. Vladimír Chmelař, e-mail: </w:t>
      </w:r>
      <w:r>
        <w:rPr>
          <w:u w:val="single" w:color="000000"/>
        </w:rPr>
        <w:t>vladimir.chmelar@skstatek.cz,</w:t>
      </w:r>
      <w:r>
        <w:t xml:space="preserve"> tel. 776222353</w:t>
      </w:r>
    </w:p>
    <w:p w:rsidR="002A5691" w:rsidRDefault="001E094F">
      <w:pPr>
        <w:spacing w:after="36" w:line="330" w:lineRule="auto"/>
        <w:ind w:left="-8" w:right="7085" w:firstLine="4"/>
        <w:jc w:val="left"/>
      </w:pPr>
      <w:r>
        <w:t xml:space="preserve">(dá/ejen „objednatel”) </w:t>
      </w:r>
      <w:r>
        <w:t>a</w:t>
      </w:r>
    </w:p>
    <w:p w:rsidR="002A5691" w:rsidRDefault="001E094F">
      <w:pPr>
        <w:numPr>
          <w:ilvl w:val="0"/>
          <w:numId w:val="1"/>
        </w:numPr>
        <w:spacing w:after="0" w:line="259" w:lineRule="auto"/>
        <w:ind w:hanging="389"/>
        <w:jc w:val="left"/>
      </w:pPr>
      <w:r>
        <w:rPr>
          <w:sz w:val="28"/>
        </w:rPr>
        <w:t>Veto CAC, s.r.o.</w:t>
      </w:r>
    </w:p>
    <w:p w:rsidR="002A5691" w:rsidRDefault="001E094F">
      <w:pPr>
        <w:spacing w:after="143" w:line="236" w:lineRule="auto"/>
        <w:ind w:left="360" w:right="1879" w:firstLine="0"/>
        <w:jc w:val="left"/>
      </w:pPr>
      <w:r>
        <w:t>se sídlem:</w:t>
      </w:r>
      <w:r>
        <w:tab/>
        <w:t>Příborská 1585, Místek, 738 01 Frýdek-Místek zastoupena:</w:t>
      </w:r>
      <w:r>
        <w:tab/>
        <w:t xml:space="preserve">RNDr. Petrem Cokou, prokura </w:t>
      </w:r>
      <w:r>
        <w:t>IČO:</w:t>
      </w:r>
      <w:r>
        <w:tab/>
        <w:t xml:space="preserve">64084736 </w:t>
      </w:r>
      <w:r>
        <w:t>DIČ:</w:t>
      </w:r>
      <w:r>
        <w:tab/>
        <w:t>cz64084736 bankovní spojení:</w:t>
      </w:r>
      <w:r>
        <w:tab/>
        <w:t>ČSOB a.s. číslo účtu:</w:t>
      </w:r>
      <w:r>
        <w:tab/>
      </w:r>
      <w:r>
        <w:t>173277702/0300</w:t>
      </w:r>
    </w:p>
    <w:p w:rsidR="002A5691" w:rsidRDefault="001E094F">
      <w:pPr>
        <w:spacing w:after="0" w:line="259" w:lineRule="auto"/>
        <w:ind w:left="0" w:right="360" w:firstLine="0"/>
        <w:jc w:val="right"/>
      </w:pPr>
      <w:r>
        <w:t>Zapsána v obchodním rejstříku vedeném Krajským soudem v Ostravě, oddíl C, v</w:t>
      </w:r>
      <w:r>
        <w:t>ložka</w:t>
      </w:r>
    </w:p>
    <w:p w:rsidR="002A5691" w:rsidRDefault="001E094F">
      <w:pPr>
        <w:spacing w:after="122"/>
        <w:ind w:left="360" w:right="28" w:firstLine="0"/>
      </w:pPr>
      <w:r>
        <w:t>C8630</w:t>
      </w:r>
    </w:p>
    <w:p w:rsidR="002A5691" w:rsidRDefault="001E094F">
      <w:pPr>
        <w:spacing w:after="611" w:line="330" w:lineRule="auto"/>
        <w:ind w:left="374" w:firstLine="4"/>
        <w:jc w:val="left"/>
      </w:pPr>
      <w:r>
        <w:t>(dá/ejen „zhotovitel”)</w:t>
      </w:r>
    </w:p>
    <w:p w:rsidR="002A5691" w:rsidRDefault="001E094F">
      <w:pPr>
        <w:spacing w:after="0" w:line="259" w:lineRule="auto"/>
        <w:ind w:left="248" w:right="619" w:hanging="10"/>
        <w:jc w:val="center"/>
      </w:pPr>
      <w:r>
        <w:t>11.</w:t>
      </w:r>
    </w:p>
    <w:p w:rsidR="002A5691" w:rsidRDefault="001E094F">
      <w:pPr>
        <w:spacing w:after="63" w:line="259" w:lineRule="auto"/>
        <w:ind w:left="269" w:right="626" w:hanging="10"/>
        <w:jc w:val="center"/>
      </w:pPr>
      <w:r>
        <w:rPr>
          <w:sz w:val="28"/>
        </w:rPr>
        <w:t>Základní ustanovení</w:t>
      </w:r>
    </w:p>
    <w:p w:rsidR="002A5691" w:rsidRDefault="001E094F">
      <w:pPr>
        <w:numPr>
          <w:ilvl w:val="0"/>
          <w:numId w:val="2"/>
        </w:numPr>
        <w:spacing w:after="104"/>
        <w:ind w:right="28" w:hanging="353"/>
      </w:pPr>
      <w:r>
        <w:t>Tato smlouva je uzavřena dle S 2586 a násl. zákona č. 89/2012 Sb., občanský zákoník, ve znění pozdějších předpisů (dále jen „občanský zákoník"); práva a povinnosti stran touto smlouvou neupravená s</w:t>
      </w:r>
      <w:r>
        <w:t>e řídí příslušnými ustanoveními občanského zákoníku.</w:t>
      </w:r>
    </w:p>
    <w:p w:rsidR="002A5691" w:rsidRDefault="001E094F">
      <w:pPr>
        <w:numPr>
          <w:ilvl w:val="0"/>
          <w:numId w:val="2"/>
        </w:numPr>
        <w:ind w:right="28" w:hanging="353"/>
      </w:pPr>
      <w:r>
        <w:t>Smluvní strany prohlašují, že údaje uvedené v čl. I této smlouvy jsou v souladu se skutečností v době uzavření smlouvy. Smluvní strany se zavazují, že změny dotčených údajů oznámí bez prodlení písemně dr</w:t>
      </w:r>
      <w:r>
        <w:t>uhé smluvní straně. Při změně identifikačních údajů smluvních stran včetně změny účtu není nutné uzavírat ke smlouvě dodatek.</w:t>
      </w:r>
    </w:p>
    <w:p w:rsidR="002A5691" w:rsidRDefault="001E094F">
      <w:pPr>
        <w:numPr>
          <w:ilvl w:val="0"/>
          <w:numId w:val="2"/>
        </w:numPr>
        <w:spacing w:after="183"/>
        <w:ind w:right="28" w:hanging="353"/>
      </w:pPr>
      <w:r>
        <w:t>Je-li zhotovitel plátcem DPH, prohlašuje, že bankovní účet uvedený v čl. I odst. 2 této smlouvy je bankovním účtem zveřejněným ve smyslu zákona č. 235/2004 Sb., o dani z přidané hodnoty, ve znění pozdějších předpisů (dále jen „zákon o DPH”). V případě změn</w:t>
      </w:r>
      <w:r>
        <w:t>y účtu zhotovitele je zhotovitel povinen doložit vlastnictví k novému účtu, a to kopií příslušné smlouvy nebo potvrzením peněžního ústavu; je-li zhotovitel plátcem DPH, musí být nový účet zveřejněným účtem ve smyslu předchozí věty.</w:t>
      </w:r>
    </w:p>
    <w:p w:rsidR="002A5691" w:rsidRDefault="001E094F">
      <w:pPr>
        <w:numPr>
          <w:ilvl w:val="0"/>
          <w:numId w:val="2"/>
        </w:numPr>
        <w:spacing w:after="190"/>
        <w:ind w:right="28" w:hanging="353"/>
      </w:pPr>
      <w:r>
        <w:lastRenderedPageBreak/>
        <w:t>Smluvní strany prohlašuj</w:t>
      </w:r>
      <w:r>
        <w:t>í, že osoby podepisující tuto smlouvu jsou k tomuto jednání oprávněny.</w:t>
      </w:r>
    </w:p>
    <w:p w:rsidR="002A5691" w:rsidRDefault="001E094F">
      <w:pPr>
        <w:numPr>
          <w:ilvl w:val="0"/>
          <w:numId w:val="2"/>
        </w:numPr>
        <w:spacing w:after="207"/>
        <w:ind w:right="28" w:hanging="353"/>
      </w:pPr>
      <w:r>
        <w:t>Zhotovitel prohlašuje, že je odborně způsobilý k zajištění předmětu plnění podle této smlouvy.</w:t>
      </w:r>
    </w:p>
    <w:p w:rsidR="002A5691" w:rsidRDefault="001E094F">
      <w:pPr>
        <w:numPr>
          <w:ilvl w:val="0"/>
          <w:numId w:val="2"/>
        </w:numPr>
        <w:spacing w:after="124"/>
        <w:ind w:right="28" w:hanging="353"/>
      </w:pPr>
      <w:r>
        <w:t xml:space="preserve">Zhotovitel potvrzuje, že si prostudoval a detailně se seznámil se zadávacími podmínkami a </w:t>
      </w:r>
      <w:r>
        <w:t>jsou mu známy veškeré technické, kvalitativní a jiné podmínky nezbytné k realizaci díla a že disponuje takovými kapacitami a odbornými znalostmi, které jsou nezbytné k realizaci díla za dohodnutou smluvní cenu uvedenou v článku IV odst. 1 této smlouvy.</w:t>
      </w:r>
    </w:p>
    <w:p w:rsidR="002A5691" w:rsidRDefault="001E094F">
      <w:pPr>
        <w:numPr>
          <w:ilvl w:val="0"/>
          <w:numId w:val="2"/>
        </w:numPr>
        <w:spacing w:after="338"/>
        <w:ind w:right="28" w:hanging="353"/>
      </w:pPr>
      <w:r>
        <w:t>Zhotovitel prohlašuje, že není obchodní společností, ve které veřejný funkcionář uvedený v S 2 odst. 1 písm. c) zákona č. 159/2006 Sb., o střetu zájmů, ve znění pozdějších předpisů (člen vlády nebo vedoucí jiného ústředního správního úřadu, v jehož čele ne</w:t>
      </w:r>
      <w:r>
        <w:t>ní člen vlády), nebo jím ovládaná osoba vlastní podíl představující alespoň 25% účast společníka v obchodní společnosti. Zhotovitel bere na vědomí, že pokud je uvedené prohlášení nepravdivé, bude smlouva považována za neplatnou.</w:t>
      </w:r>
    </w:p>
    <w:p w:rsidR="002A5691" w:rsidRDefault="001E094F">
      <w:pPr>
        <w:spacing w:after="0" w:line="259" w:lineRule="auto"/>
        <w:ind w:left="248" w:hanging="10"/>
        <w:jc w:val="center"/>
      </w:pPr>
      <w:r>
        <w:t>111.</w:t>
      </w:r>
    </w:p>
    <w:p w:rsidR="002A5691" w:rsidRDefault="001E094F">
      <w:pPr>
        <w:spacing w:after="72" w:line="259" w:lineRule="auto"/>
        <w:ind w:left="269" w:hanging="10"/>
        <w:jc w:val="center"/>
      </w:pPr>
      <w:r>
        <w:rPr>
          <w:sz w:val="28"/>
        </w:rPr>
        <w:t>Předmět smlouvy</w:t>
      </w:r>
    </w:p>
    <w:p w:rsidR="002A5691" w:rsidRDefault="001E094F">
      <w:pPr>
        <w:numPr>
          <w:ilvl w:val="0"/>
          <w:numId w:val="3"/>
        </w:numPr>
        <w:spacing w:after="159"/>
        <w:ind w:left="655" w:right="28"/>
      </w:pPr>
      <w:r>
        <w:t>Zhotov</w:t>
      </w:r>
      <w:r>
        <w:t xml:space="preserve">itel se zavazuje provést na svůj náklad a nebezpečí pro objednatele dílo spočívající ve výrobě, dodávce, instalaci a montáži nábytku včetně elektroinstalace, aby učebny tvořily funkční celek (dále jen „dílo”). Bližší specifikace díla je přílohou č. 1 této </w:t>
      </w:r>
      <w:r>
        <w:t>smlouvy.</w:t>
      </w:r>
    </w:p>
    <w:p w:rsidR="002A5691" w:rsidRDefault="001E094F">
      <w:pPr>
        <w:numPr>
          <w:ilvl w:val="0"/>
          <w:numId w:val="3"/>
        </w:numPr>
        <w:spacing w:after="133"/>
        <w:ind w:left="655" w:right="28"/>
      </w:pPr>
      <w:r>
        <w:t>Objednatel se zavazuje provedené dílo bez vad a nedodělků převzít a zaplatit za ně zhotoviteli cenu podle čl. IV této smlouvy.</w:t>
      </w:r>
    </w:p>
    <w:p w:rsidR="002A5691" w:rsidRDefault="001E094F">
      <w:pPr>
        <w:numPr>
          <w:ilvl w:val="0"/>
          <w:numId w:val="3"/>
        </w:numPr>
        <w:spacing w:after="188"/>
        <w:ind w:left="655" w:right="28"/>
      </w:pPr>
      <w:r>
        <w:t>Účelem této smlouvy je dodávka nábytku pro učebny ve Školním statku, Opava, příspěvkové organizaci zřizované Moravskosle</w:t>
      </w:r>
      <w:r>
        <w:t>zským krajem v rámci realizace projektu „Modernizace odborných učeben ve Školním statku Opava", registrační číslo projektu: CZ.06.2.67/O.0/O.0/16_066/0010581.</w:t>
      </w:r>
    </w:p>
    <w:p w:rsidR="002A5691" w:rsidRDefault="001E094F">
      <w:pPr>
        <w:numPr>
          <w:ilvl w:val="0"/>
          <w:numId w:val="3"/>
        </w:numPr>
        <w:spacing w:after="293"/>
        <w:ind w:left="655" w:right="28"/>
      </w:pPr>
      <w:r>
        <w:t>Projekt je spolufinancován ze strukturálních fondů Evropské unie z Integrovaného regionálního operačního programu v rámci výzvy č. 66 (prioritní osa 2 Zkvalitnění veřejných služeb a podmínek života pro obyvatele regionů, specifický cíl Zvýšení kvality a do</w:t>
      </w:r>
      <w:r>
        <w:t>stupnosti infrastruktury pro vzdělávání a celoživotní učení). Zhotovitel bere na vědomí, že předmětem této smlouvy jsou aktivity a výstupy, které budou tvořit součást projektu spolufinancovaného Evropskou unií v rámci IROP.</w:t>
      </w:r>
    </w:p>
    <w:p w:rsidR="002A5691" w:rsidRDefault="001E094F">
      <w:pPr>
        <w:spacing w:after="0" w:line="259" w:lineRule="auto"/>
        <w:ind w:left="168" w:hanging="10"/>
        <w:jc w:val="center"/>
      </w:pPr>
      <w:r>
        <w:rPr>
          <w:sz w:val="36"/>
        </w:rPr>
        <w:t>IV.</w:t>
      </w:r>
    </w:p>
    <w:p w:rsidR="002A5691" w:rsidRDefault="001E094F">
      <w:pPr>
        <w:spacing w:after="1" w:line="259" w:lineRule="auto"/>
        <w:ind w:left="269" w:right="101" w:hanging="10"/>
        <w:jc w:val="center"/>
      </w:pPr>
      <w:r>
        <w:rPr>
          <w:sz w:val="28"/>
        </w:rPr>
        <w:t>Cena za dílo</w:t>
      </w:r>
    </w:p>
    <w:p w:rsidR="002A5691" w:rsidRDefault="001E094F">
      <w:pPr>
        <w:numPr>
          <w:ilvl w:val="0"/>
          <w:numId w:val="4"/>
        </w:numPr>
        <w:spacing w:after="270" w:line="259" w:lineRule="auto"/>
        <w:ind w:right="317" w:hanging="353"/>
      </w:pPr>
      <w:r>
        <w:rPr>
          <w:sz w:val="26"/>
        </w:rPr>
        <w:t>Cena za dílo či</w:t>
      </w:r>
      <w:r>
        <w:rPr>
          <w:sz w:val="26"/>
        </w:rPr>
        <w:t>ní:</w:t>
      </w:r>
    </w:p>
    <w:tbl>
      <w:tblPr>
        <w:tblStyle w:val="TableGrid"/>
        <w:tblW w:w="7042" w:type="dxa"/>
        <w:tblInd w:w="1253" w:type="dxa"/>
        <w:tblCellMar>
          <w:top w:w="0" w:type="dxa"/>
          <w:left w:w="1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831"/>
        <w:gridCol w:w="2210"/>
      </w:tblGrid>
      <w:tr w:rsidR="002A5691">
        <w:trPr>
          <w:trHeight w:val="604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60220" cy="402160"/>
                  <wp:effectExtent l="0" t="0" r="0" b="0"/>
                  <wp:docPr id="83812" name="Picture 8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2" name="Picture 838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40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718 664,-- Kč</w:t>
            </w:r>
          </w:p>
        </w:tc>
      </w:tr>
    </w:tbl>
    <w:p w:rsidR="002A5691" w:rsidRDefault="001E094F">
      <w:pPr>
        <w:spacing w:after="529" w:line="259" w:lineRule="auto"/>
        <w:ind w:left="1030" w:firstLine="0"/>
        <w:jc w:val="left"/>
      </w:pPr>
      <w:r>
        <w:rPr>
          <w:noProof/>
        </w:rPr>
        <w:drawing>
          <wp:inline distT="0" distB="0" distL="0" distR="0">
            <wp:extent cx="4485132" cy="900291"/>
            <wp:effectExtent l="0" t="0" r="0" b="0"/>
            <wp:docPr id="83814" name="Picture 8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4" name="Picture 838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5132" cy="90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91" w:rsidRDefault="001E094F">
      <w:pPr>
        <w:spacing w:after="208"/>
        <w:ind w:left="1555" w:right="28" w:firstLine="0"/>
      </w:pPr>
      <w:r>
        <w:t>(slovy: osmsetšedesátdevěttisícpětsetosmdesáttři korun českých).</w:t>
      </w:r>
    </w:p>
    <w:p w:rsidR="002A5691" w:rsidRDefault="001E094F">
      <w:pPr>
        <w:spacing w:after="154"/>
        <w:ind w:left="439" w:right="28" w:firstLine="0"/>
      </w:pPr>
      <w:r>
        <w:t>Podrobná specifikace a rozpis ceny za dílo je přílohou č. 1 této smlouvy.</w:t>
      </w:r>
    </w:p>
    <w:p w:rsidR="002A5691" w:rsidRDefault="001E094F">
      <w:pPr>
        <w:numPr>
          <w:ilvl w:val="0"/>
          <w:numId w:val="4"/>
        </w:numPr>
        <w:spacing w:after="65"/>
        <w:ind w:right="317" w:hanging="353"/>
      </w:pPr>
      <w:r>
        <w:t>Cena za dílo podle odst. 1 tohoto článku smlouvy zahrnuje veškeré náklady zhotovitele spojené se splněním jeho závazku z této smlouvy, tj. cenu díla včetně dopravného, práce technika, instalace a montáže apod. Cena za dílo je stanovena jako nejvýše přípust</w:t>
      </w:r>
      <w:r>
        <w:t>ná a není ji možno překročit.</w:t>
      </w:r>
    </w:p>
    <w:p w:rsidR="002A5691" w:rsidRDefault="001E094F">
      <w:pPr>
        <w:numPr>
          <w:ilvl w:val="0"/>
          <w:numId w:val="4"/>
        </w:numPr>
        <w:spacing w:after="521"/>
        <w:ind w:right="317" w:hanging="353"/>
      </w:pPr>
      <w:r>
        <w:t>Je-li zhotovitel plátcem DPH, odpovídá za to, že sazba daně z přidané hodnoty bude stanovena v souladu s platnými právními předpisy; v případě, že dojde ke změně zákonné sazby DPH, je zhotovitel k ceně díla bez DPH povinen účt</w:t>
      </w:r>
      <w:r>
        <w:t xml:space="preserve">ovat DPH v platné výši. Smluvní strany se dohodly, že v případě změny ceny díla v důsledku změny sazby DPH není nutno ke smlouvě uzavírat dodatek. V případě, že zhotovitel stanoví sazbu DPH či DPH v rozporu s platnými právními předpisy, je povinen uhradit </w:t>
      </w:r>
      <w:r>
        <w:t>objednateli veškerou škodu, která mu v souvislosti s tím vznikla.</w:t>
      </w:r>
    </w:p>
    <w:p w:rsidR="002A5691" w:rsidRDefault="001E094F">
      <w:pPr>
        <w:spacing w:after="1" w:line="259" w:lineRule="auto"/>
        <w:ind w:left="269" w:right="526" w:hanging="10"/>
        <w:jc w:val="center"/>
      </w:pPr>
      <w:r>
        <w:rPr>
          <w:sz w:val="28"/>
        </w:rPr>
        <w:t>Místo a doba plnění</w:t>
      </w:r>
    </w:p>
    <w:p w:rsidR="002A5691" w:rsidRDefault="001E094F">
      <w:pPr>
        <w:numPr>
          <w:ilvl w:val="0"/>
          <w:numId w:val="5"/>
        </w:numPr>
        <w:spacing w:after="121"/>
        <w:ind w:right="28" w:hanging="439"/>
      </w:pPr>
      <w:r>
        <w:t>Zhotovitel je povinen provést a předat objednateli dilo v místě plnění — Školní statek, Opava, příspěvková organizace, Opava, Englišova 526/95.</w:t>
      </w:r>
    </w:p>
    <w:p w:rsidR="002A5691" w:rsidRDefault="001E094F">
      <w:pPr>
        <w:numPr>
          <w:ilvl w:val="0"/>
          <w:numId w:val="5"/>
        </w:numPr>
        <w:spacing w:after="99"/>
        <w:ind w:right="28" w:hanging="43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310896</wp:posOffset>
            </wp:positionH>
            <wp:positionV relativeFrom="page">
              <wp:posOffset>164520</wp:posOffset>
            </wp:positionV>
            <wp:extent cx="484632" cy="1183631"/>
            <wp:effectExtent l="0" t="0" r="0" b="0"/>
            <wp:wrapTopAndBottom/>
            <wp:docPr id="8367" name="Picture 8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" name="Picture 83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118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je povinen provést dílo do 19. 6. 2020.</w:t>
      </w:r>
    </w:p>
    <w:p w:rsidR="002A5691" w:rsidRDefault="001E094F">
      <w:pPr>
        <w:numPr>
          <w:ilvl w:val="0"/>
          <w:numId w:val="5"/>
        </w:numPr>
        <w:spacing w:after="67"/>
        <w:ind w:right="28" w:hanging="439"/>
      </w:pPr>
      <w:r>
        <w:t>Dílo je provedeno, je-li dokončeno a předáno objednateli. Smluvní strany se dohodly, že objednatel není povinen dílo převzít, pokud toto vykazuje vady či nedodělky.</w:t>
      </w:r>
    </w:p>
    <w:p w:rsidR="002A5691" w:rsidRDefault="001E094F">
      <w:pPr>
        <w:numPr>
          <w:ilvl w:val="0"/>
          <w:numId w:val="5"/>
        </w:numPr>
        <w:spacing w:after="329"/>
        <w:ind w:right="28" w:hanging="439"/>
      </w:pPr>
      <w:r>
        <w:t>Případná změna místa plnění oznámená obj</w:t>
      </w:r>
      <w:r>
        <w:t>ednatelem, nemá vliv na cenu za dílo a není nutné uzavírat ke smlouvě dodatek.</w:t>
      </w:r>
    </w:p>
    <w:p w:rsidR="002A5691" w:rsidRDefault="001E094F">
      <w:pPr>
        <w:spacing w:after="0" w:line="259" w:lineRule="auto"/>
        <w:ind w:left="0" w:right="295" w:firstLine="0"/>
        <w:jc w:val="center"/>
      </w:pPr>
      <w:r>
        <w:rPr>
          <w:sz w:val="34"/>
        </w:rPr>
        <w:t>Vl.</w:t>
      </w:r>
    </w:p>
    <w:p w:rsidR="002A5691" w:rsidRDefault="001E094F">
      <w:pPr>
        <w:spacing w:after="1" w:line="259" w:lineRule="auto"/>
        <w:ind w:left="269" w:right="540" w:hanging="10"/>
        <w:jc w:val="center"/>
      </w:pPr>
      <w:r>
        <w:rPr>
          <w:sz w:val="28"/>
        </w:rPr>
        <w:t>Práva a povinnosti smluvních stran</w:t>
      </w:r>
    </w:p>
    <w:p w:rsidR="002A5691" w:rsidRDefault="001E094F">
      <w:pPr>
        <w:numPr>
          <w:ilvl w:val="0"/>
          <w:numId w:val="6"/>
        </w:numPr>
        <w:spacing w:after="80"/>
        <w:ind w:right="28" w:hanging="360"/>
      </w:pPr>
      <w:r>
        <w:t>Není-li stanoveno touto smlouvou výslovně jinak, řídí se vzájemná práva a povinnosti smluvních stran ustanoveními S 2586 a následujícími o</w:t>
      </w:r>
      <w:r>
        <w:t>bčanského zákoníku.</w:t>
      </w:r>
    </w:p>
    <w:p w:rsidR="002A5691" w:rsidRDefault="001E094F">
      <w:pPr>
        <w:numPr>
          <w:ilvl w:val="0"/>
          <w:numId w:val="6"/>
        </w:numPr>
        <w:ind w:right="28" w:hanging="360"/>
      </w:pPr>
      <w:r>
        <w:t>Zhotovitel je zejména povinen:</w:t>
      </w:r>
    </w:p>
    <w:p w:rsidR="002A5691" w:rsidRDefault="001E094F">
      <w:pPr>
        <w:numPr>
          <w:ilvl w:val="1"/>
          <w:numId w:val="6"/>
        </w:numPr>
        <w:spacing w:after="6"/>
        <w:ind w:left="795" w:right="281"/>
      </w:pPr>
      <w:r>
        <w:t>Provést dílo řádně a včas za použití materiálu a postupů odpovídajících právním předpisům a technickým normám ČR. Smluvní strany se dohodly na I. jakosti díla. Dílo musí odpovídat příslušným právním předpi</w:t>
      </w:r>
      <w:r>
        <w:t>sům, normám nebo jiné dokumentaci vztahující se k provedení dila a umožňovat užívání, k němuž bylo určeno a zhotoveno.</w:t>
      </w:r>
    </w:p>
    <w:p w:rsidR="002A5691" w:rsidRDefault="001E094F">
      <w:pPr>
        <w:numPr>
          <w:ilvl w:val="1"/>
          <w:numId w:val="6"/>
        </w:numPr>
        <w:ind w:left="795" w:right="281"/>
      </w:pPr>
      <w:r>
        <w:t>Řídit se při provádění díla pokyny objednatele.</w:t>
      </w:r>
    </w:p>
    <w:p w:rsidR="002A5691" w:rsidRDefault="001E094F">
      <w:pPr>
        <w:numPr>
          <w:ilvl w:val="1"/>
          <w:numId w:val="6"/>
        </w:numPr>
        <w:ind w:left="795" w:right="281"/>
      </w:pPr>
      <w:r>
        <w:t>Umožnit objednateli kontrolu provádění Cilla. Pokud objednatel zjistí, že zhotovitel neprovádí dílo řádně či jinak porušuje svou povinnost, poskytne zhotoviteli lhůtu k nápravě; neučiní-li tak zhotovitel ve stanovené lhůtě, je objednatel oprávněn od smlouv</w:t>
      </w:r>
      <w:r>
        <w:t>y odstoupit.</w:t>
      </w:r>
    </w:p>
    <w:p w:rsidR="002A5691" w:rsidRDefault="001E094F">
      <w:pPr>
        <w:numPr>
          <w:ilvl w:val="1"/>
          <w:numId w:val="6"/>
        </w:numPr>
        <w:ind w:left="795" w:right="281"/>
      </w:pPr>
      <w:r>
        <w:t>Odstranit zjištěné vady a nedodělky na své náklady.</w:t>
      </w:r>
    </w:p>
    <w:p w:rsidR="002A5691" w:rsidRDefault="001E094F">
      <w:pPr>
        <w:numPr>
          <w:ilvl w:val="1"/>
          <w:numId w:val="6"/>
        </w:numPr>
        <w:spacing w:after="77"/>
        <w:ind w:left="795" w:right="281"/>
      </w:pPr>
      <w:r>
        <w:t>Dbát při provádění díla dle této smlouvy na ochranu životního prostředí a dodržovat platné technické, bezpečnostní, zdravotní, hygienické a jiné předpisy, včetně předpisů týkajících se ochran</w:t>
      </w:r>
      <w:r>
        <w:t>y životního prostředí.</w:t>
      </w:r>
    </w:p>
    <w:p w:rsidR="002A5691" w:rsidRDefault="001E094F">
      <w:pPr>
        <w:numPr>
          <w:ilvl w:val="1"/>
          <w:numId w:val="6"/>
        </w:numPr>
        <w:ind w:left="795" w:right="281"/>
      </w:pPr>
      <w:r>
        <w:t>Dohodnout s objednatelem termín dodávky, instalace, montáže a souvisejících prací. Konkrétní den a hodinu, kdy bude zahájena realizace díla v místě plnění dle čl. V odst. 1 této smlouvy, je zhotovitel povinen objednateli sdělit písem</w:t>
      </w:r>
      <w:r>
        <w:t>ně (za písemnou formu je v tomto případě považováno i sdělení prostřednictvím datové schránky nebo e-mailem na kontaktní email — bude doplněno před podpisem smlouvy) minimálně 5 kalendářních dnů předem.</w:t>
      </w:r>
    </w:p>
    <w:p w:rsidR="002A5691" w:rsidRDefault="001E094F">
      <w:pPr>
        <w:numPr>
          <w:ilvl w:val="1"/>
          <w:numId w:val="6"/>
        </w:numPr>
        <w:spacing w:after="82"/>
        <w:ind w:left="795" w:right="281"/>
      </w:pPr>
      <w:r>
        <w:t>Dohodnout se předem, tj. před započetím instalace a m</w:t>
      </w:r>
      <w:r>
        <w:t>ontáže, s objednatelem na umístění dodaného nábytku a IT a umístit jej dle jeho pokynů. Zhotovitel je povinen předem zaměřit umístění nábytku v místě dodání (instalace). Případná drobná odchylka rozměrů od specifikace dle skutečného zaměření odsouhlaseného</w:t>
      </w:r>
      <w:r>
        <w:t xml:space="preserve"> objednatelem nemá vliv na cenu za dílo a není potřeba uzavírat dodatek k této smlouvě (jedná se o položky, kde je podle přilohy č. 1 stanovená možná tolerance rozměrů). O zaměření bude zpracován detailní zápis s uvedením umístění a rozměrů nábytku, který </w:t>
      </w:r>
      <w:r>
        <w:t>je předmětem zaměření (tzn. těch položek, u kterých je zaměření nezbytné). Bez předchozí dohody s objednatelem a bez zaměření umístění nábytku je objednatel oprávněn odmítnout převzetí díla.</w:t>
      </w:r>
    </w:p>
    <w:p w:rsidR="002A5691" w:rsidRDefault="001E094F">
      <w:pPr>
        <w:numPr>
          <w:ilvl w:val="1"/>
          <w:numId w:val="6"/>
        </w:numPr>
        <w:spacing w:after="129"/>
        <w:ind w:left="795" w:right="28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493776</wp:posOffset>
            </wp:positionH>
            <wp:positionV relativeFrom="page">
              <wp:posOffset>859161</wp:posOffset>
            </wp:positionV>
            <wp:extent cx="9144" cy="13710"/>
            <wp:effectExtent l="0" t="0" r="0" b="0"/>
            <wp:wrapSquare wrapText="bothSides"/>
            <wp:docPr id="11622" name="Picture 1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" name="Picture 116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493776</wp:posOffset>
            </wp:positionH>
            <wp:positionV relativeFrom="page">
              <wp:posOffset>895721</wp:posOffset>
            </wp:positionV>
            <wp:extent cx="18288" cy="50270"/>
            <wp:effectExtent l="0" t="0" r="0" b="0"/>
            <wp:wrapSquare wrapText="bothSides"/>
            <wp:docPr id="11623" name="Picture 1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" name="Picture 116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932281</wp:posOffset>
            </wp:positionV>
            <wp:extent cx="9144" cy="13710"/>
            <wp:effectExtent l="0" t="0" r="0" b="0"/>
            <wp:wrapSquare wrapText="bothSides"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968841</wp:posOffset>
            </wp:positionV>
            <wp:extent cx="4572" cy="9140"/>
            <wp:effectExtent l="0" t="0" r="0" b="0"/>
            <wp:wrapSquare wrapText="bothSides"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případech, kdy není barevnost provedení v příloze č. 1 této</w:t>
      </w:r>
      <w:r>
        <w:t xml:space="preserve"> smlouvy určena, projednat s objednatelem před dodáním nábytku návrh jeho možného barevného provedení dle požadavků definovaných v příloze č. 1 této smlouvy (ve stejné cenové kategorii - za nabízenou cenu dle čl. IV odst. 1 této smlouvy) a nechat si tento </w:t>
      </w:r>
      <w:r>
        <w:t>návrh objednatelem odsouhlasit. Bez předchozího odsouhlasení návrhu barevného provedení nábytku objednatelem není objednatel povinen dílo převzít.</w:t>
      </w:r>
    </w:p>
    <w:p w:rsidR="002A5691" w:rsidRDefault="001E094F">
      <w:pPr>
        <w:numPr>
          <w:ilvl w:val="1"/>
          <w:numId w:val="6"/>
        </w:numPr>
        <w:spacing w:after="69"/>
        <w:ind w:left="795" w:right="281"/>
      </w:pPr>
      <w:r>
        <w:t>V případě znečištění prostor instalace a montáže nábytku a IT, včetně rozvodů provádět průběžně úklid a prost</w:t>
      </w:r>
      <w:r>
        <w:t>ory uvést vždy do původního stavu.</w:t>
      </w:r>
    </w:p>
    <w:p w:rsidR="002A5691" w:rsidRDefault="001E094F">
      <w:pPr>
        <w:numPr>
          <w:ilvl w:val="1"/>
          <w:numId w:val="6"/>
        </w:numPr>
        <w:ind w:left="795" w:right="281"/>
      </w:pPr>
      <w:r>
        <w:t>Vytvořit zaměstnancům nebo zmocněncům poskytovatele dotace, Ministerstvu pro místní rozvoj, Ministerstvu financí, auditnímu orgánu či pověřenému auditnímu subjektu, Evropské komisi, Evropskému účetnímu dvoru, Nejvyššímu k</w:t>
      </w:r>
      <w:r>
        <w:t xml:space="preserve">ontrolnímu úřadu a dalším oprávněným orgánům státní správy podmínky k provedení kontroly vztahující se k realizaci projektu, poskytnout veškeré doklady vážící se k realizaci projektu, umožnit průběžné ověřování souladu údajů o realizaci projektu uváděných </w:t>
      </w:r>
      <w:r>
        <w:t>ve zprávách o realizaci projektu se skutečným stavem v místě jeho realizace a poskytnout součinnost všem osobám oprávněným k provádění kontroly, umožnit vstup na pozemky dotčené projektem a jeho realizací.</w:t>
      </w:r>
    </w:p>
    <w:p w:rsidR="002A5691" w:rsidRDefault="001E094F">
      <w:pPr>
        <w:ind w:left="709" w:right="281"/>
      </w:pPr>
      <w:r>
        <w:t xml:space="preserve">k). Řádně uchovávat veškerou dokumentaci a účetní </w:t>
      </w:r>
      <w:r>
        <w:t>doklady, související s realizací projektu, minimálně do konce roku 2028. Pokud je v českých právních předpisech stanovena lhůta delší než v evropských předpisech, musí být použita pro úschovu delší lhůta.</w:t>
      </w:r>
    </w:p>
    <w:p w:rsidR="002A5691" w:rsidRDefault="001E094F">
      <w:pPr>
        <w:spacing w:after="124"/>
        <w:ind w:left="709" w:right="281"/>
      </w:pPr>
      <w:r>
        <w:t>l) Minimálně do konce roku 2028 poskytovat informac</w:t>
      </w:r>
      <w:r>
        <w:t>e a dokumentaci vztahující se k projektu zaměstnancům nebo zmocněncům pověřených orgánů (CRR, Ministerstva pro místní rozvoj ČR, Ministerstva financí ČR, Evropské komise, Evropského účetního dvora, Nejvyššího kontrolního úřadu, Auditního orgánu, Platebního</w:t>
      </w:r>
      <w:r>
        <w:t xml:space="preserve"> a certifikačního orgánu, příslušného orgánu finanční správy a dalších oprávněných orgánů státní správy) a zároveň je povinen vytvořit podmínky k provedení kontroly a poskytnout při provádění kontroly součinnost.</w:t>
      </w:r>
    </w:p>
    <w:p w:rsidR="002A5691" w:rsidRDefault="001E094F">
      <w:pPr>
        <w:numPr>
          <w:ilvl w:val="0"/>
          <w:numId w:val="6"/>
        </w:numPr>
        <w:ind w:right="28" w:hanging="360"/>
      </w:pPr>
      <w:r>
        <w:t>Objednatel je povinen poskytnout zhotovitel</w:t>
      </w:r>
      <w:r>
        <w:t>i součinnost nutnou k provedení díla.</w:t>
      </w:r>
    </w:p>
    <w:p w:rsidR="002A5691" w:rsidRDefault="001E094F">
      <w:pPr>
        <w:spacing w:after="0" w:line="259" w:lineRule="auto"/>
        <w:ind w:left="168" w:right="202" w:hanging="10"/>
        <w:jc w:val="center"/>
      </w:pPr>
      <w:r>
        <w:rPr>
          <w:sz w:val="36"/>
        </w:rPr>
        <w:t>VII.</w:t>
      </w:r>
    </w:p>
    <w:p w:rsidR="002A5691" w:rsidRDefault="001E094F">
      <w:pPr>
        <w:spacing w:after="1" w:line="259" w:lineRule="auto"/>
        <w:ind w:left="269" w:right="266" w:hanging="10"/>
        <w:jc w:val="center"/>
      </w:pPr>
      <w:r>
        <w:rPr>
          <w:sz w:val="28"/>
        </w:rPr>
        <w:t>Předání díla, vlastnické právo k předmětu díla a nebezpečí škody</w:t>
      </w:r>
    </w:p>
    <w:p w:rsidR="002A5691" w:rsidRDefault="001E094F">
      <w:pPr>
        <w:numPr>
          <w:ilvl w:val="0"/>
          <w:numId w:val="7"/>
        </w:numPr>
        <w:spacing w:after="68"/>
        <w:ind w:right="173" w:hanging="353"/>
      </w:pPr>
      <w:r>
        <w:t>Dílo bude předáno a převzato na místě plnění dle čl. V odst. 1 této smlouvy. Objednatel se zavazuje dílo (jeho část) převzít v případě, že bude předáno bez vad a nedodělků. O předání a převzetí díla zhotovitel sepiše zápis o předání a převzetí díla, ve kte</w:t>
      </w:r>
      <w:r>
        <w:t xml:space="preserve">rém objednatel prohlásí, zda dílo přejímá či nikoli. Zápis o předání a převzetí díla bude podepsán oprávněným zástupcem zhotovitele, objednatele. Zápis o předání a převzetí díla bude vyhotoven ve třech stejnopisech, přičemž dvě vyhotovení budou určena pro </w:t>
      </w:r>
      <w:r>
        <w:t>objednatele a jedno pro zhotovitele.</w:t>
      </w:r>
    </w:p>
    <w:p w:rsidR="002A5691" w:rsidRDefault="001E094F">
      <w:pPr>
        <w:numPr>
          <w:ilvl w:val="0"/>
          <w:numId w:val="7"/>
        </w:numPr>
        <w:ind w:right="173" w:hanging="353"/>
      </w:pPr>
      <w:r>
        <w:t>Zápis o předání a převzetí díla bude obsahovat: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t>číslo a datum vyhotovení zápisu o předání a převzetí díla,</w:t>
      </w:r>
    </w:p>
    <w:p w:rsidR="002A5691" w:rsidRDefault="001E094F">
      <w:pPr>
        <w:numPr>
          <w:ilvl w:val="1"/>
          <w:numId w:val="7"/>
        </w:numPr>
        <w:spacing w:after="68"/>
        <w:ind w:right="28" w:hanging="374"/>
      </w:pPr>
      <w:r>
        <w:t>název veřejné zakázky: Dodávka nábytku pro učebny v rámci projektu „Modernizace odborných učeben ve Školním statku Opava",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t>označení objednatele a zhotovitele,</w:t>
      </w:r>
    </w:p>
    <w:p w:rsidR="002A5691" w:rsidRDefault="001E094F">
      <w:pPr>
        <w:numPr>
          <w:ilvl w:val="1"/>
          <w:numId w:val="7"/>
        </w:numPr>
        <w:spacing w:after="80"/>
        <w:ind w:right="28" w:hanging="374"/>
      </w:pPr>
      <w:r>
        <w:t xml:space="preserve">číslo této smlouvy o Cillo a datum jejího uzavření včetně čísel a dat uzavření jejích případných </w:t>
      </w:r>
      <w:r>
        <w:t>dodatků,</w:t>
      </w:r>
    </w:p>
    <w:p w:rsidR="002A5691" w:rsidRDefault="001E094F">
      <w:pPr>
        <w:numPr>
          <w:ilvl w:val="1"/>
          <w:numId w:val="7"/>
        </w:numPr>
        <w:spacing w:after="92"/>
        <w:ind w:right="28" w:hanging="374"/>
      </w:pPr>
      <w:r>
        <w:t>název projektu: „Modernizace odborných učeben ve Školním statku Opava</w:t>
      </w:r>
      <w:r>
        <w:rPr>
          <w:vertAlign w:val="superscript"/>
        </w:rPr>
        <w:t xml:space="preserve">n </w:t>
      </w:r>
      <w:r>
        <w:t>a registrační číslo projektu: CZ.06.2.67/O.0/O.0/16_066/0010581,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t xml:space="preserve">místo plnění, tj. Školní statek, Opava, příspěvková organizace, Opava, Englišova </w:t>
      </w:r>
      <w:r>
        <w:t>526/95,</w:t>
      </w:r>
    </w:p>
    <w:p w:rsidR="002A5691" w:rsidRDefault="001E094F">
      <w:pPr>
        <w:numPr>
          <w:ilvl w:val="1"/>
          <w:numId w:val="7"/>
        </w:numPr>
        <w:spacing w:after="0"/>
        <w:ind w:right="28" w:hanging="374"/>
      </w:pPr>
      <w:r>
        <w:t>položky dle přílohy č.</w:t>
      </w:r>
      <w:r>
        <w:t xml:space="preserve"> 1 této smlouvy, sériové číslo položek nebo jiné číselné označení položek (pokud existuje), vč. finančního vyjádření ceny za jednotlivé položky (cena bez DPH, výše DPH, cena s DPH),</w:t>
      </w:r>
    </w:p>
    <w:p w:rsidR="002A5691" w:rsidRDefault="001E094F">
      <w:pPr>
        <w:numPr>
          <w:ilvl w:val="1"/>
          <w:numId w:val="7"/>
        </w:numPr>
        <w:spacing w:after="69"/>
        <w:ind w:right="28" w:hanging="374"/>
      </w:pPr>
      <w:r>
        <w:t>datum zahájení a dokončení prací na díle,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310896</wp:posOffset>
            </wp:positionH>
            <wp:positionV relativeFrom="page">
              <wp:posOffset>1224761</wp:posOffset>
            </wp:positionV>
            <wp:extent cx="105156" cy="164520"/>
            <wp:effectExtent l="0" t="0" r="0" b="0"/>
            <wp:wrapSquare wrapText="bothSides"/>
            <wp:docPr id="83816" name="Picture 8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6" name="Picture 838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6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prohlášení objednatele, že dílo</w:t>
      </w:r>
      <w:r>
        <w:t xml:space="preserve"> přejímá (nepřejímá),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t>datum a místo předání díla,</w:t>
      </w:r>
    </w:p>
    <w:p w:rsidR="002A5691" w:rsidRDefault="001E094F">
      <w:pPr>
        <w:numPr>
          <w:ilvl w:val="1"/>
          <w:numId w:val="7"/>
        </w:numPr>
        <w:ind w:right="28" w:hanging="374"/>
      </w:pPr>
      <w:r>
        <w:t>jména a podpisy zástupců objednatele a zhotovitele.</w:t>
      </w:r>
    </w:p>
    <w:p w:rsidR="002A5691" w:rsidRDefault="001E094F">
      <w:pPr>
        <w:numPr>
          <w:ilvl w:val="0"/>
          <w:numId w:val="7"/>
        </w:numPr>
        <w:spacing w:after="102"/>
        <w:ind w:right="173" w:hanging="353"/>
      </w:pPr>
      <w:r>
        <w:t>Zhotovitel odpovídá za to, že informace uvedené v zápise o předání a převzetí díla budou v souladu se skutečným stavem. Zhotovitel a objednatel jsou oprávněni vedle předepsaných náležitostí uvést v zápise o předání a převzetí dila cokoliv, co budou považov</w:t>
      </w:r>
      <w:r>
        <w:t>at za nutné.</w:t>
      </w:r>
    </w:p>
    <w:p w:rsidR="002A5691" w:rsidRDefault="001E094F">
      <w:pPr>
        <w:numPr>
          <w:ilvl w:val="0"/>
          <w:numId w:val="7"/>
        </w:numPr>
        <w:spacing w:after="119"/>
        <w:ind w:right="173" w:hanging="353"/>
      </w:pPr>
      <w:r>
        <w:t>Vlastnické právo k věci, která je předmětem díla, a nebezpečí škody na ní přechází na objednatele dnem převzetí díla objednatelem.</w:t>
      </w:r>
    </w:p>
    <w:p w:rsidR="002A5691" w:rsidRDefault="001E094F">
      <w:pPr>
        <w:numPr>
          <w:ilvl w:val="0"/>
          <w:numId w:val="7"/>
        </w:numPr>
        <w:spacing w:after="324"/>
        <w:ind w:right="173" w:hanging="353"/>
      </w:pPr>
      <w:r>
        <w:t>Součástí předání díla dle tohoto článku je rovněž předání dokladů, které se k dílu vztahují (záruční list, návod</w:t>
      </w:r>
      <w:r>
        <w:t xml:space="preserve"> k použití, prohlášení o shodě apod.) v českém jazyce. Dílo musí splňovat požadavky zákona č. 22/1997 Sb., o technických požadavcích na výrobky, ve znění pozdějších předpisů.</w:t>
      </w:r>
    </w:p>
    <w:p w:rsidR="002A5691" w:rsidRDefault="001E094F">
      <w:pPr>
        <w:spacing w:after="0" w:line="259" w:lineRule="auto"/>
        <w:ind w:left="10" w:right="50" w:hanging="10"/>
        <w:jc w:val="center"/>
      </w:pPr>
      <w:r>
        <w:rPr>
          <w:sz w:val="38"/>
        </w:rPr>
        <w:t>VIII.</w:t>
      </w:r>
    </w:p>
    <w:p w:rsidR="002A5691" w:rsidRDefault="001E094F">
      <w:pPr>
        <w:spacing w:after="1" w:line="259" w:lineRule="auto"/>
        <w:ind w:left="269" w:right="281" w:hanging="10"/>
        <w:jc w:val="center"/>
      </w:pPr>
      <w:r>
        <w:rPr>
          <w:sz w:val="28"/>
        </w:rPr>
        <w:t>Platební a fakturační podmínky</w:t>
      </w:r>
    </w:p>
    <w:p w:rsidR="002A5691" w:rsidRDefault="001E094F">
      <w:pPr>
        <w:numPr>
          <w:ilvl w:val="0"/>
          <w:numId w:val="8"/>
        </w:numPr>
        <w:spacing w:after="73"/>
        <w:ind w:left="450" w:right="220"/>
      </w:pPr>
      <w:r>
        <w:t>V souladu s ustanovením zákona o DPH sjednáv</w:t>
      </w:r>
      <w:r>
        <w:t>ají smluvní strany dílčí plnění. Po předání a převzetí části díla, které bude potvrzeno podpisem zápisu o předání a převzetí díla dle čl. VII odst. 2 této smlouvy, bude uhrazena cena ve výši odpovídající ceně části díla uvedené v zápise o předání a převzet</w:t>
      </w:r>
      <w:r>
        <w:t>í díla. Zálohové platby nebudou poskytovány.</w:t>
      </w:r>
    </w:p>
    <w:p w:rsidR="002A5691" w:rsidRDefault="001E094F">
      <w:pPr>
        <w:numPr>
          <w:ilvl w:val="0"/>
          <w:numId w:val="8"/>
        </w:numPr>
        <w:spacing w:after="521"/>
        <w:ind w:left="450" w:right="220"/>
      </w:pPr>
      <w:r>
        <w:t>Je-li zhotovitel plátcem DPH, podkladem pro úhradu ceny za dílo budou faktury, které budou mít náležitosti daňového dokladu dle zákona o DPH a náležitosti stanovené</w:t>
      </w:r>
    </w:p>
    <w:p w:rsidR="002A5691" w:rsidRDefault="001E094F">
      <w:pPr>
        <w:spacing w:after="0" w:line="259" w:lineRule="auto"/>
        <w:ind w:left="3989" w:firstLine="0"/>
        <w:jc w:val="center"/>
      </w:pPr>
      <w:r>
        <w:rPr>
          <w:sz w:val="16"/>
          <w:vertAlign w:val="superscript"/>
        </w:rPr>
        <w:t>n</w:t>
      </w:r>
    </w:p>
    <w:p w:rsidR="002A5691" w:rsidRDefault="001E094F">
      <w:pPr>
        <w:spacing w:after="0"/>
        <w:ind w:left="439" w:right="252" w:firstLine="0"/>
      </w:pPr>
      <w:r>
        <w:t>dalšími obecně závaznými právními předpisy (</w:t>
      </w:r>
      <w:r>
        <w:t>dále jen ”faktura"). Není-li zhotovitel plátcem DPH, podkladem pro úhradu ceny za dílo budou faktury, které budou mít náležitosti účetního dokladu dle zákona č. 563/1991 Sb., o účetnictví, ve znění pozdějších předpisů a náležitosti stanovené dalšími obecně</w:t>
      </w:r>
      <w:r>
        <w:t xml:space="preserve"> závaznými právními předpisy. Kromě náležitostí stanovených platnými právními předpisy pro daňový doklad/účetní doklad bude zhotovitel povinen ve faktuře uvést i W'to údaje:</w:t>
      </w:r>
    </w:p>
    <w:p w:rsidR="002A5691" w:rsidRDefault="001E094F">
      <w:pPr>
        <w:numPr>
          <w:ilvl w:val="1"/>
          <w:numId w:val="8"/>
        </w:numPr>
        <w:spacing w:after="12"/>
        <w:ind w:left="795" w:right="28"/>
      </w:pPr>
      <w:r>
        <w:t>číslo smlouvy objednatele a číslo veřejné zakázky (tj. 1005 — MOU — NAB UCE), IČO objednatele,</w:t>
      </w:r>
    </w:p>
    <w:p w:rsidR="002A5691" w:rsidRDefault="001E094F">
      <w:pPr>
        <w:numPr>
          <w:ilvl w:val="1"/>
          <w:numId w:val="8"/>
        </w:numPr>
        <w:spacing w:after="2"/>
        <w:ind w:left="795" w:right="28"/>
      </w:pPr>
      <w:r>
        <w:t>název veřejné zakázky: „Dodávka nábytku pro učebny v rámci projektu „Modernizace odborných učeben ve Školním statku Opava",</w:t>
      </w:r>
    </w:p>
    <w:p w:rsidR="002A5691" w:rsidRDefault="001E094F">
      <w:pPr>
        <w:numPr>
          <w:ilvl w:val="1"/>
          <w:numId w:val="8"/>
        </w:numPr>
        <w:spacing w:after="64"/>
        <w:ind w:left="795" w:right="28"/>
      </w:pPr>
      <w:r>
        <w:t>název projektu: „Modernizace odbornýc</w:t>
      </w:r>
      <w:r>
        <w:t>h učeben ve Školním statku Opava”, registrační číslo projektu: CZ.06.2.67/O.0/O.0/16_066/0010581,</w:t>
      </w:r>
    </w:p>
    <w:p w:rsidR="002A5691" w:rsidRDefault="001E094F">
      <w:pPr>
        <w:numPr>
          <w:ilvl w:val="1"/>
          <w:numId w:val="8"/>
        </w:numPr>
        <w:spacing w:after="0"/>
        <w:ind w:left="795" w:right="28"/>
      </w:pPr>
      <w:r>
        <w:t>označení banky a číslo účtu, na který musí být zaplaceno (pokud je číslo účtu odlišné od čísla uvedeného v čl. I odst. 2, je zhotovitel povinen o této skutečn</w:t>
      </w:r>
      <w:r>
        <w:t>osti v souladu s čl. II odst. 3 této smlouvy informovat objednatele),</w:t>
      </w:r>
    </w:p>
    <w:p w:rsidR="002A5691" w:rsidRDefault="001E094F">
      <w:pPr>
        <w:numPr>
          <w:ilvl w:val="1"/>
          <w:numId w:val="8"/>
        </w:numPr>
        <w:ind w:left="795" w:right="28"/>
      </w:pPr>
      <w:r>
        <w:t>lhůtu splatnosti faktury,</w:t>
      </w:r>
    </w:p>
    <w:p w:rsidR="002A5691" w:rsidRDefault="001E094F">
      <w:pPr>
        <w:numPr>
          <w:ilvl w:val="1"/>
          <w:numId w:val="8"/>
        </w:numPr>
        <w:ind w:left="795" w:right="28"/>
      </w:pPr>
      <w:r>
        <w:t>označení osoby, která fakturu vyhotovila, včetně jejího podpisu a kontaktního telefonu,</w:t>
      </w:r>
    </w:p>
    <w:p w:rsidR="002A5691" w:rsidRDefault="001E094F">
      <w:pPr>
        <w:numPr>
          <w:ilvl w:val="1"/>
          <w:numId w:val="8"/>
        </w:numPr>
        <w:spacing w:after="0"/>
        <w:ind w:left="795" w:right="28"/>
      </w:pPr>
      <w:r>
        <w:t>číslo zápisu o předání a převzetí díla a datum jeho podpisu. Zápis o pře</w:t>
      </w:r>
      <w:r>
        <w:t>dání a převzetí díla bude přílohou faktury. Budou-li splněny podmínky stanovené zákonem o DPH (například ust. S 21 odst. 9 aj.), může faktura zahrnovat několik zápisů o předání a převzetí díla,</w:t>
      </w:r>
    </w:p>
    <w:p w:rsidR="002A5691" w:rsidRDefault="001E094F">
      <w:pPr>
        <w:numPr>
          <w:ilvl w:val="1"/>
          <w:numId w:val="8"/>
        </w:numPr>
        <w:spacing w:after="156"/>
        <w:ind w:left="795" w:right="28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968841</wp:posOffset>
            </wp:positionV>
            <wp:extent cx="370332" cy="868301"/>
            <wp:effectExtent l="0" t="0" r="0" b="0"/>
            <wp:wrapSquare wrapText="bothSides"/>
            <wp:docPr id="83818" name="Picture 8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8" name="Picture 838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86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bude vystavena více než 1 faktura, bude přílohou posled</w:t>
      </w:r>
      <w:r>
        <w:t>ní faktury rekapitulace zápisů o předání a převzetí díla vč. finančního vyjádření a rekapitulace vystavených faktur.</w:t>
      </w:r>
    </w:p>
    <w:p w:rsidR="002A5691" w:rsidRDefault="001E094F">
      <w:pPr>
        <w:numPr>
          <w:ilvl w:val="0"/>
          <w:numId w:val="8"/>
        </w:numPr>
        <w:spacing w:after="149"/>
        <w:ind w:left="450" w:right="220"/>
      </w:pPr>
      <w:r>
        <w:t>Povinnost zaplatit cenu za dílo je splněna dnem odepsání příslušné částky z účtu objednatele.</w:t>
      </w:r>
    </w:p>
    <w:p w:rsidR="002A5691" w:rsidRDefault="001E094F">
      <w:pPr>
        <w:numPr>
          <w:ilvl w:val="0"/>
          <w:numId w:val="8"/>
        </w:numPr>
        <w:spacing w:after="145"/>
        <w:ind w:left="450" w:right="220"/>
      </w:pPr>
      <w:r>
        <w:t>Lhůta splatnosti faktury činí 30 kalendářních</w:t>
      </w:r>
      <w:r>
        <w:t xml:space="preserve"> dnů ode dne jejího doručení objednateli. Doručení faktury se provede osobně oproti podpisu zmocněné osoby objednatele nebo doručenkou prostřednictvím provozovatele poštovních služeb.</w:t>
      </w:r>
    </w:p>
    <w:p w:rsidR="002A5691" w:rsidRDefault="001E094F">
      <w:pPr>
        <w:numPr>
          <w:ilvl w:val="0"/>
          <w:numId w:val="8"/>
        </w:numPr>
        <w:spacing w:after="142"/>
        <w:ind w:left="450" w:right="220"/>
      </w:pPr>
      <w:r>
        <w:t>Nebude-li faktura obsahovat některou povinnou nebo dohodnutou náležitost</w:t>
      </w:r>
      <w:r>
        <w:t xml:space="preserve"> nebo bude-li chybně vyúčtována cena nebo DPH, je objednatel oprávněn fakturu před uplynutím lhůty splatnosti vrátit druhé smluvní straně k provedení opravy s vyznačením důvodu vrácení. Zhotovitel provede opravu vystavením nové faktury. Vrácením vadné fakt</w:t>
      </w:r>
      <w:r>
        <w:t>ury zhotoviteli přestává běžet původní lhůta splatnosti. Nová lhůta splatnosti běží ode dne doručení nové faktury objednateli.</w:t>
      </w:r>
    </w:p>
    <w:p w:rsidR="002A5691" w:rsidRDefault="001E094F">
      <w:pPr>
        <w:numPr>
          <w:ilvl w:val="0"/>
          <w:numId w:val="8"/>
        </w:numPr>
        <w:spacing w:after="0"/>
        <w:ind w:left="450" w:right="220"/>
      </w:pPr>
      <w:r>
        <w:t>Je-li zhotovitel plátcem DPH, objednatel uplatní institut zvláštního způsobu zajištění daně dle S 109a zákona o DPH a hodnotu pln</w:t>
      </w:r>
      <w:r>
        <w:t>ění odpovídající dani z přidané hodnoty uhradí v termínu splatnosti faktury stanoveném dle smlouvy přímo na osobní depozitní účet zhotovitele vedený u místně příslušného správce daně v případě, že:</w:t>
      </w:r>
    </w:p>
    <w:p w:rsidR="002A5691" w:rsidRDefault="001E094F">
      <w:pPr>
        <w:numPr>
          <w:ilvl w:val="1"/>
          <w:numId w:val="8"/>
        </w:numPr>
        <w:ind w:left="795" w:right="28"/>
      </w:pPr>
      <w:r>
        <w:t>zhotovitel bude ke dni poskytnutí úplaty nebo ke dni uskutečnění zdanitelného plnění zveřejněn v aplikaci „Registr DPH" jako nespolehlivý plátce, nebo</w:t>
      </w:r>
    </w:p>
    <w:p w:rsidR="002A5691" w:rsidRDefault="001E094F">
      <w:pPr>
        <w:numPr>
          <w:ilvl w:val="1"/>
          <w:numId w:val="8"/>
        </w:numPr>
        <w:spacing w:after="0"/>
        <w:ind w:left="795" w:right="28"/>
      </w:pPr>
      <w:r>
        <w:t>zhotovitel bude ke dni poskytnutí úplaty nebo ke dni uskutečnění zdanitelného plnění v insolvenčním řízen</w:t>
      </w:r>
      <w:r>
        <w:t>í, nebo</w:t>
      </w:r>
    </w:p>
    <w:p w:rsidR="002A5691" w:rsidRDefault="001E094F">
      <w:pPr>
        <w:numPr>
          <w:ilvl w:val="1"/>
          <w:numId w:val="8"/>
        </w:numPr>
        <w:spacing w:after="97"/>
        <w:ind w:left="795" w:right="28"/>
      </w:pPr>
      <w:r>
        <w:t>bankovní účet zhotovitele určený k úhradě plnění uvedený na faktuře nebude správcem daně zveřejněn v aplikaci „Registr DPH".</w:t>
      </w:r>
    </w:p>
    <w:p w:rsidR="002A5691" w:rsidRDefault="001E094F">
      <w:pPr>
        <w:spacing w:after="612"/>
        <w:ind w:left="446" w:right="28" w:hanging="7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-667511</wp:posOffset>
            </wp:positionH>
            <wp:positionV relativeFrom="paragraph">
              <wp:posOffset>324320</wp:posOffset>
            </wp:positionV>
            <wp:extent cx="754380" cy="1750312"/>
            <wp:effectExtent l="0" t="0" r="0" b="0"/>
            <wp:wrapSquare wrapText="bothSides"/>
            <wp:docPr id="83820" name="Picture 8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0" name="Picture 838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75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úhrada bude považována za splnění části závazku odpovídající příslušné výši DPH sjednané jako součást smluvní ceny za</w:t>
      </w:r>
      <w:r>
        <w:t xml:space="preserve"> předmětné plnění. Objednatel nenese odpovědnost za případné penále a jiné postihy vyměřené či stanovené správcem daně zhotoviteli v souvislosti s potenciálně pozdní úhradou DPH, tj. po datu splatnosti této daně.</w:t>
      </w:r>
    </w:p>
    <w:p w:rsidR="002A5691" w:rsidRDefault="001E094F">
      <w:pPr>
        <w:spacing w:after="0" w:line="259" w:lineRule="auto"/>
        <w:ind w:left="10" w:right="108" w:hanging="10"/>
        <w:jc w:val="center"/>
      </w:pPr>
      <w:r>
        <w:rPr>
          <w:sz w:val="30"/>
        </w:rPr>
        <w:t>Práva z vadného plnění, záruka za jakost</w:t>
      </w:r>
    </w:p>
    <w:p w:rsidR="002A5691" w:rsidRDefault="001E094F">
      <w:pPr>
        <w:numPr>
          <w:ilvl w:val="0"/>
          <w:numId w:val="9"/>
        </w:numPr>
        <w:spacing w:after="60"/>
        <w:ind w:right="122" w:hanging="367"/>
      </w:pPr>
      <w:r>
        <w:t>Dí</w:t>
      </w:r>
      <w:r>
        <w:t>lo má vadu, jestliže neodpovídá požadavkům uvedeným v této smlouvě.</w:t>
      </w:r>
    </w:p>
    <w:p w:rsidR="002A5691" w:rsidRDefault="001E094F">
      <w:pPr>
        <w:numPr>
          <w:ilvl w:val="0"/>
          <w:numId w:val="9"/>
        </w:numPr>
        <w:spacing w:after="84"/>
        <w:ind w:right="122" w:hanging="367"/>
      </w:pPr>
      <w:r>
        <w:t>Objednatel má právo z vadného plnění z vad, které má dílo při převzetí objednatelem, byť se vada projeví až později. Objednatel má právo z vadného plnění také z vad vzniklých po převzetí d</w:t>
      </w:r>
      <w:r>
        <w:t>íla objednatelem, pokud je zhotovitel způsobil porušením své povinnosti. Projeví-li se vada v průběhu 6 měsíců od převzetí díla objednatelem, má se zato, že dílo bylo vadné již při převzetí, neprokáže-li zhotovitel opak.</w:t>
      </w:r>
    </w:p>
    <w:p w:rsidR="002A5691" w:rsidRDefault="001E094F">
      <w:pPr>
        <w:numPr>
          <w:ilvl w:val="0"/>
          <w:numId w:val="9"/>
        </w:numPr>
        <w:ind w:right="122" w:hanging="367"/>
      </w:pPr>
      <w:r>
        <w:t>Zhotovitel poskytuje objednateli na provedené dílo záruku za jakost (dále jen „záruka") ve smyslu S 2619 a S 2113 a násl. občanského zákoníku, a to v délce 24 měsíců (dále též „záruční doba"). Záruční doba začíná běžet dnem převzetí dila objednatelem. Záru</w:t>
      </w:r>
      <w:r>
        <w:t>ční doba se staví po dobu, po kterou nemůže objednatel dílo řádně užívat pro vady, za které nese odpovědnost zhotovitel. Pro nahlašování a odstraňování vad v rámci záruky platí podmínky uvedené v odst. 4 a násl. tohoto článku smlouvy.</w:t>
      </w:r>
    </w:p>
    <w:p w:rsidR="002A5691" w:rsidRDefault="001E094F">
      <w:pPr>
        <w:numPr>
          <w:ilvl w:val="0"/>
          <w:numId w:val="9"/>
        </w:numPr>
        <w:spacing w:after="116"/>
        <w:ind w:right="122" w:hanging="367"/>
      </w:pPr>
      <w:r>
        <w:t>Vady díla dle odst. 2</w:t>
      </w:r>
      <w:r>
        <w:t xml:space="preserve"> tohoto článku smlouvy a vady, které se projeví během záruční doby, budou zhotovitelem odstraněny bezplatně.</w:t>
      </w:r>
    </w:p>
    <w:p w:rsidR="002A5691" w:rsidRDefault="001E094F">
      <w:pPr>
        <w:numPr>
          <w:ilvl w:val="0"/>
          <w:numId w:val="9"/>
        </w:numPr>
        <w:ind w:right="122" w:hanging="367"/>
      </w:pPr>
      <w:r>
        <w:t>Veškeré vady díla je objednatel povinen uplatnit u zhotovitele bez zbytečného odkladu poté, kdy vadu zjistil, a to formou písemného oznámení (popř.</w:t>
      </w:r>
      <w:r>
        <w:t xml:space="preserve"> e-mailem), obsahujícím co nejpodrobnější specifikaci zjištěné vady. Objednatel bude vady díla oznamovat na:</w:t>
      </w:r>
    </w:p>
    <w:p w:rsidR="002A5691" w:rsidRDefault="001E094F">
      <w:pPr>
        <w:numPr>
          <w:ilvl w:val="1"/>
          <w:numId w:val="9"/>
        </w:numPr>
        <w:ind w:right="565" w:hanging="209"/>
      </w:pPr>
      <w:r>
        <w:t>e-mail: vetocaca@vetocac.cz</w:t>
      </w:r>
    </w:p>
    <w:p w:rsidR="002A5691" w:rsidRDefault="001E094F">
      <w:pPr>
        <w:numPr>
          <w:ilvl w:val="1"/>
          <w:numId w:val="9"/>
        </w:numPr>
        <w:spacing w:after="84"/>
        <w:ind w:right="565" w:hanging="209"/>
      </w:pPr>
      <w:r>
        <w:t xml:space="preserve">adresu: Veto CAC, s.r.o., Příborská 1585, Místek, 738 01 Frýdek-Místek </w:t>
      </w:r>
      <w:r>
        <w:rPr>
          <w:noProof/>
        </w:rPr>
        <w:drawing>
          <wp:inline distT="0" distB="0" distL="0" distR="0">
            <wp:extent cx="59436" cy="59410"/>
            <wp:effectExtent l="0" t="0" r="0" b="0"/>
            <wp:docPr id="20907" name="Picture 20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" name="Picture 209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datové schránky: eeyabs6</w:t>
      </w:r>
    </w:p>
    <w:p w:rsidR="002A5691" w:rsidRDefault="001E094F">
      <w:pPr>
        <w:numPr>
          <w:ilvl w:val="0"/>
          <w:numId w:val="9"/>
        </w:numPr>
        <w:spacing w:after="88"/>
        <w:ind w:right="122" w:hanging="367"/>
      </w:pPr>
      <w:r>
        <w:t>Objednatel má právo na odstranění vady dodáním nové věci nebo opravou; je-li vadné plnění podstatným porušením smlouvy, má také právo od smlouvy odstoupit. Právo volby plnění má objednatel.</w:t>
      </w:r>
    </w:p>
    <w:p w:rsidR="002A5691" w:rsidRDefault="001E094F">
      <w:pPr>
        <w:numPr>
          <w:ilvl w:val="0"/>
          <w:numId w:val="9"/>
        </w:numPr>
        <w:spacing w:after="79"/>
        <w:ind w:right="122" w:hanging="367"/>
      </w:pPr>
      <w:r>
        <w:t xml:space="preserve">Zhotovitel je povinen odstranit vadu díla nejpozději do 30 dnů od </w:t>
      </w:r>
      <w:r>
        <w:t>jejího oznámení objednatelem, pokud se smluvní strany v konkrétním případě nedohodnou písemně jinak.</w:t>
      </w:r>
    </w:p>
    <w:p w:rsidR="002A5691" w:rsidRDefault="001E094F">
      <w:pPr>
        <w:numPr>
          <w:ilvl w:val="0"/>
          <w:numId w:val="9"/>
        </w:numPr>
        <w:spacing w:after="68"/>
        <w:ind w:right="122" w:hanging="367"/>
      </w:pPr>
      <w:r>
        <w:t>Provedenou opravu vady díla zhotovitel objednateli předá písemným protokolem.</w:t>
      </w:r>
    </w:p>
    <w:p w:rsidR="002A5691" w:rsidRDefault="001E094F">
      <w:pPr>
        <w:numPr>
          <w:ilvl w:val="0"/>
          <w:numId w:val="9"/>
        </w:numPr>
        <w:spacing w:after="68"/>
        <w:ind w:right="122" w:hanging="367"/>
      </w:pPr>
      <w:r>
        <w:t>Na provedenou opravu poskytne zhotovitel záruku v délce 24 měsíců.</w:t>
      </w:r>
    </w:p>
    <w:p w:rsidR="002A5691" w:rsidRDefault="001E094F">
      <w:pPr>
        <w:numPr>
          <w:ilvl w:val="0"/>
          <w:numId w:val="9"/>
        </w:numPr>
        <w:spacing w:after="236"/>
        <w:ind w:right="122" w:hanging="367"/>
      </w:pPr>
      <w:r>
        <w:t>Zhotovitel</w:t>
      </w:r>
      <w:r>
        <w:t xml:space="preserve"> je povinen uhradit objednateli škodu, která mu vznikla vadným plněním, a to v plné výši. Zhotovitel rovněž objednateli uhradí náklady vzniklé při uplatňování práv z vadného plnění.</w:t>
      </w:r>
    </w:p>
    <w:p w:rsidR="002A5691" w:rsidRDefault="001E094F">
      <w:pPr>
        <w:spacing w:after="0" w:line="259" w:lineRule="auto"/>
        <w:ind w:left="10" w:right="137" w:hanging="10"/>
        <w:jc w:val="center"/>
      </w:pPr>
      <w:r>
        <w:rPr>
          <w:sz w:val="38"/>
        </w:rPr>
        <w:t>x.</w:t>
      </w:r>
    </w:p>
    <w:p w:rsidR="002A5691" w:rsidRDefault="001E094F">
      <w:pPr>
        <w:spacing w:after="0" w:line="259" w:lineRule="auto"/>
        <w:ind w:left="10" w:right="122" w:hanging="10"/>
        <w:jc w:val="center"/>
      </w:pPr>
      <w:r>
        <w:rPr>
          <w:sz w:val="30"/>
        </w:rPr>
        <w:t>Sankce</w:t>
      </w:r>
    </w:p>
    <w:p w:rsidR="002A5691" w:rsidRDefault="001E094F">
      <w:pPr>
        <w:numPr>
          <w:ilvl w:val="0"/>
          <w:numId w:val="10"/>
        </w:numPr>
        <w:spacing w:after="79"/>
        <w:ind w:left="547" w:right="133"/>
      </w:pPr>
      <w:r>
        <w:t>V případě, že zhotovitel neprovede dílo (jeho část) včas, je pov</w:t>
      </w:r>
      <w:r>
        <w:t>inen zaplatit objednateli smluvní pokutu ve výši 0,1 % z ceny za dílo bez DPH dle čl. IV odst. I této smlouvy, a to za každý započatý den prodlení.</w:t>
      </w:r>
    </w:p>
    <w:p w:rsidR="002A5691" w:rsidRDefault="001E094F">
      <w:pPr>
        <w:numPr>
          <w:ilvl w:val="0"/>
          <w:numId w:val="10"/>
        </w:numPr>
        <w:ind w:left="547" w:right="133"/>
      </w:pPr>
      <w:r>
        <w:t>Pokud zhotovitel neodstraní vadu díla ve lhůtě uvedené v čl. IX odst. 7 této smlouvy, je povinen zaplatit ob</w:t>
      </w:r>
      <w:r>
        <w:t>jednateli smluvní pokutu ve výši 0,05 % z ceny za dílo bez DPH dle čl. IV odst. 1 této smlouvy, a to za každý započatý den prodlení.</w:t>
      </w:r>
    </w:p>
    <w:p w:rsidR="002A5691" w:rsidRDefault="001E094F">
      <w:pPr>
        <w:numPr>
          <w:ilvl w:val="0"/>
          <w:numId w:val="10"/>
        </w:numPr>
        <w:spacing w:after="141"/>
        <w:ind w:left="547" w:right="133"/>
      </w:pPr>
      <w:r>
        <w:t>Pro případ prodlení se zaplacením ceny za dílo sjednávají smluvní strany úrok z prodlení ve výši stanovené občanskoprávními předpisy.</w:t>
      </w:r>
    </w:p>
    <w:p w:rsidR="002A5691" w:rsidRDefault="001E094F">
      <w:pPr>
        <w:numPr>
          <w:ilvl w:val="0"/>
          <w:numId w:val="10"/>
        </w:numPr>
        <w:spacing w:after="544"/>
        <w:ind w:left="547" w:right="133"/>
      </w:pPr>
      <w:r>
        <w:t xml:space="preserve">Smluvní pokuty se nezapočítávají na náhradu případně vzniklé škody, kterou lze vymáhat samostatně vedle smluvní pokuty, a </w:t>
      </w:r>
      <w:r>
        <w:t>to v plné výši.</w:t>
      </w:r>
    </w:p>
    <w:p w:rsidR="002A5691" w:rsidRDefault="001E094F">
      <w:pPr>
        <w:spacing w:after="1" w:line="259" w:lineRule="auto"/>
        <w:ind w:left="269" w:right="130" w:hanging="10"/>
        <w:jc w:val="center"/>
      </w:pPr>
      <w:r>
        <w:rPr>
          <w:sz w:val="28"/>
        </w:rPr>
        <w:t>Zánik smlouvy</w:t>
      </w:r>
    </w:p>
    <w:p w:rsidR="002A5691" w:rsidRDefault="001E094F">
      <w:pPr>
        <w:numPr>
          <w:ilvl w:val="0"/>
          <w:numId w:val="11"/>
        </w:numPr>
        <w:spacing w:after="60"/>
        <w:ind w:left="601" w:right="28"/>
      </w:pPr>
      <w:r>
        <w:t>Smluvní strany se dohodly, že smlouva zaniká:</w:t>
      </w:r>
    </w:p>
    <w:p w:rsidR="002A5691" w:rsidRDefault="001E094F">
      <w:pPr>
        <w:numPr>
          <w:ilvl w:val="1"/>
          <w:numId w:val="11"/>
        </w:numPr>
        <w:ind w:right="28" w:hanging="360"/>
      </w:pPr>
      <w:r>
        <w:t>dohodou smluvních stran.</w:t>
      </w:r>
    </w:p>
    <w:p w:rsidR="002A5691" w:rsidRDefault="001E094F">
      <w:pPr>
        <w:numPr>
          <w:ilvl w:val="1"/>
          <w:numId w:val="11"/>
        </w:numPr>
        <w:ind w:right="28" w:hanging="360"/>
      </w:pPr>
      <w:r>
        <w:t>jednostranným odstoupením od smlouvy pro její podstatné porušení druhou smluvní stranou, přičemž podstatným porušením smlouvy se rozumí zejména:</w:t>
      </w:r>
    </w:p>
    <w:p w:rsidR="002A5691" w:rsidRDefault="001E094F">
      <w:pPr>
        <w:numPr>
          <w:ilvl w:val="2"/>
          <w:numId w:val="11"/>
        </w:numPr>
        <w:ind w:right="28" w:hanging="367"/>
      </w:pPr>
      <w:r>
        <w:t>neproveden</w:t>
      </w:r>
      <w:r>
        <w:t>í díla v době plnění dle čl. V odst. 2 této smlouvy,</w:t>
      </w:r>
    </w:p>
    <w:p w:rsidR="002A5691" w:rsidRDefault="001E094F">
      <w:pPr>
        <w:numPr>
          <w:ilvl w:val="2"/>
          <w:numId w:val="11"/>
        </w:numPr>
        <w:ind w:right="28" w:hanging="367"/>
      </w:pPr>
      <w:r>
        <w:t>nedodržení pokynů objednatele, právních předpisů nebo technických norem, které se týkají provádění díla,</w:t>
      </w:r>
    </w:p>
    <w:p w:rsidR="002A5691" w:rsidRDefault="001E094F">
      <w:pPr>
        <w:numPr>
          <w:ilvl w:val="2"/>
          <w:numId w:val="11"/>
        </w:numPr>
        <w:spacing w:after="67"/>
        <w:ind w:right="28" w:hanging="367"/>
      </w:pPr>
      <w:r>
        <w:t>nedodržení smluvních ujednání o záruce za jakost nebo o právech z vadného plnění,</w:t>
      </w:r>
    </w:p>
    <w:p w:rsidR="002A5691" w:rsidRDefault="001E094F">
      <w:pPr>
        <w:numPr>
          <w:ilvl w:val="2"/>
          <w:numId w:val="11"/>
        </w:numPr>
        <w:spacing w:after="113"/>
        <w:ind w:right="28" w:hanging="367"/>
      </w:pPr>
      <w:r>
        <w:t xml:space="preserve">neuhrazení ceny </w:t>
      </w:r>
      <w:r>
        <w:t>za dílo objednatelem po druhé výzvě zhotovitele k uhrazení dlužné částky, přičemž druhá výzva nesmí následovat dříve než 30 dnů po doručení první výzvy.</w:t>
      </w:r>
    </w:p>
    <w:p w:rsidR="002A5691" w:rsidRDefault="001E094F">
      <w:pPr>
        <w:numPr>
          <w:ilvl w:val="0"/>
          <w:numId w:val="11"/>
        </w:numPr>
        <w:spacing w:after="62"/>
        <w:ind w:left="601" w:right="28"/>
      </w:pPr>
      <w:r>
        <w:t>Objednatel je dále oprávněn od této smlouvy odstoupit v těchto případech:</w:t>
      </w:r>
    </w:p>
    <w:p w:rsidR="002A5691" w:rsidRDefault="001E094F">
      <w:pPr>
        <w:numPr>
          <w:ilvl w:val="1"/>
          <w:numId w:val="11"/>
        </w:numPr>
        <w:ind w:right="28" w:hanging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1032821</wp:posOffset>
            </wp:positionV>
            <wp:extent cx="4572" cy="4570"/>
            <wp:effectExtent l="0" t="0" r="0" b="0"/>
            <wp:wrapSquare wrapText="bothSides"/>
            <wp:docPr id="23677" name="Picture 23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7" name="Picture 236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1041961</wp:posOffset>
            </wp:positionV>
            <wp:extent cx="9144" cy="4570"/>
            <wp:effectExtent l="0" t="0" r="0" b="0"/>
            <wp:wrapSquare wrapText="bothSides"/>
            <wp:docPr id="23678" name="Picture 23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" name="Picture 236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1261321</wp:posOffset>
            </wp:positionV>
            <wp:extent cx="18288" cy="31990"/>
            <wp:effectExtent l="0" t="0" r="0" b="0"/>
            <wp:wrapSquare wrapText="bothSides"/>
            <wp:docPr id="23679" name="Picture 23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9" name="Picture 236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1270461</wp:posOffset>
            </wp:positionV>
            <wp:extent cx="4572" cy="4570"/>
            <wp:effectExtent l="0" t="0" r="0" b="0"/>
            <wp:wrapSquare wrapText="bothSides"/>
            <wp:docPr id="23680" name="Picture 2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0" name="Picture 236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1297881</wp:posOffset>
            </wp:positionV>
            <wp:extent cx="4572" cy="9140"/>
            <wp:effectExtent l="0" t="0" r="0" b="0"/>
            <wp:wrapSquare wrapText="bothSides"/>
            <wp:docPr id="23682" name="Picture 23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2" name="Picture 236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1297881</wp:posOffset>
            </wp:positionV>
            <wp:extent cx="18288" cy="68550"/>
            <wp:effectExtent l="0" t="0" r="0" b="0"/>
            <wp:wrapSquare wrapText="bothSides"/>
            <wp:docPr id="23681" name="Picture 23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1" name="Picture 236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1371001</wp:posOffset>
            </wp:positionV>
            <wp:extent cx="4572" cy="4570"/>
            <wp:effectExtent l="0" t="0" r="0" b="0"/>
            <wp:wrapSquare wrapText="bothSides"/>
            <wp:docPr id="23683" name="Picture 23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3" name="Picture 2368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bylo-li příslušným sou</w:t>
      </w:r>
      <w:r>
        <w:t>dem rozhodnuto o tom, že zhotovitel je v úpadku ve smyslu zákona č. 182/2006 Sb., o úpadku a způsobech jeho řešení (insolvenční zákon), ve znění pozdějších předpisů (a to bez ohledu na právní moc tohoto rozhodnutí);</w:t>
      </w:r>
    </w:p>
    <w:p w:rsidR="002A5691" w:rsidRDefault="001E094F">
      <w:pPr>
        <w:numPr>
          <w:ilvl w:val="1"/>
          <w:numId w:val="11"/>
        </w:numPr>
        <w:spacing w:after="74"/>
        <w:ind w:right="28" w:hanging="360"/>
      </w:pPr>
      <w:r>
        <w:t>podá-li zhotovitel sám na sebe insolvenční návrh.</w:t>
      </w:r>
    </w:p>
    <w:p w:rsidR="002A5691" w:rsidRDefault="001E094F">
      <w:pPr>
        <w:numPr>
          <w:ilvl w:val="0"/>
          <w:numId w:val="11"/>
        </w:numPr>
        <w:spacing w:after="575"/>
        <w:ind w:left="601" w:right="28"/>
      </w:pPr>
      <w:r>
        <w:t>Pro účely této smlouvy se pod pojmem „bez zbytečného odkladu" dle S 2002 občanského zákoníku rozumí „nejpozději do 3 týdnů”.</w:t>
      </w:r>
    </w:p>
    <w:p w:rsidR="002A5691" w:rsidRDefault="001E094F">
      <w:pPr>
        <w:spacing w:after="42" w:line="259" w:lineRule="auto"/>
        <w:ind w:left="269" w:right="158" w:hanging="10"/>
        <w:jc w:val="center"/>
      </w:pPr>
      <w:r>
        <w:rPr>
          <w:sz w:val="28"/>
        </w:rPr>
        <w:t>Závěrečná ustanovení</w:t>
      </w:r>
    </w:p>
    <w:p w:rsidR="002A5691" w:rsidRDefault="001E094F">
      <w:pPr>
        <w:numPr>
          <w:ilvl w:val="0"/>
          <w:numId w:val="12"/>
        </w:numPr>
        <w:spacing w:after="104"/>
        <w:ind w:left="630" w:right="28"/>
      </w:pPr>
      <w:r>
        <w:t>Tato smlouva nabývá platnosti dnem jejího podpisu oběma smlu</w:t>
      </w:r>
      <w:r>
        <w:t>vními stranami a účinnosti dnem, kdy objednatel obdrží písemné oznámení poskytovatele dotace o tom, že žádost o podporu byla doporučena k financování, pokud nestanoví zákon č. 340/2015 Sb., o zvláštních podmínkách účinnosti některých smluv, uveřejňování tě</w:t>
      </w:r>
      <w:r>
        <w:t xml:space="preserve">chto smluv </w:t>
      </w:r>
      <w:r>
        <w:rPr>
          <w:noProof/>
        </w:rPr>
        <w:drawing>
          <wp:inline distT="0" distB="0" distL="0" distR="0">
            <wp:extent cx="13716" cy="22851"/>
            <wp:effectExtent l="0" t="0" r="0" b="0"/>
            <wp:docPr id="23684" name="Picture 23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4" name="Picture 236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o registru smluv (zákon o registru smluv), jinak. V takovém případě smlouva nabývá účinnosti nejdříve uveřejněním v registru smluv.</w:t>
      </w:r>
    </w:p>
    <w:p w:rsidR="002A5691" w:rsidRDefault="001E094F">
      <w:pPr>
        <w:numPr>
          <w:ilvl w:val="0"/>
          <w:numId w:val="12"/>
        </w:numPr>
        <w:spacing w:after="71"/>
        <w:ind w:left="630" w:right="28"/>
      </w:pPr>
      <w:r>
        <w:t>Doplňování nebo změnu této smlouvy lze provádět jen se souhlasem obou smluvních stran, a to pouze formou písem</w:t>
      </w:r>
      <w:r>
        <w:t>ných, vzestupně číslovaných dodatků.</w:t>
      </w:r>
    </w:p>
    <w:p w:rsidR="002A5691" w:rsidRDefault="001E094F">
      <w:pPr>
        <w:numPr>
          <w:ilvl w:val="0"/>
          <w:numId w:val="12"/>
        </w:numPr>
        <w:spacing w:after="56"/>
        <w:ind w:left="630" w:right="28"/>
      </w:pPr>
      <w:r>
        <w:t>Zhotovitel nemůže bez souhlasu objednatele postoupit svá práva a povinnosti plynoucí z této smlouvy třetí straně.</w:t>
      </w:r>
    </w:p>
    <w:p w:rsidR="002A5691" w:rsidRDefault="001E094F">
      <w:pPr>
        <w:numPr>
          <w:ilvl w:val="0"/>
          <w:numId w:val="12"/>
        </w:numPr>
        <w:spacing w:after="82"/>
        <w:ind w:left="630" w:right="28"/>
      </w:pPr>
      <w:r>
        <w:t>Tato smlouva je vyhotovena ve 3 stejnopisech s platností originálu, přičemž objednatel obdrží 2 a zhotovi</w:t>
      </w:r>
      <w:r>
        <w:t>tel 1 její vyhotovení.</w:t>
      </w:r>
    </w:p>
    <w:p w:rsidR="002A5691" w:rsidRDefault="001E094F">
      <w:pPr>
        <w:numPr>
          <w:ilvl w:val="0"/>
          <w:numId w:val="12"/>
        </w:numPr>
        <w:ind w:left="630" w:right="28"/>
      </w:pPr>
      <w:r>
        <w:t>Smluvní strany shodně prohlašují, že si tuto smlouvu před jejím podpisem přečetly a že byla uzavřena po vzájemném projednání podle jejich pravé a svobodné vůle, určitě, vážně a srozumitelně, nikoliv v tísni nebo za nápadně nevýhodnýc</w:t>
      </w:r>
      <w:r>
        <w:t>h podmínek, a že se dohodly o celém jejím obsahu, což stvrzují svými podpisy.</w:t>
      </w:r>
    </w:p>
    <w:p w:rsidR="002A5691" w:rsidRDefault="001E094F">
      <w:pPr>
        <w:numPr>
          <w:ilvl w:val="0"/>
          <w:numId w:val="12"/>
        </w:numPr>
        <w:spacing w:after="112"/>
        <w:ind w:left="630" w:right="28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-667511</wp:posOffset>
            </wp:positionH>
            <wp:positionV relativeFrom="paragraph">
              <wp:posOffset>-726062</wp:posOffset>
            </wp:positionV>
            <wp:extent cx="822960" cy="1828002"/>
            <wp:effectExtent l="0" t="0" r="0" b="0"/>
            <wp:wrapSquare wrapText="bothSides"/>
            <wp:docPr id="83822" name="Picture 8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2" name="Picture 838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82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se dohodly, že pokud se na tuto smlouvu vztahuje povinnost uveřejnění v registru smluv ve smyslu zákona č. 340/2015 Sb., o zvláštních podmínkách účinnosti některý</w:t>
      </w:r>
      <w:r>
        <w:t>ch smluv, uveřejňování těchto smluv a o registru smluv (zákon o registru smluv), provede uveřejnění v souladu se zákonem objednatel.</w:t>
      </w:r>
    </w:p>
    <w:p w:rsidR="002A5691" w:rsidRDefault="001E094F">
      <w:pPr>
        <w:numPr>
          <w:ilvl w:val="0"/>
          <w:numId w:val="12"/>
        </w:numPr>
        <w:spacing w:after="161"/>
        <w:ind w:left="630" w:right="28"/>
      </w:pPr>
      <w:r>
        <w:t>V případě, že tato smlouva nebude uveřejněna dle předchozího odstavce, bere zhotovitel na vědomí a výslovně souhlasí s tím,</w:t>
      </w:r>
      <w:r>
        <w:t xml:space="preserve"> že smlouva včetně přiloh a případných dodatků bude zveřejněna na oficiálních webových stránkách Školního statku, Opava, příspěvkové organizace.</w:t>
      </w:r>
    </w:p>
    <w:p w:rsidR="002A5691" w:rsidRDefault="001E094F">
      <w:pPr>
        <w:numPr>
          <w:ilvl w:val="0"/>
          <w:numId w:val="12"/>
        </w:numPr>
        <w:spacing w:after="156"/>
        <w:ind w:left="630" w:right="28"/>
      </w:pPr>
      <w:r>
        <w:t>Smlouva bude zveřejněna po anonymizaci provedené v souladu s platnými právními předpisy.</w:t>
      </w:r>
    </w:p>
    <w:p w:rsidR="002A5691" w:rsidRDefault="001E094F">
      <w:pPr>
        <w:numPr>
          <w:ilvl w:val="0"/>
          <w:numId w:val="12"/>
        </w:numPr>
        <w:spacing w:after="111"/>
        <w:ind w:left="630" w:right="28"/>
      </w:pPr>
      <w:r>
        <w:t>Osobní údaje obsažené v této smlouvě bude Školní statek, Opava, příspěvková organizace, Englišova 526/95, 746 01 Opava, IČ 00098752 zpracovávat pouze pro účely plnění práv a povinností vyplývajících z této smlouvy příspěvkové organizaci. Školní statek, Opa</w:t>
      </w:r>
      <w:r>
        <w:t xml:space="preserve">va, příspěvková organizace, při zpracování osobních údajů dodržuje platné právní předpisy. Podrobné informace jsou uvedeny na oficiálních webových stránkách </w:t>
      </w:r>
      <w:r>
        <w:rPr>
          <w:u w:val="single" w:color="000000"/>
        </w:rPr>
        <w:t>www.skstatek.cz</w:t>
      </w:r>
    </w:p>
    <w:p w:rsidR="002A5691" w:rsidRDefault="001E094F">
      <w:pPr>
        <w:numPr>
          <w:ilvl w:val="0"/>
          <w:numId w:val="12"/>
        </w:numPr>
        <w:ind w:left="630" w:right="28"/>
      </w:pPr>
      <w:r>
        <w:t>Nedílnou součástí této smlouvy jsou následující přílohy:</w:t>
      </w:r>
    </w:p>
    <w:p w:rsidR="002A5691" w:rsidRDefault="001E094F">
      <w:pPr>
        <w:spacing w:after="403"/>
        <w:ind w:left="662" w:right="28" w:firstLine="0"/>
      </w:pPr>
      <w:r>
        <w:t>Příloha č. 1: Podrobná spe</w:t>
      </w:r>
      <w:r>
        <w:t>cifikace a rozpis ceny za dilo</w:t>
      </w:r>
    </w:p>
    <w:p w:rsidR="002A5691" w:rsidRDefault="001E094F">
      <w:pPr>
        <w:tabs>
          <w:tab w:val="center" w:pos="5000"/>
          <w:tab w:val="right" w:pos="9410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5536692" cy="1096801"/>
            <wp:effectExtent l="0" t="0" r="0" b="0"/>
            <wp:docPr id="83824" name="Picture 8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4" name="Picture 838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109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objednatele</w:t>
      </w:r>
      <w:r>
        <w:tab/>
        <w:t>za Žhotovitele</w:t>
      </w:r>
    </w:p>
    <w:p w:rsidR="002A5691" w:rsidRDefault="001E094F">
      <w:pPr>
        <w:spacing w:after="0" w:line="224" w:lineRule="auto"/>
        <w:ind w:left="6433" w:right="673" w:firstLine="0"/>
        <w:jc w:val="center"/>
      </w:pPr>
      <w:r>
        <w:t>RNDr. Petr Coka prokura</w:t>
      </w:r>
    </w:p>
    <w:p w:rsidR="002A5691" w:rsidRDefault="002A5691">
      <w:pPr>
        <w:sectPr w:rsidR="002A5691">
          <w:footerReference w:type="even" r:id="rId30"/>
          <w:footerReference w:type="default" r:id="rId31"/>
          <w:footerReference w:type="first" r:id="rId32"/>
          <w:pgSz w:w="11563" w:h="16488"/>
          <w:pgMar w:top="834" w:right="900" w:bottom="576" w:left="1253" w:header="720" w:footer="489" w:gutter="0"/>
          <w:cols w:space="720"/>
        </w:sectPr>
      </w:pPr>
    </w:p>
    <w:p w:rsidR="002A5691" w:rsidRDefault="001E094F">
      <w:pPr>
        <w:spacing w:after="411" w:line="259" w:lineRule="auto"/>
        <w:ind w:left="-1440" w:right="10123" w:firstLine="0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164520</wp:posOffset>
            </wp:positionV>
            <wp:extent cx="333756" cy="552971"/>
            <wp:effectExtent l="0" t="0" r="0" b="0"/>
            <wp:wrapTopAndBottom/>
            <wp:docPr id="33204" name="Picture 33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4" name="Picture 3320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55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33" w:type="dxa"/>
        <w:tblInd w:w="-10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97"/>
        <w:gridCol w:w="3153"/>
        <w:gridCol w:w="418"/>
        <w:gridCol w:w="1073"/>
        <w:gridCol w:w="511"/>
        <w:gridCol w:w="1104"/>
        <w:gridCol w:w="1409"/>
        <w:gridCol w:w="1450"/>
      </w:tblGrid>
      <w:tr w:rsidR="002A5691">
        <w:trPr>
          <w:trHeight w:val="40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-30" w:firstLine="0"/>
              <w:jc w:val="left"/>
            </w:pPr>
            <w:r>
              <w:rPr>
                <w:sz w:val="18"/>
              </w:rPr>
              <w:t>Název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89" w:hanging="29"/>
              <w:jc w:val="left"/>
            </w:pPr>
            <w:r>
              <w:rPr>
                <w:sz w:val="18"/>
              </w:rPr>
              <w:t>Poče kusů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0" w:right="393" w:hanging="14"/>
              <w:jc w:val="left"/>
            </w:pPr>
            <w:r>
              <w:rPr>
                <w:sz w:val="18"/>
              </w:rPr>
              <w:t>J.cena bez DPH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147" w:firstLine="0"/>
              <w:jc w:val="left"/>
            </w:pPr>
            <w:r>
              <w:rPr>
                <w:sz w:val="18"/>
              </w:rPr>
              <w:t>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338" w:right="292" w:firstLine="0"/>
              <w:jc w:val="center"/>
            </w:pPr>
            <w:r>
              <w:rPr>
                <w:sz w:val="18"/>
              </w:rPr>
              <w:t>J.cena s DPH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367" w:right="321" w:firstLine="0"/>
              <w:jc w:val="center"/>
            </w:pPr>
            <w:r>
              <w:rPr>
                <w:sz w:val="18"/>
              </w:rPr>
              <w:t>Celkem bez DPH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474" w:right="421" w:firstLine="0"/>
              <w:jc w:val="center"/>
            </w:pPr>
            <w:r>
              <w:rPr>
                <w:sz w:val="18"/>
              </w:rPr>
              <w:t>Celkem s DPH</w:t>
            </w:r>
          </w:p>
        </w:tc>
      </w:tr>
      <w:tr w:rsidR="002A5691">
        <w:trPr>
          <w:trHeight w:val="198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194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37" w:firstLine="0"/>
              <w:jc w:val="left"/>
            </w:pPr>
            <w:r>
              <w:rPr>
                <w:sz w:val="16"/>
              </w:rPr>
              <w:t>2.04 Učebna raktické 'uk I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19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30" w:firstLine="0"/>
              <w:jc w:val="left"/>
            </w:pPr>
            <w:r>
              <w:rPr>
                <w:sz w:val="16"/>
              </w:rPr>
              <w:t>Katedra 76x160x60 LTD 18mm s ABS hranou 2mm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8 200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9 922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8 200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9 922</w:t>
            </w:r>
          </w:p>
        </w:tc>
      </w:tr>
      <w:tr w:rsidR="002A5691">
        <w:trPr>
          <w:trHeight w:val="393"/>
        </w:trPr>
        <w:tc>
          <w:tcPr>
            <w:tcW w:w="11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37" w:firstLine="0"/>
              <w:jc w:val="left"/>
            </w:pPr>
            <w:r>
              <w:rPr>
                <w:sz w:val="16"/>
              </w:rPr>
              <w:t>Židle učitelská částečně čalouněná z plochooválného profilu</w:t>
            </w:r>
          </w:p>
          <w:p w:rsidR="002A5691" w:rsidRDefault="001E094F">
            <w:pPr>
              <w:spacing w:after="0" w:line="259" w:lineRule="auto"/>
              <w:ind w:left="-37" w:firstLine="0"/>
              <w:jc w:val="left"/>
            </w:pPr>
            <w:r>
              <w:rPr>
                <w:sz w:val="16"/>
              </w:rPr>
              <w:t>38x20mm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63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2 690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3 255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2 690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3 255</w:t>
            </w:r>
          </w:p>
        </w:tc>
      </w:tr>
      <w:tr w:rsidR="002A5691">
        <w:trPr>
          <w:trHeight w:val="63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37" w:lineRule="auto"/>
              <w:ind w:left="-37" w:firstLine="0"/>
            </w:pPr>
            <w:r>
              <w:rPr>
                <w:sz w:val="16"/>
              </w:rPr>
              <w:t>Dílenský stůl 76x150x60 cm Jekl 40x20mm horní deska postformingová. Povrch prášková vypalovací barva stupnice</w:t>
            </w:r>
          </w:p>
          <w:p w:rsidR="002A5691" w:rsidRDefault="001E094F">
            <w:pPr>
              <w:spacing w:after="0" w:line="259" w:lineRule="auto"/>
              <w:ind w:left="-30" w:firstLine="0"/>
              <w:jc w:val="left"/>
            </w:pPr>
            <w:r>
              <w:rPr>
                <w:sz w:val="18"/>
              </w:rPr>
              <w:t>RAL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5 500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6 655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49 500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59 895</w:t>
            </w:r>
          </w:p>
        </w:tc>
      </w:tr>
      <w:tr w:rsidR="002A5691">
        <w:trPr>
          <w:trHeight w:val="137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16" w:lineRule="auto"/>
              <w:ind w:left="-37" w:right="559" w:firstLine="1174"/>
              <w:jc w:val="left"/>
            </w:pPr>
            <w:r>
              <w:rPr>
                <w:sz w:val="16"/>
              </w:rPr>
              <w:t xml:space="preserve">n </w:t>
            </w:r>
            <w:r>
              <w:rPr>
                <w:sz w:val="16"/>
              </w:rPr>
              <w:tab/>
              <w:t>pro</w:t>
            </w:r>
            <w:r>
              <w:rPr>
                <w:sz w:val="16"/>
              </w:rPr>
              <w:tab/>
              <w:t>z tru materiálu 25/2 a plocho oválného profilu 38/20/2 .</w:t>
            </w:r>
          </w:p>
          <w:p w:rsidR="002A5691" w:rsidRDefault="001E094F">
            <w:pPr>
              <w:spacing w:after="0" w:line="259" w:lineRule="auto"/>
              <w:ind w:left="-51" w:firstLine="14"/>
              <w:jc w:val="left"/>
            </w:pPr>
            <w:r>
              <w:rPr>
                <w:sz w:val="16"/>
              </w:rPr>
              <w:t>Foukaným polypropylenovym 3D sedákem a opěrákem o síle 20mm. povrchová úprava, komaxitová barva. Sedák i opěrák tvarovaný ve dvou rovinách a opatřený povrchem vysokým proti oděru. Krempa u sed</w:t>
            </w:r>
            <w:r>
              <w:rPr>
                <w:sz w:val="16"/>
              </w:rPr>
              <w:t>áku 15mm prolis a u opěráku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1070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1295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19 260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23 305</w:t>
            </w:r>
          </w:p>
        </w:tc>
      </w:tr>
      <w:tr w:rsidR="002A5691">
        <w:trPr>
          <w:trHeight w:val="173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50" w:firstLine="0"/>
            </w:pPr>
            <w:r>
              <w:rPr>
                <w:sz w:val="18"/>
              </w:rPr>
              <w:t>.Í6 Učebna</w:t>
            </w:r>
          </w:p>
        </w:tc>
        <w:tc>
          <w:tcPr>
            <w:tcW w:w="31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103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612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17" w:line="218" w:lineRule="auto"/>
              <w:ind w:left="-44" w:right="62" w:firstLine="7"/>
            </w:pPr>
            <w:r>
              <w:rPr>
                <w:sz w:val="16"/>
              </w:rPr>
              <w:t>Multimediální katedra s uzamykatelnou roletovou skříňkou na ITC vybavení a otevřený box pro PC. Katedra se skláda ze dvou segmentu a to o rozměrech 76x90x66 cm a 76x66x66 cm. První segment katedry musí být výlučně výsuvný pouze ruční silou a né elektrickým</w:t>
            </w:r>
            <w:r>
              <w:rPr>
                <w:sz w:val="16"/>
              </w:rPr>
              <w:t xml:space="preserve"> pohonem, tento výsuv je uschován v útrobách katedry, která má dvojíte dno v dutých dvojitých zádech a pod touto podlahou je uschováno mechanické zařízení s táhlem ocelového lanka přes kolesní převody s ložisky, tímto se napína pružina která je napojena na</w:t>
            </w:r>
            <w:r>
              <w:rPr>
                <w:sz w:val="16"/>
              </w:rPr>
              <w:t xml:space="preserve"> výsuv a tímto je možné jednoduchám povolením aretačního šroubu s metrickým závitem a červíkem pro zaaretovánĺ dorazu šroubu. Tento aretační šroub nám dovoluje zaaretovat výsuv monitoru v jeké koliv pozici.</w:t>
            </w:r>
          </w:p>
          <w:p w:rsidR="002A5691" w:rsidRDefault="001E094F">
            <w:pPr>
              <w:spacing w:after="0" w:line="259" w:lineRule="auto"/>
              <w:ind w:left="-58" w:right="41" w:firstLine="14"/>
            </w:pPr>
            <w:r>
              <w:rPr>
                <w:sz w:val="16"/>
              </w:rPr>
              <w:t>Výsuvný mechanismus je možné uschovat v dvojitých zádech stolu a to tím, že se horní deska stolu přisune pres ložiskové pojezdy směrek ke kantorovi a výsuv je možné vsunout a uschovát v útrobách stolu. V horní desce stolu,která je 25mm vysoká je výřez se s</w:t>
            </w:r>
            <w:r>
              <w:rPr>
                <w:sz w:val="16"/>
              </w:rPr>
              <w:t>klopným pantem, tento výřez je používán k zaslepení výfrezu po uschování pojezdu monitoru, tato horní deska je uzamykatelná. Kovová konstrukce stolu je z plochooválného profilu 50x30 mm povrchově upravené vypalovací práškovou barvou stupnice RAL Nohy stolu</w:t>
            </w:r>
            <w:r>
              <w:rPr>
                <w:sz w:val="16"/>
              </w:rPr>
              <w:t xml:space="preserve"> jsou ohýbány do tvaru písmena (C), Plastové návleky konstrukce jsou opatreny aretací pro vyrovnání nerovností podlahy a tyto návlkey jsou přinýtovány na přední nohy stolu a jsou o minimálním rozměru 20 cm délky pro okop žákovských nohou. Druhý segment je </w:t>
            </w:r>
            <w:r>
              <w:rPr>
                <w:sz w:val="16"/>
              </w:rPr>
              <w:t>ve stejném konstrukčním řešení s policemi a horní nástavbou s roletkou a se zamkem.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21800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26 378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21800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26378</w:t>
            </w:r>
          </w:p>
        </w:tc>
      </w:tr>
      <w:tr w:rsidR="002A5691">
        <w:trPr>
          <w:trHeight w:val="39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51" w:firstLine="0"/>
            </w:pPr>
            <w:r>
              <w:rPr>
                <w:sz w:val="16"/>
              </w:rPr>
              <w:t>Mycí stůl 90x180x60 cm LTD 18mms ABS hranou 2mm Pracovní deska ostformin 28mm BUK.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14 000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16 940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14000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16 940</w:t>
            </w:r>
          </w:p>
        </w:tc>
      </w:tr>
      <w:tr w:rsidR="002A5691">
        <w:trPr>
          <w:trHeight w:val="197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51" w:firstLine="0"/>
              <w:jc w:val="left"/>
            </w:pPr>
            <w:r>
              <w:rPr>
                <w:sz w:val="16"/>
              </w:rPr>
              <w:t>Keramic ' dřez laboratorní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5 690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6 885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11380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13 770</w:t>
            </w:r>
          </w:p>
        </w:tc>
      </w:tr>
      <w:tr w:rsidR="002A5691">
        <w:trPr>
          <w:trHeight w:val="19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58" w:firstLine="0"/>
              <w:jc w:val="left"/>
            </w:pPr>
            <w:r>
              <w:rPr>
                <w:sz w:val="16"/>
              </w:rPr>
              <w:t>V' usť s chemic odolnou ' okovou trubkou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930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1 125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1860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2 251</w:t>
            </w:r>
          </w:p>
        </w:tc>
      </w:tr>
      <w:tr w:rsidR="002A5691">
        <w:trPr>
          <w:trHeight w:val="197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51" w:firstLine="0"/>
              <w:jc w:val="left"/>
            </w:pPr>
            <w:r>
              <w:rPr>
                <w:sz w:val="16"/>
              </w:rPr>
              <w:t>Baterie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1 800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2 178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3 600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4 356</w:t>
            </w:r>
          </w:p>
        </w:tc>
      </w:tr>
      <w:tr w:rsidR="002A5691">
        <w:trPr>
          <w:trHeight w:val="19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66" w:firstLine="0"/>
              <w:jc w:val="left"/>
            </w:pPr>
            <w:r>
              <w:rPr>
                <w:sz w:val="16"/>
              </w:rPr>
              <w:t>Vodoinstalace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1210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1 000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1 210</w:t>
            </w:r>
          </w:p>
        </w:tc>
      </w:tr>
      <w:tr w:rsidR="002A5691">
        <w:trPr>
          <w:trHeight w:val="79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66" w:right="213" w:firstLine="86"/>
            </w:pPr>
            <w:r>
              <w:rPr>
                <w:sz w:val="16"/>
              </w:rPr>
              <w:t>idle otočná, bez područek na plastovéma kříži a plynovém pístu se skořepinou vysoce odolnou proti poškození se zárukou alespoň 60 měsícu. Buková prolisovaná celo oře ina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1890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2 287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1890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2 287</w:t>
            </w:r>
          </w:p>
        </w:tc>
      </w:tr>
      <w:tr w:rsidR="002A5691">
        <w:trPr>
          <w:trHeight w:val="138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73" w:right="127" w:firstLine="7"/>
            </w:pPr>
            <w:r>
              <w:rPr>
                <w:sz w:val="16"/>
              </w:rPr>
              <w:t>Žák. stůl dvoumístný s odklopem pro 230V, jeklová konstrukce, bočnice a nábytkový kanál z materiálu LTD tl. 18 mm s ABS hranou, pracovní deska tl. 28 mm s ABS hranou, čelní zavětrování z perforovaného plechu, kovové části ošetřeny práškovou vypalovací barv</w:t>
            </w:r>
            <w:r>
              <w:rPr>
                <w:sz w:val="16"/>
              </w:rPr>
              <w:t>ou v různých odstínech dle vzorníku RAL, rozměr 76x120x59 cm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8 900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10 769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133 500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161535</w:t>
            </w:r>
          </w:p>
        </w:tc>
      </w:tr>
      <w:tr w:rsidR="002A5691">
        <w:trPr>
          <w:trHeight w:val="138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0" w:right="-6" w:firstLine="0"/>
              <w:jc w:val="right"/>
            </w:pPr>
            <w:r>
              <w:rPr>
                <w:sz w:val="20"/>
              </w:rPr>
              <w:t xml:space="preserve">u </w:t>
            </w: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16" w:lineRule="auto"/>
              <w:ind w:left="-66" w:right="62" w:firstLine="216"/>
            </w:pPr>
            <w:r>
              <w:rPr>
                <w:sz w:val="16"/>
              </w:rPr>
              <w:t>ovs sto ovate n e. ro ez poc o profilu 30x20. Povrchová úprava, komaxitová barva. Sedák i opěrák tvarovaný ve dvou rovinách - buková 7 vrstvá překližka s 3D sedákem a opěrákem, tvarovaným ve dvou rovinách a opatřený povrchem vysokým proti oděru. Krempa sed</w:t>
            </w:r>
            <w:r>
              <w:rPr>
                <w:sz w:val="16"/>
              </w:rPr>
              <w:t>áku 15mm prolis a u opěráku 35mm. dle ČSN-EN</w:t>
            </w:r>
          </w:p>
          <w:p w:rsidR="002A5691" w:rsidRDefault="001E094F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58368" cy="141670"/>
                  <wp:effectExtent l="0" t="0" r="0" b="0"/>
                  <wp:docPr id="33170" name="Picture 3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0" name="Picture 3317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14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18" w:firstLine="0"/>
              <w:jc w:val="left"/>
            </w:pPr>
            <w:r>
              <w:rPr>
                <w:sz w:val="18"/>
              </w:rPr>
              <w:t>30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1040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1258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31200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37 752</w:t>
            </w:r>
          </w:p>
        </w:tc>
      </w:tr>
      <w:tr w:rsidR="002A5691">
        <w:trPr>
          <w:trHeight w:val="19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20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66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19172" cy="178229"/>
                      <wp:effectExtent l="0" t="0" r="0" b="0"/>
                      <wp:docPr id="83601" name="Group 83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172" cy="178229"/>
                                <a:chOff x="0" y="0"/>
                                <a:chExt cx="2519172" cy="1782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826" name="Picture 83826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0"/>
                                  <a:ext cx="2468880" cy="164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416" name="Rectangle 26416"/>
                              <wps:cNvSpPr/>
                              <wps:spPr>
                                <a:xfrm>
                                  <a:off x="0" y="68549"/>
                                  <a:ext cx="158100" cy="1397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5691" w:rsidRDefault="001E09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EI.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17" name="Rectangle 26417"/>
                              <wps:cNvSpPr/>
                              <wps:spPr>
                                <a:xfrm>
                                  <a:off x="118872" y="73120"/>
                                  <a:ext cx="408157" cy="1397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5691" w:rsidRDefault="001E09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zámek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19" name="Rectangle 26419"/>
                              <wps:cNvSpPr/>
                              <wps:spPr>
                                <a:xfrm>
                                  <a:off x="571500" y="73120"/>
                                  <a:ext cx="541934" cy="1397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5691" w:rsidRDefault="001E09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žákovské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20" name="Rectangle 26420"/>
                              <wps:cNvSpPr/>
                              <wps:spPr>
                                <a:xfrm>
                                  <a:off x="1014984" y="73120"/>
                                  <a:ext cx="486461" cy="1397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5691" w:rsidRDefault="001E09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racoviště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601" style="width:198.36pt;height:14.0338pt;mso-position-horizontal-relative:char;mso-position-vertical-relative:line" coordsize="25191,1782">
                      <v:shape id="Picture 83826" style="position:absolute;width:24688;height:1645;left:502;top:0;" filled="f">
                        <v:imagedata r:id="rId36"/>
                      </v:shape>
                      <v:rect id="Rectangle 26416" style="position:absolute;width:1581;height:1397;left:0;top:6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EI. </w:t>
                              </w:r>
                            </w:p>
                          </w:txbxContent>
                        </v:textbox>
                      </v:rect>
                      <v:rect id="Rectangle 26417" style="position:absolute;width:4081;height:1397;left:1188;top: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zámek </w:t>
                              </w:r>
                            </w:p>
                          </w:txbxContent>
                        </v:textbox>
                      </v:rect>
                      <v:rect id="Rectangle 26419" style="position:absolute;width:5419;height:1397;left:5715;top: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žákovské </w:t>
                              </w:r>
                            </w:p>
                          </w:txbxContent>
                        </v:textbox>
                      </v:rect>
                      <v:rect id="Rectangle 26420" style="position:absolute;width:4864;height:1397;left:10149;top: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racoviště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3390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4 102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50 850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61529</w:t>
            </w:r>
          </w:p>
        </w:tc>
      </w:tr>
      <w:tr w:rsidR="002A5691">
        <w:trPr>
          <w:trHeight w:val="19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66" w:firstLine="0"/>
              <w:jc w:val="left"/>
            </w:pPr>
            <w:r>
              <w:rPr>
                <w:sz w:val="16"/>
              </w:rPr>
              <w:t>Centrální ovládání zámků v žákovsk 'ch stolech - trafo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7 200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8 712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7 200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8 712</w:t>
            </w:r>
          </w:p>
        </w:tc>
      </w:tr>
    </w:tbl>
    <w:tbl>
      <w:tblPr>
        <w:tblStyle w:val="TableGrid"/>
        <w:tblpPr w:vertAnchor="text" w:tblpX="-1022"/>
        <w:tblOverlap w:val="never"/>
        <w:tblW w:w="11030" w:type="dxa"/>
        <w:tblInd w:w="0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30"/>
        <w:gridCol w:w="342"/>
        <w:gridCol w:w="945"/>
        <w:gridCol w:w="1475"/>
        <w:gridCol w:w="1277"/>
        <w:gridCol w:w="418"/>
        <w:gridCol w:w="1066"/>
        <w:gridCol w:w="516"/>
        <w:gridCol w:w="1104"/>
        <w:gridCol w:w="1411"/>
        <w:gridCol w:w="1447"/>
      </w:tblGrid>
      <w:tr w:rsidR="002A5691">
        <w:trPr>
          <w:trHeight w:val="197"/>
        </w:trPr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65" w:firstLine="0"/>
              <w:jc w:val="left"/>
            </w:pPr>
            <w:r>
              <w:rPr>
                <w:sz w:val="16"/>
              </w:rPr>
              <w:t xml:space="preserve">Náb kové kanál 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38" w:firstLine="0"/>
              <w:jc w:val="left"/>
            </w:pPr>
            <w:r>
              <w:rPr>
                <w:sz w:val="16"/>
              </w:rPr>
              <w:t>ro vedení kabeláží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1 250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1 513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18 750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22 688</w:t>
            </w:r>
          </w:p>
        </w:tc>
      </w:tr>
      <w:tr w:rsidR="002A5691">
        <w:trPr>
          <w:trHeight w:val="1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65" w:firstLine="0"/>
              <w:jc w:val="left"/>
            </w:pPr>
            <w:r>
              <w:rPr>
                <w:sz w:val="16"/>
              </w:rPr>
              <w:t>Plecho ' k kabeláže k noze stolu s RAL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26" w:firstLine="0"/>
              <w:jc w:val="left"/>
            </w:pPr>
            <w:r>
              <w:rPr>
                <w:sz w:val="16"/>
              </w:rPr>
              <w:t>rchem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990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1 198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14 850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17 969</w:t>
            </w:r>
          </w:p>
        </w:tc>
      </w:tr>
      <w:tr w:rsidR="002A5691">
        <w:trPr>
          <w:trHeight w:val="2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Zásuvka internetová 2 násobná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235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284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3 760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4 550</w:t>
            </w:r>
          </w:p>
        </w:tc>
      </w:tr>
      <w:tr w:rsidR="002A5691">
        <w:trPr>
          <w:trHeight w:val="199"/>
        </w:trPr>
        <w:tc>
          <w:tcPr>
            <w:tcW w:w="10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5" w:firstLine="0"/>
              <w:jc w:val="left"/>
            </w:pPr>
            <w:r>
              <w:rPr>
                <w:sz w:val="18"/>
              </w:rPr>
              <w:t>UTP CAT 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3 000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3 630</w:t>
            </w:r>
          </w:p>
        </w:tc>
      </w:tr>
      <w:tr w:rsidR="002A5691">
        <w:trPr>
          <w:trHeight w:val="197"/>
        </w:trPr>
        <w:tc>
          <w:tcPr>
            <w:tcW w:w="10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c 3x2 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4 200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5 082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SD krabice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36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1 350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1 634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>Zásuv •ednonásobné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156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4 680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5 663</w:t>
            </w:r>
          </w:p>
        </w:tc>
      </w:tr>
      <w:tr w:rsidR="002A5691">
        <w:trPr>
          <w:trHeight w:val="199"/>
        </w:trPr>
        <w:tc>
          <w:tcPr>
            <w:tcW w:w="10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>Zásuvk dvo•násobné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213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258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852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1031</w:t>
            </w:r>
          </w:p>
        </w:tc>
      </w:tr>
      <w:tr w:rsidR="002A5691">
        <w:trPr>
          <w:trHeight w:val="190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Revize elektro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7 500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9 075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7 500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9 075</w:t>
            </w:r>
          </w:p>
        </w:tc>
      </w:tr>
      <w:tr w:rsidR="002A5691">
        <w:trPr>
          <w:trHeight w:val="202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Elektro instalce ráce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34 000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41 140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34 000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41 140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Drobn' s o•ovací materiál otřebn k instalcím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3 630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3 000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3 630</w:t>
            </w:r>
          </w:p>
        </w:tc>
      </w:tr>
      <w:tr w:rsidR="002A5691">
        <w:trPr>
          <w:trHeight w:val="202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>Chránička kabelu 25mm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2 250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2 723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 xml:space="preserve">Kabeláže ro ro 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9" w:firstLine="0"/>
              <w:jc w:val="left"/>
            </w:pPr>
            <w:r>
              <w:rPr>
                <w:sz w:val="18"/>
              </w:rPr>
              <w:t>ení el. zámečku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3 960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4 792</w:t>
            </w:r>
          </w:p>
        </w:tc>
      </w:tr>
      <w:tr w:rsidR="002A5691">
        <w:trPr>
          <w:trHeight w:val="202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S </w:t>
            </w:r>
          </w:p>
        </w:tc>
        <w:tc>
          <w:tcPr>
            <w:tcW w:w="36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-11" w:firstLine="0"/>
              <w:jc w:val="left"/>
            </w:pPr>
            <w:r>
              <w:rPr>
                <w:sz w:val="16"/>
              </w:rPr>
              <w:t>ovací materiál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3 920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4 743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3 920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4 743</w:t>
            </w:r>
          </w:p>
        </w:tc>
      </w:tr>
      <w:tr w:rsidR="002A5691">
        <w:trPr>
          <w:trHeight w:val="145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43" w:right="7" w:firstLine="7"/>
            </w:pPr>
            <w:r>
              <w:rPr>
                <w:sz w:val="16"/>
              </w:rPr>
              <w:t>Skříň 180x90x43 cm, horní Část prosklená se zámkem, spodní část uzavřená se zámkem. LTD 18 mm s ABS hranou 2mm, pevné kolíkové spoje s vysoce odolným kováním. V horní, střední a dolní poloze umístěn jeklový profil 40x20mm s povrchovou úpravou- vypalovací b</w:t>
            </w:r>
            <w:r>
              <w:rPr>
                <w:sz w:val="16"/>
              </w:rPr>
              <w:t>arvou. Dolní aretační nožky z kovu s umístěním ve spodní podlaze skříně.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9 200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11132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18 400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22 264</w:t>
            </w:r>
          </w:p>
        </w:tc>
      </w:tr>
      <w:tr w:rsidR="002A5691">
        <w:trPr>
          <w:trHeight w:val="1281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43" w:right="72" w:firstLine="0"/>
            </w:pPr>
            <w:r>
              <w:rPr>
                <w:sz w:val="16"/>
              </w:rPr>
              <w:t>Skříň 180x90x43 cm, dvoudveřová, zámek. LTD 18 mm s ABS hranou 2mm, pevné kolíkové spoje s lepením a s vysoce odolným kováním. V horní a dolní poloze umístěn jeklový profil 40x20mm s povrchovou úpravou- vypalovací barvou. Dolní aretační nožky z kovu s umís</w:t>
            </w:r>
            <w:r>
              <w:rPr>
                <w:sz w:val="16"/>
              </w:rPr>
              <w:t>těním ve spodní podlaze skříně.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7 620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9 220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30 480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36 881</w:t>
            </w:r>
          </w:p>
        </w:tc>
      </w:tr>
      <w:tr w:rsidR="002A5691">
        <w:trPr>
          <w:trHeight w:val="127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9" w:firstLine="7"/>
              <w:jc w:val="left"/>
            </w:pPr>
            <w:r>
              <w:rPr>
                <w:sz w:val="16"/>
              </w:rPr>
              <w:t>Skříň 180x90x43 cm, čtyřdveřová, zámek. LTD 18 mm s ABS hranou 2mm, pevné kolíkové spoje s lepením a s vysoce odolným kováním. V horní , střední a dolní poloze umístěn jeklový profil 40x20mm s povrchovou úpravou- vypalovací barvou. Dolní aretační nožky z k</w:t>
            </w:r>
            <w:r>
              <w:rPr>
                <w:sz w:val="16"/>
              </w:rPr>
              <w:t>ovu s umístěním ve spodní podlaze skříně.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8 321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10068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16642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20137</w:t>
            </w:r>
          </w:p>
        </w:tc>
      </w:tr>
      <w:tr w:rsidR="002A5691">
        <w:trPr>
          <w:trHeight w:val="1169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36" w:right="79" w:firstLine="0"/>
            </w:pPr>
            <w:r>
              <w:rPr>
                <w:sz w:val="16"/>
              </w:rPr>
              <w:t>Skříňový nástavec 60x90x43 cm, dvoudveřová, zámek. LTD 18 mm s ABS hranou 2mm, pevné kolíkové spoje s lepením a s vysoce odolným kováním. V horní poloze umístěn jeklový profil 40x20mm s povrchovou úpravou- vypalovací barvou.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4 500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5 445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36 000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43 560</w:t>
            </w:r>
          </w:p>
        </w:tc>
      </w:tr>
      <w:tr w:rsidR="002A5691">
        <w:trPr>
          <w:trHeight w:val="1529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9" w:right="151" w:firstLine="14"/>
            </w:pPr>
            <w:r>
              <w:rPr>
                <w:sz w:val="16"/>
              </w:rPr>
              <w:t xml:space="preserve">Regál s kovovou konstrukcí a laminovanými policemi, omyvatelnými. Výška regálu cca ( + - 20 cm)1800mm, rozměry police cca 450x1200 mm, počet polic 5, police nastavitelné po cca 35 mm. Zatížení na polici 140-175 kg, z. Regál kotvený k podkladu nebo stěně. </w:t>
            </w:r>
            <w:r>
              <w:rPr>
                <w:sz w:val="16"/>
              </w:rPr>
              <w:t>Vypadnutí skladovaných předmětů. Rozměry se mohou lišit na základě doměření dle stavební ři ravenosti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6 280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7 599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18 840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22 796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2.13 sklad 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1437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2" w:right="158" w:firstLine="14"/>
            </w:pPr>
            <w:r>
              <w:rPr>
                <w:sz w:val="16"/>
              </w:rPr>
              <w:t>Regál s kovovou konstrukcí a laminovanými policemi, omyvatelnými. Výška regálu cca ( + - 20 cm)1800mm, rozměry police cca 450x1200 mm, počet polic 5, police nastavitelné po cca 35 mm. Zatížení na polici 140-175 kg, z. Regál kotvený k podkladu nebo stěně. V</w:t>
            </w:r>
            <w:r>
              <w:rPr>
                <w:sz w:val="16"/>
              </w:rPr>
              <w:t>ypadnutí skladovaných předmětů. Rozměry se mohou lišit na základě doměření dle stavební ři ravenosti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6 280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7 599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37 680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45 593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2.14 - KABINET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593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2" w:right="295" w:firstLine="7"/>
            </w:pPr>
            <w:r>
              <w:rPr>
                <w:sz w:val="16"/>
              </w:rPr>
              <w:t>Počítačový stůl o rozměru 76x100x60cm z LTD 18mm konstrukce s ABS hranou 2mm, stavitelné nožky, výsuv na klávesnici PC box a růchodka LTD deskou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7 250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8 773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14 500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17 545</w:t>
            </w:r>
          </w:p>
        </w:tc>
      </w:tr>
      <w:tr w:rsidR="002A5691">
        <w:trPr>
          <w:trHeight w:val="1386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4" w:right="108" w:firstLine="0"/>
            </w:pPr>
            <w:r>
              <w:rPr>
                <w:sz w:val="16"/>
              </w:rPr>
              <w:t>Skříňka o rozměru 80x110x43 cm z LTD 18 mm s ABS hranou 2mm se dvěma policemi a dvířky a se zámkem, v horní a spodní částí vložen jeklový prvek 40x20mm po celé délce skříně. Jeklový prvek bude povrchově upraven práškovou vypalovací barvou stupnice RAL Spod</w:t>
            </w:r>
            <w:r>
              <w:rPr>
                <w:sz w:val="16"/>
              </w:rPr>
              <w:t>ní rektifikační nožky usazené do dna skříně a aretace imbusovým klíčem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6320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7 647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12 640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15 294</w:t>
            </w:r>
          </w:p>
        </w:tc>
      </w:tr>
      <w:tr w:rsidR="002A5691">
        <w:trPr>
          <w:trHeight w:val="593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4" w:right="288" w:firstLine="7"/>
            </w:pPr>
            <w:r>
              <w:rPr>
                <w:sz w:val="16"/>
              </w:rPr>
              <w:t>Kancelářská židle, čalouněná, otočná, na plynovém pístu, mechanismus CTP, střední opěrák, područky, barva plastů Černá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3 480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4 211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6 960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8 422</w:t>
            </w:r>
          </w:p>
        </w:tc>
      </w:tr>
      <w:tr w:rsidR="002A5691">
        <w:trPr>
          <w:trHeight w:val="194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122" w:firstLine="0"/>
              <w:jc w:val="left"/>
            </w:pPr>
            <w:r>
              <w:rPr>
                <w:sz w:val="16"/>
              </w:rPr>
              <w:t>03 Šatna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1192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65" w:firstLine="7"/>
            </w:pPr>
            <w:r>
              <w:rPr>
                <w:sz w:val="16"/>
              </w:rPr>
              <w:t>Šatní lavička z kovové konstrukce a LTD desek. Rektifikace na všech nohách. Doplňkový opěrák z kovové konstrukce a LTD desek. Výška lavičky s opěrákem je cca 84 cm. Doplňkový věšák z kovové konstrukce a LTD desek. Je osazen dvouháčky. Výška lavičky s věšák</w:t>
            </w:r>
            <w:r>
              <w:rPr>
                <w:sz w:val="16"/>
              </w:rPr>
              <w:t>em je cca 174 cm.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11200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13 552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56000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67 760</w:t>
            </w:r>
          </w:p>
        </w:tc>
      </w:tr>
    </w:tbl>
    <w:p w:rsidR="002A5691" w:rsidRDefault="001E094F">
      <w:pPr>
        <w:spacing w:after="0" w:line="259" w:lineRule="auto"/>
        <w:ind w:left="-1440" w:right="10123" w:firstLine="0"/>
        <w:jc w:val="left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1444122</wp:posOffset>
            </wp:positionV>
            <wp:extent cx="118872" cy="484421"/>
            <wp:effectExtent l="0" t="0" r="0" b="0"/>
            <wp:wrapTopAndBottom/>
            <wp:docPr id="42528" name="Picture 4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8" name="Picture 4252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4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540" w:tblpY="681"/>
        <w:tblOverlap w:val="never"/>
        <w:tblW w:w="11016" w:type="dxa"/>
        <w:tblInd w:w="0" w:type="dxa"/>
        <w:tblCellMar>
          <w:top w:w="0" w:type="dxa"/>
          <w:left w:w="3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028"/>
        <w:gridCol w:w="4039"/>
        <w:gridCol w:w="419"/>
        <w:gridCol w:w="1075"/>
        <w:gridCol w:w="511"/>
        <w:gridCol w:w="1104"/>
        <w:gridCol w:w="1407"/>
        <w:gridCol w:w="1433"/>
      </w:tblGrid>
      <w:tr w:rsidR="002A5691">
        <w:trPr>
          <w:trHeight w:val="799"/>
        </w:trPr>
        <w:tc>
          <w:tcPr>
            <w:tcW w:w="10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2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88036" cy="488990"/>
                  <wp:effectExtent l="0" t="0" r="0" b="0"/>
                  <wp:docPr id="44881" name="Picture 4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1" name="Picture 4488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" cy="48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7" w:hanging="7"/>
              <w:jc w:val="left"/>
            </w:pPr>
            <w:r>
              <w:rPr>
                <w:sz w:val="16"/>
              </w:rPr>
              <w:t>Věšák vyroben z plochooválné trubky, 16 kusů navařených kovových háčků, lakovaná konstrukce, montážní otvory pro upevnění na stěnu, sada pro montáž do SDK. Délka 100cm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2 500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3 025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2 500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3025</w:t>
            </w:r>
          </w:p>
        </w:tc>
      </w:tr>
      <w:tr w:rsidR="002A5691">
        <w:trPr>
          <w:trHeight w:val="194"/>
        </w:trPr>
        <w:tc>
          <w:tcPr>
            <w:tcW w:w="10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2.12 úklid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</w:tr>
      <w:tr w:rsidR="002A5691">
        <w:trPr>
          <w:trHeight w:val="59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7" w:right="380" w:firstLine="7"/>
            </w:pPr>
            <w:r>
              <w:rPr>
                <w:sz w:val="16"/>
              </w:rPr>
              <w:t>Horní závěsná skříňka 2D, materiál: DTD laminovaná, barevné provedení bílá, rozměry (ŠxVxH): 50x60x30 cm, dělená 2x olice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2500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2 500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3 025</w:t>
            </w:r>
          </w:p>
        </w:tc>
      </w:tr>
      <w:tr w:rsidR="002A5691">
        <w:trPr>
          <w:trHeight w:val="60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>Držák k sušení hadry (výrobek určený např. k vaně a do sprchového koutu), materiál nerez. Úprava lesk. 60x80cm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2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1 520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1 839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1520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691" w:rsidRDefault="001E09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1839</w:t>
            </w:r>
          </w:p>
        </w:tc>
      </w:tr>
      <w:tr w:rsidR="002A5691">
        <w:trPr>
          <w:trHeight w:val="254"/>
        </w:trPr>
        <w:tc>
          <w:tcPr>
            <w:tcW w:w="5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Celkem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2A56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718 664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1" w:rsidRDefault="001E09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869 583</w:t>
            </w:r>
          </w:p>
        </w:tc>
      </w:tr>
    </w:tbl>
    <w:p w:rsidR="002A5691" w:rsidRDefault="001E094F">
      <w:pPr>
        <w:spacing w:after="0" w:line="259" w:lineRule="auto"/>
        <w:ind w:left="-1440" w:right="10123" w:firstLine="0"/>
        <w:jc w:val="left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1302451</wp:posOffset>
            </wp:positionV>
            <wp:extent cx="192024" cy="452431"/>
            <wp:effectExtent l="0" t="0" r="0" b="0"/>
            <wp:wrapTopAndBottom/>
            <wp:docPr id="44933" name="Picture 4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3" name="Picture 4493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45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5691">
      <w:footerReference w:type="even" r:id="rId40"/>
      <w:footerReference w:type="default" r:id="rId41"/>
      <w:footerReference w:type="first" r:id="rId42"/>
      <w:pgSz w:w="11563" w:h="16488"/>
      <w:pgMar w:top="681" w:right="1440" w:bottom="28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094F">
      <w:pPr>
        <w:spacing w:after="0" w:line="240" w:lineRule="auto"/>
      </w:pPr>
      <w:r>
        <w:separator/>
      </w:r>
    </w:p>
  </w:endnote>
  <w:endnote w:type="continuationSeparator" w:id="0">
    <w:p w:rsidR="00000000" w:rsidRDefault="001E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1E094F">
    <w:pPr>
      <w:tabs>
        <w:tab w:val="right" w:pos="9410"/>
      </w:tabs>
      <w:spacing w:after="0" w:line="259" w:lineRule="auto"/>
      <w:ind w:left="-7" w:firstLine="0"/>
      <w:jc w:val="left"/>
    </w:pPr>
    <w:r>
      <w:rPr>
        <w:sz w:val="16"/>
      </w:rPr>
      <w:t xml:space="preserve">Dodávka nábytku pro učebny </w:t>
    </w:r>
    <w:r>
      <w:rPr>
        <w:sz w:val="20"/>
      </w:rPr>
      <w:t xml:space="preserve">v </w:t>
    </w:r>
    <w:r>
      <w:rPr>
        <w:sz w:val="16"/>
      </w:rPr>
      <w:t xml:space="preserve">rámci projektu </w:t>
    </w:r>
    <w:r>
      <w:rPr>
        <w:sz w:val="14"/>
      </w:rPr>
      <w:t xml:space="preserve">„Modernizace </w:t>
    </w:r>
    <w:r>
      <w:rPr>
        <w:sz w:val="16"/>
      </w:rPr>
      <w:t xml:space="preserve">odborných učeben </w:t>
    </w:r>
    <w:r>
      <w:rPr>
        <w:sz w:val="18"/>
      </w:rPr>
      <w:t xml:space="preserve">ve </w:t>
    </w:r>
    <w:r>
      <w:rPr>
        <w:sz w:val="16"/>
      </w:rPr>
      <w:t>Školním statku Opava"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1E094F">
    <w:pPr>
      <w:tabs>
        <w:tab w:val="right" w:pos="9410"/>
      </w:tabs>
      <w:spacing w:after="0" w:line="259" w:lineRule="auto"/>
      <w:ind w:left="-7" w:firstLine="0"/>
      <w:jc w:val="left"/>
    </w:pPr>
    <w:r>
      <w:rPr>
        <w:sz w:val="16"/>
      </w:rPr>
      <w:t xml:space="preserve">Dodávka nábytku pro učebny </w:t>
    </w:r>
    <w:r>
      <w:rPr>
        <w:sz w:val="20"/>
      </w:rPr>
      <w:t xml:space="preserve">v </w:t>
    </w:r>
    <w:r>
      <w:rPr>
        <w:sz w:val="16"/>
      </w:rPr>
      <w:t xml:space="preserve">rámci projektu </w:t>
    </w:r>
    <w:r>
      <w:rPr>
        <w:sz w:val="14"/>
      </w:rPr>
      <w:t xml:space="preserve">„Modernizace </w:t>
    </w:r>
    <w:r>
      <w:rPr>
        <w:sz w:val="16"/>
      </w:rPr>
      <w:t xml:space="preserve">odborných učeben </w:t>
    </w:r>
    <w:r>
      <w:rPr>
        <w:sz w:val="18"/>
      </w:rPr>
      <w:t xml:space="preserve">ve </w:t>
    </w:r>
    <w:r>
      <w:rPr>
        <w:sz w:val="16"/>
      </w:rPr>
      <w:t>Školním statku Opava"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1E094F">
    <w:pPr>
      <w:tabs>
        <w:tab w:val="right" w:pos="9410"/>
      </w:tabs>
      <w:spacing w:after="0" w:line="259" w:lineRule="auto"/>
      <w:ind w:left="-7" w:firstLine="0"/>
      <w:jc w:val="left"/>
    </w:pPr>
    <w:r>
      <w:rPr>
        <w:sz w:val="16"/>
      </w:rPr>
      <w:t xml:space="preserve">Dodávka nábytku pro učebny </w:t>
    </w:r>
    <w:r>
      <w:rPr>
        <w:sz w:val="20"/>
      </w:rPr>
      <w:t xml:space="preserve">v </w:t>
    </w:r>
    <w:r>
      <w:rPr>
        <w:sz w:val="16"/>
      </w:rPr>
      <w:t xml:space="preserve">rámci projektu </w:t>
    </w:r>
    <w:r>
      <w:rPr>
        <w:sz w:val="14"/>
      </w:rPr>
      <w:t xml:space="preserve">„Modernizace </w:t>
    </w:r>
    <w:r>
      <w:rPr>
        <w:sz w:val="16"/>
      </w:rPr>
      <w:t xml:space="preserve">odborných učeben </w:t>
    </w:r>
    <w:r>
      <w:rPr>
        <w:sz w:val="18"/>
      </w:rPr>
      <w:t xml:space="preserve">ve </w:t>
    </w:r>
    <w:r>
      <w:rPr>
        <w:sz w:val="16"/>
      </w:rPr>
      <w:t>Školním statku Opava"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2A569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2A569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91" w:rsidRDefault="002A569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094F">
      <w:pPr>
        <w:spacing w:after="0" w:line="240" w:lineRule="auto"/>
      </w:pPr>
      <w:r>
        <w:separator/>
      </w:r>
    </w:p>
  </w:footnote>
  <w:footnote w:type="continuationSeparator" w:id="0">
    <w:p w:rsidR="00000000" w:rsidRDefault="001E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811"/>
    <w:multiLevelType w:val="hybridMultilevel"/>
    <w:tmpl w:val="037C0C62"/>
    <w:lvl w:ilvl="0" w:tplc="8922754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F478C8">
      <w:start w:val="1"/>
      <w:numFmt w:val="lowerLetter"/>
      <w:lvlText w:val="%2)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0F6D4">
      <w:start w:val="1"/>
      <w:numFmt w:val="bullet"/>
      <w:lvlText w:val="•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E4202C">
      <w:start w:val="1"/>
      <w:numFmt w:val="bullet"/>
      <w:lvlText w:val="•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C0F330">
      <w:start w:val="1"/>
      <w:numFmt w:val="bullet"/>
      <w:lvlText w:val="o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6478B4">
      <w:start w:val="1"/>
      <w:numFmt w:val="bullet"/>
      <w:lvlText w:val="▪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92A310">
      <w:start w:val="1"/>
      <w:numFmt w:val="bullet"/>
      <w:lvlText w:val="•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F6F98C">
      <w:start w:val="1"/>
      <w:numFmt w:val="bullet"/>
      <w:lvlText w:val="o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5CA398">
      <w:start w:val="1"/>
      <w:numFmt w:val="bullet"/>
      <w:lvlText w:val="▪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914C4"/>
    <w:multiLevelType w:val="hybridMultilevel"/>
    <w:tmpl w:val="AF0C0312"/>
    <w:lvl w:ilvl="0" w:tplc="20E4294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B6B4A2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493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614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893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EE2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29F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66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0DF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307E2"/>
    <w:multiLevelType w:val="hybridMultilevel"/>
    <w:tmpl w:val="4232D208"/>
    <w:lvl w:ilvl="0" w:tplc="17580DB8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0D092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3AC4E0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CAD1F2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60D54E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B2516E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BE4FB0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9435F8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FE242A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62F19"/>
    <w:multiLevelType w:val="hybridMultilevel"/>
    <w:tmpl w:val="3734385A"/>
    <w:lvl w:ilvl="0" w:tplc="2C88BEC8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0A19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2A5E7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2536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8C671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74715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8AE69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CDAA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665A90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9B740D"/>
    <w:multiLevelType w:val="hybridMultilevel"/>
    <w:tmpl w:val="C172ED8A"/>
    <w:lvl w:ilvl="0" w:tplc="84122DC2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6461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22D0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E5ED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CB73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4CA2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C6FB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6A18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23BD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F37BC"/>
    <w:multiLevelType w:val="hybridMultilevel"/>
    <w:tmpl w:val="B2BC4F66"/>
    <w:lvl w:ilvl="0" w:tplc="7A48A6FC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2C5C2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EE030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94AD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5255C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08BFF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7C77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24116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8DB3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84E86"/>
    <w:multiLevelType w:val="hybridMultilevel"/>
    <w:tmpl w:val="5F944E62"/>
    <w:lvl w:ilvl="0" w:tplc="6B147CA2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2A450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2454C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B7087F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DAC00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E0AE0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02933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F013D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3E570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86513C"/>
    <w:multiLevelType w:val="hybridMultilevel"/>
    <w:tmpl w:val="49000AF8"/>
    <w:lvl w:ilvl="0" w:tplc="400678C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49F2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8330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A07C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C1F9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00166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AD54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A39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C259F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D13278"/>
    <w:multiLevelType w:val="hybridMultilevel"/>
    <w:tmpl w:val="A0E2AABE"/>
    <w:lvl w:ilvl="0" w:tplc="BF7690BE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3DE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4F50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C728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4C31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9E7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4A8F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035B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FE6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2B0B"/>
    <w:multiLevelType w:val="hybridMultilevel"/>
    <w:tmpl w:val="03CCE5CE"/>
    <w:lvl w:ilvl="0" w:tplc="A4FC0922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02D7C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7A75C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40FD1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C4DFA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98CAE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044A4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45AF9C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8E9B1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8E0CAE"/>
    <w:multiLevelType w:val="hybridMultilevel"/>
    <w:tmpl w:val="2CFE538E"/>
    <w:lvl w:ilvl="0" w:tplc="F4027C58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9618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A643E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A85A4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848D6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256B0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A7E92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CAA68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A8802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D25F27"/>
    <w:multiLevelType w:val="hybridMultilevel"/>
    <w:tmpl w:val="3D26627A"/>
    <w:lvl w:ilvl="0" w:tplc="40546A70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4570C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CA18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4256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88FA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A38D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6F5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4DAB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DA7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91"/>
    <w:rsid w:val="001E094F"/>
    <w:rsid w:val="002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59E76-D79C-46E1-9C25-AE297CD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5" w:line="225" w:lineRule="auto"/>
      <w:ind w:left="363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29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oter" Target="footer3.xml"/><Relationship Id="rId37" Type="http://schemas.openxmlformats.org/officeDocument/2006/relationships/image" Target="media/image27.jpg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7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1.xml"/><Relationship Id="rId35" Type="http://schemas.openxmlformats.org/officeDocument/2006/relationships/image" Target="media/image26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4656</Words>
  <Characters>26543</Characters>
  <Application>Microsoft Office Word</Application>
  <DocSecurity>0</DocSecurity>
  <Lines>221</Lines>
  <Paragraphs>62</Paragraphs>
  <ScaleCrop>false</ScaleCrop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file</dc:title>
  <dc:subject/>
  <dc:creator>Adolix Split &amp; Merge PDF</dc:creator>
  <cp:keywords/>
  <cp:lastModifiedBy>freelancer</cp:lastModifiedBy>
  <cp:revision>2</cp:revision>
  <dcterms:created xsi:type="dcterms:W3CDTF">2019-12-18T11:18:00Z</dcterms:created>
  <dcterms:modified xsi:type="dcterms:W3CDTF">2019-12-18T11:18:00Z</dcterms:modified>
</cp:coreProperties>
</file>